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7E2F" w14:textId="2111BA6E" w:rsidR="00AD659A" w:rsidRDefault="001A1891" w:rsidP="001143B6">
      <w:pPr>
        <w:spacing w:line="480" w:lineRule="auto"/>
        <w:rPr>
          <w:rFonts w:cs="Arial"/>
          <w:b/>
          <w:bCs/>
          <w:sz w:val="22"/>
          <w:szCs w:val="22"/>
        </w:rPr>
      </w:pPr>
      <w:r w:rsidRPr="001A1891">
        <w:rPr>
          <w:rFonts w:cs="Arial"/>
          <w:b/>
          <w:bCs/>
          <w:sz w:val="22"/>
          <w:szCs w:val="22"/>
        </w:rPr>
        <w:t>Supplementary Figure</w:t>
      </w:r>
      <w:r w:rsidR="0085263F">
        <w:rPr>
          <w:rFonts w:cs="Arial"/>
          <w:b/>
          <w:bCs/>
          <w:sz w:val="22"/>
          <w:szCs w:val="22"/>
        </w:rPr>
        <w:t>s</w:t>
      </w:r>
      <w:r w:rsidRPr="001A1891">
        <w:rPr>
          <w:rFonts w:cs="Arial"/>
          <w:b/>
          <w:bCs/>
          <w:sz w:val="22"/>
          <w:szCs w:val="22"/>
        </w:rPr>
        <w:t xml:space="preserve"> and Table</w:t>
      </w:r>
      <w:r w:rsidR="0085263F">
        <w:rPr>
          <w:rFonts w:cs="Arial"/>
          <w:b/>
          <w:bCs/>
          <w:sz w:val="22"/>
          <w:szCs w:val="22"/>
        </w:rPr>
        <w:t>s</w:t>
      </w:r>
    </w:p>
    <w:p w14:paraId="1D6B760C" w14:textId="7F47A8EC" w:rsidR="00AD659A" w:rsidRDefault="00AD659A" w:rsidP="001143B6">
      <w:pPr>
        <w:spacing w:line="480" w:lineRule="auto"/>
        <w:rPr>
          <w:rFonts w:cs="Arial"/>
          <w:b/>
          <w:bCs/>
          <w:sz w:val="22"/>
          <w:szCs w:val="22"/>
        </w:rPr>
      </w:pPr>
      <w:r>
        <w:rPr>
          <w:rFonts w:cs="Arial"/>
          <w:b/>
          <w:bCs/>
          <w:noProof/>
          <w:sz w:val="22"/>
          <w:szCs w:val="22"/>
        </w:rPr>
        <w:drawing>
          <wp:inline distT="0" distB="0" distL="0" distR="0" wp14:anchorId="7E60AF07" wp14:editId="20DB2F4A">
            <wp:extent cx="6217920" cy="2907601"/>
            <wp:effectExtent l="0" t="0" r="0" b="7620"/>
            <wp:docPr id="749421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7920" cy="2907601"/>
                    </a:xfrm>
                    <a:prstGeom prst="rect">
                      <a:avLst/>
                    </a:prstGeom>
                    <a:noFill/>
                  </pic:spPr>
                </pic:pic>
              </a:graphicData>
            </a:graphic>
          </wp:inline>
        </w:drawing>
      </w:r>
    </w:p>
    <w:p w14:paraId="562C4D55" w14:textId="77777777" w:rsidR="00AD659A" w:rsidRPr="00256973" w:rsidRDefault="00AD659A" w:rsidP="001143B6">
      <w:pPr>
        <w:spacing w:line="480" w:lineRule="auto"/>
        <w:rPr>
          <w:rFonts w:cs="Arial"/>
          <w:b/>
          <w:bCs/>
          <w:sz w:val="22"/>
          <w:szCs w:val="22"/>
        </w:rPr>
      </w:pPr>
    </w:p>
    <w:p w14:paraId="2C440317" w14:textId="77777777" w:rsidR="001143B6" w:rsidRDefault="001143B6" w:rsidP="001143B6">
      <w:pPr>
        <w:pStyle w:val="Caption"/>
        <w:rPr>
          <w:rFonts w:asciiTheme="minorHAnsi" w:hAnsiTheme="minorHAnsi"/>
          <w:b w:val="0"/>
          <w:bCs w:val="0"/>
          <w:sz w:val="22"/>
          <w:szCs w:val="22"/>
        </w:rPr>
      </w:pPr>
      <w:r w:rsidRPr="00157B3D">
        <w:rPr>
          <w:rFonts w:asciiTheme="minorHAnsi" w:hAnsiTheme="minorHAnsi" w:cs="Arial"/>
          <w:sz w:val="22"/>
          <w:szCs w:val="22"/>
        </w:rPr>
        <w:t>Supplementary Fig</w:t>
      </w:r>
      <w:r>
        <w:rPr>
          <w:rFonts w:asciiTheme="minorHAnsi" w:hAnsiTheme="minorHAnsi" w:cs="Arial"/>
          <w:sz w:val="22"/>
          <w:szCs w:val="22"/>
        </w:rPr>
        <w:t>.</w:t>
      </w:r>
      <w:r w:rsidRPr="00157B3D">
        <w:rPr>
          <w:rFonts w:asciiTheme="minorHAnsi" w:hAnsiTheme="minorHAnsi" w:cs="Arial"/>
          <w:sz w:val="22"/>
          <w:szCs w:val="22"/>
        </w:rPr>
        <w:t xml:space="preserve"> 1 </w:t>
      </w:r>
      <w:r w:rsidRPr="00157B3D">
        <w:rPr>
          <w:rFonts w:asciiTheme="minorHAnsi" w:hAnsiTheme="minorHAnsi"/>
          <w:sz w:val="22"/>
          <w:szCs w:val="22"/>
        </w:rPr>
        <w:t>FACS gating strategy for microglia. A)</w:t>
      </w:r>
      <w:r w:rsidRPr="00157B3D">
        <w:rPr>
          <w:rFonts w:asciiTheme="minorHAnsi" w:hAnsiTheme="minorHAnsi"/>
          <w:b w:val="0"/>
          <w:bCs w:val="0"/>
          <w:sz w:val="22"/>
          <w:szCs w:val="22"/>
        </w:rPr>
        <w:t xml:space="preserve"> Sorting strategy to identify and isolate microglia. Single cells were first identified by plotting side scatter-height against forward scatter-height. Selected live CD45</w:t>
      </w:r>
      <w:r w:rsidRPr="00157B3D">
        <w:rPr>
          <w:rFonts w:asciiTheme="minorHAnsi" w:hAnsiTheme="minorHAnsi"/>
          <w:b w:val="0"/>
          <w:bCs w:val="0"/>
          <w:sz w:val="22"/>
          <w:szCs w:val="22"/>
          <w:vertAlign w:val="superscript"/>
        </w:rPr>
        <w:t>+</w:t>
      </w:r>
      <w:r w:rsidRPr="00157B3D">
        <w:rPr>
          <w:rFonts w:asciiTheme="minorHAnsi" w:hAnsiTheme="minorHAnsi"/>
          <w:b w:val="0"/>
          <w:bCs w:val="0"/>
          <w:sz w:val="22"/>
          <w:szCs w:val="22"/>
        </w:rPr>
        <w:t xml:space="preserve"> cells were gated on the CD11b-positive population for microglia/macrophages while excluding T cells (CD3), B cells (CD19), and NK cells (NK1.1) in the dump channel. A purer microglial population was collected by removing cells that were positive for infiltrating macrophage maker Ly6C and neutrophil marker Ly6G. </w:t>
      </w:r>
      <w:r w:rsidRPr="00157B3D">
        <w:rPr>
          <w:rFonts w:asciiTheme="minorHAnsi" w:hAnsiTheme="minorHAnsi"/>
          <w:sz w:val="22"/>
          <w:szCs w:val="22"/>
        </w:rPr>
        <w:t>B)</w:t>
      </w:r>
      <w:r w:rsidRPr="00157B3D">
        <w:rPr>
          <w:rFonts w:asciiTheme="minorHAnsi" w:hAnsiTheme="minorHAnsi"/>
          <w:b w:val="0"/>
          <w:bCs w:val="0"/>
          <w:sz w:val="22"/>
          <w:szCs w:val="22"/>
        </w:rPr>
        <w:t xml:space="preserve"> Post-sort analysis for the purity of the isolated CD45</w:t>
      </w:r>
      <w:r w:rsidRPr="00157B3D">
        <w:rPr>
          <w:rFonts w:asciiTheme="minorHAnsi" w:hAnsiTheme="minorHAnsi"/>
          <w:b w:val="0"/>
          <w:bCs w:val="0"/>
          <w:sz w:val="22"/>
          <w:szCs w:val="22"/>
          <w:vertAlign w:val="superscript"/>
        </w:rPr>
        <w:t>+</w:t>
      </w:r>
      <w:r w:rsidRPr="00157B3D">
        <w:rPr>
          <w:rFonts w:asciiTheme="minorHAnsi" w:hAnsiTheme="minorHAnsi"/>
          <w:b w:val="0"/>
          <w:bCs w:val="0"/>
          <w:sz w:val="22"/>
          <w:szCs w:val="22"/>
        </w:rPr>
        <w:t>CD11b</w:t>
      </w:r>
      <w:r w:rsidRPr="00157B3D">
        <w:rPr>
          <w:rFonts w:asciiTheme="minorHAnsi" w:hAnsiTheme="minorHAnsi"/>
          <w:b w:val="0"/>
          <w:bCs w:val="0"/>
          <w:sz w:val="22"/>
          <w:szCs w:val="22"/>
          <w:vertAlign w:val="superscript"/>
        </w:rPr>
        <w:t>+</w:t>
      </w:r>
      <w:r w:rsidRPr="00157B3D">
        <w:rPr>
          <w:rFonts w:asciiTheme="minorHAnsi" w:hAnsiTheme="minorHAnsi"/>
          <w:b w:val="0"/>
          <w:bCs w:val="0"/>
          <w:sz w:val="22"/>
          <w:szCs w:val="22"/>
        </w:rPr>
        <w:t>Ly6C</w:t>
      </w:r>
      <w:r w:rsidRPr="00157B3D">
        <w:rPr>
          <w:rFonts w:asciiTheme="minorHAnsi" w:hAnsiTheme="minorHAnsi"/>
          <w:b w:val="0"/>
          <w:bCs w:val="0"/>
          <w:sz w:val="22"/>
          <w:szCs w:val="22"/>
          <w:vertAlign w:val="superscript"/>
        </w:rPr>
        <w:t>-</w:t>
      </w:r>
      <w:r w:rsidRPr="00157B3D">
        <w:rPr>
          <w:rFonts w:asciiTheme="minorHAnsi" w:hAnsiTheme="minorHAnsi"/>
          <w:b w:val="0"/>
          <w:bCs w:val="0"/>
          <w:sz w:val="22"/>
          <w:szCs w:val="22"/>
        </w:rPr>
        <w:t>Ly6G</w:t>
      </w:r>
      <w:r w:rsidRPr="00157B3D">
        <w:rPr>
          <w:rFonts w:asciiTheme="minorHAnsi" w:hAnsiTheme="minorHAnsi"/>
          <w:b w:val="0"/>
          <w:bCs w:val="0"/>
          <w:sz w:val="22"/>
          <w:szCs w:val="22"/>
          <w:vertAlign w:val="superscript"/>
        </w:rPr>
        <w:t>-</w:t>
      </w:r>
      <w:r w:rsidRPr="00157B3D">
        <w:rPr>
          <w:rFonts w:asciiTheme="minorHAnsi" w:hAnsiTheme="minorHAnsi"/>
          <w:b w:val="0"/>
          <w:bCs w:val="0"/>
          <w:sz w:val="22"/>
          <w:szCs w:val="22"/>
        </w:rPr>
        <w:t>Dump</w:t>
      </w:r>
      <w:r w:rsidRPr="00157B3D">
        <w:rPr>
          <w:rFonts w:asciiTheme="minorHAnsi" w:hAnsiTheme="minorHAnsi"/>
          <w:b w:val="0"/>
          <w:bCs w:val="0"/>
          <w:sz w:val="22"/>
          <w:szCs w:val="22"/>
          <w:vertAlign w:val="superscript"/>
        </w:rPr>
        <w:t>-</w:t>
      </w:r>
      <w:r w:rsidRPr="00157B3D">
        <w:rPr>
          <w:rFonts w:asciiTheme="minorHAnsi" w:hAnsiTheme="minorHAnsi"/>
          <w:b w:val="0"/>
          <w:bCs w:val="0"/>
          <w:sz w:val="22"/>
          <w:szCs w:val="22"/>
        </w:rPr>
        <w:t xml:space="preserve"> microglia. </w:t>
      </w:r>
    </w:p>
    <w:p w14:paraId="11FD04A3" w14:textId="77777777" w:rsidR="00AD659A" w:rsidRDefault="00AD659A" w:rsidP="00AD659A"/>
    <w:p w14:paraId="63C087CC" w14:textId="77777777" w:rsidR="00AD659A" w:rsidRDefault="00AD659A" w:rsidP="00AD659A"/>
    <w:p w14:paraId="0A65AB91" w14:textId="77777777" w:rsidR="00AD659A" w:rsidRDefault="00AD659A" w:rsidP="00AD659A"/>
    <w:p w14:paraId="5393FF66" w14:textId="77777777" w:rsidR="00AD659A" w:rsidRDefault="00AD659A" w:rsidP="00AD659A"/>
    <w:p w14:paraId="639DD8F2" w14:textId="77777777" w:rsidR="00AD659A" w:rsidRDefault="00AD659A" w:rsidP="00AD659A"/>
    <w:p w14:paraId="158A2EAC" w14:textId="77777777" w:rsidR="00AD659A" w:rsidRDefault="00AD659A" w:rsidP="00AD659A"/>
    <w:p w14:paraId="24094781" w14:textId="77777777" w:rsidR="00AD659A" w:rsidRDefault="00AD659A" w:rsidP="00AD659A"/>
    <w:p w14:paraId="10E4F17B" w14:textId="77777777" w:rsidR="00AD659A" w:rsidRDefault="00AD659A" w:rsidP="00AD659A"/>
    <w:p w14:paraId="053042C7" w14:textId="77777777" w:rsidR="00AD659A" w:rsidRDefault="00AD659A" w:rsidP="00AD659A"/>
    <w:p w14:paraId="050FEAF6" w14:textId="77777777" w:rsidR="00AD659A" w:rsidRDefault="00AD659A" w:rsidP="00AD659A"/>
    <w:p w14:paraId="18C7D397" w14:textId="77777777" w:rsidR="00AD659A" w:rsidRDefault="00AD659A" w:rsidP="00AD659A"/>
    <w:p w14:paraId="5175CA1D" w14:textId="77777777" w:rsidR="00AD659A" w:rsidRDefault="00AD659A" w:rsidP="00AD659A"/>
    <w:p w14:paraId="1A8DDB3A" w14:textId="11F80A71" w:rsidR="00AD659A" w:rsidRPr="00AD659A" w:rsidRDefault="00AD659A" w:rsidP="00AD659A">
      <w:r>
        <w:rPr>
          <w:noProof/>
        </w:rPr>
        <w:drawing>
          <wp:inline distT="0" distB="0" distL="0" distR="0" wp14:anchorId="126A9879" wp14:editId="00679567">
            <wp:extent cx="6035040" cy="2443419"/>
            <wp:effectExtent l="0" t="0" r="3810" b="0"/>
            <wp:docPr id="2097801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5040" cy="2443419"/>
                    </a:xfrm>
                    <a:prstGeom prst="rect">
                      <a:avLst/>
                    </a:prstGeom>
                    <a:noFill/>
                  </pic:spPr>
                </pic:pic>
              </a:graphicData>
            </a:graphic>
          </wp:inline>
        </w:drawing>
      </w:r>
    </w:p>
    <w:p w14:paraId="1D66747B" w14:textId="77777777" w:rsidR="00AD659A" w:rsidRDefault="00AD659A" w:rsidP="001143B6">
      <w:pPr>
        <w:pStyle w:val="Caption"/>
        <w:rPr>
          <w:rFonts w:asciiTheme="minorHAnsi" w:hAnsiTheme="minorHAnsi" w:cs="Arial"/>
          <w:sz w:val="22"/>
          <w:szCs w:val="22"/>
        </w:rPr>
      </w:pPr>
      <w:bookmarkStart w:id="0" w:name="_Toc165460562"/>
    </w:p>
    <w:p w14:paraId="5BC97A60" w14:textId="5B68AB09" w:rsidR="00AD659A" w:rsidRPr="00AD659A" w:rsidRDefault="001143B6" w:rsidP="00AD659A">
      <w:pPr>
        <w:pStyle w:val="Caption"/>
        <w:rPr>
          <w:rFonts w:asciiTheme="minorHAnsi" w:hAnsiTheme="minorHAnsi" w:cs="Arial"/>
          <w:b w:val="0"/>
          <w:bCs w:val="0"/>
          <w:sz w:val="22"/>
          <w:szCs w:val="22"/>
        </w:rPr>
      </w:pPr>
      <w:r w:rsidRPr="00157B3D">
        <w:rPr>
          <w:rFonts w:asciiTheme="minorHAnsi" w:hAnsiTheme="minorHAnsi" w:cs="Arial"/>
          <w:sz w:val="22"/>
          <w:szCs w:val="22"/>
        </w:rPr>
        <w:t>Supplementary Fig</w:t>
      </w:r>
      <w:r>
        <w:rPr>
          <w:rFonts w:asciiTheme="minorHAnsi" w:hAnsiTheme="minorHAnsi" w:cs="Arial"/>
          <w:sz w:val="22"/>
          <w:szCs w:val="22"/>
        </w:rPr>
        <w:t>.</w:t>
      </w:r>
      <w:r w:rsidRPr="00157B3D">
        <w:rPr>
          <w:rFonts w:asciiTheme="minorHAnsi" w:hAnsiTheme="minorHAnsi" w:cs="Arial"/>
          <w:sz w:val="22"/>
          <w:szCs w:val="22"/>
        </w:rPr>
        <w:t xml:space="preserve"> 2</w:t>
      </w:r>
      <w:r w:rsidRPr="00157B3D">
        <w:rPr>
          <w:rFonts w:asciiTheme="minorHAnsi" w:hAnsiTheme="minorHAnsi"/>
          <w:sz w:val="22"/>
          <w:szCs w:val="22"/>
        </w:rPr>
        <w:t xml:space="preserve"> </w:t>
      </w:r>
      <w:bookmarkEnd w:id="0"/>
      <w:r w:rsidRPr="00157B3D">
        <w:rPr>
          <w:rFonts w:asciiTheme="minorHAnsi" w:hAnsiTheme="minorHAnsi" w:cs="Arial"/>
          <w:sz w:val="22"/>
          <w:szCs w:val="22"/>
        </w:rPr>
        <w:t xml:space="preserve">Correlation analysis of gene expression in spinal cord microglia from mice 14 days after intrathecal injection of sEVs or PBS. A) </w:t>
      </w:r>
      <w:r w:rsidRPr="00157B3D">
        <w:rPr>
          <w:rFonts w:asciiTheme="minorHAnsi" w:hAnsiTheme="minorHAnsi" w:cs="Arial"/>
          <w:b w:val="0"/>
          <w:bCs w:val="0"/>
          <w:sz w:val="22"/>
          <w:szCs w:val="22"/>
        </w:rPr>
        <w:t>Principal component analysis (PCA).</w:t>
      </w:r>
      <w:r w:rsidRPr="00157B3D">
        <w:rPr>
          <w:rFonts w:asciiTheme="minorHAnsi" w:hAnsiTheme="minorHAnsi" w:cs="Arial"/>
          <w:sz w:val="22"/>
          <w:szCs w:val="22"/>
        </w:rPr>
        <w:t xml:space="preserve"> B) </w:t>
      </w:r>
      <w:r w:rsidRPr="00157B3D">
        <w:rPr>
          <w:rFonts w:asciiTheme="minorHAnsi" w:hAnsiTheme="minorHAnsi" w:cs="Arial"/>
          <w:b w:val="0"/>
          <w:bCs w:val="0"/>
          <w:sz w:val="22"/>
          <w:szCs w:val="22"/>
        </w:rPr>
        <w:t>Hierarchical clustering of gene expression profiles. The gradient legend represents expression levels, with red indicating high expression and blue indicating low expression. Microglia were isolated from the whole spinal cord of mice 14 days post-sEV or PBS injection</w:t>
      </w:r>
      <w:r>
        <w:rPr>
          <w:rFonts w:asciiTheme="minorHAnsi" w:hAnsiTheme="minorHAnsi" w:cs="Arial"/>
          <w:b w:val="0"/>
          <w:bCs w:val="0"/>
          <w:sz w:val="22"/>
          <w:szCs w:val="22"/>
        </w:rPr>
        <w:t>. Two samples were obtained</w:t>
      </w:r>
      <w:r w:rsidRPr="00157B3D">
        <w:rPr>
          <w:rFonts w:asciiTheme="minorHAnsi" w:hAnsiTheme="minorHAnsi" w:cs="Arial"/>
          <w:b w:val="0"/>
          <w:bCs w:val="0"/>
          <w:sz w:val="22"/>
          <w:szCs w:val="22"/>
        </w:rPr>
        <w:t xml:space="preserve"> by magnetic-activated cell sorting (MACS)</w:t>
      </w:r>
      <w:r>
        <w:rPr>
          <w:rFonts w:asciiTheme="minorHAnsi" w:hAnsiTheme="minorHAnsi" w:cs="Arial"/>
          <w:b w:val="0"/>
          <w:bCs w:val="0"/>
          <w:sz w:val="22"/>
          <w:szCs w:val="22"/>
        </w:rPr>
        <w:t xml:space="preserve"> and two by </w:t>
      </w:r>
      <w:r w:rsidRPr="00157B3D">
        <w:rPr>
          <w:rFonts w:asciiTheme="minorHAnsi" w:hAnsiTheme="minorHAnsi" w:cs="Arial"/>
          <w:b w:val="0"/>
          <w:bCs w:val="0"/>
          <w:sz w:val="22"/>
          <w:szCs w:val="22"/>
        </w:rPr>
        <w:t xml:space="preserve">fluorescence-activated cell sorting (FACS). Each sample subjected to sequencing consisted of a pool of 6-8 mice. </w:t>
      </w:r>
    </w:p>
    <w:p w14:paraId="5CDB4BB4" w14:textId="77777777" w:rsidR="001143B6" w:rsidRDefault="001143B6" w:rsidP="001143B6">
      <w:pPr>
        <w:spacing w:line="480" w:lineRule="auto"/>
        <w:jc w:val="both"/>
        <w:rPr>
          <w:color w:val="D86DCB" w:themeColor="accent5" w:themeTint="99"/>
          <w:sz w:val="22"/>
          <w:szCs w:val="22"/>
        </w:rPr>
      </w:pPr>
      <w:r w:rsidRPr="00157B3D">
        <w:rPr>
          <w:b/>
          <w:bCs/>
          <w:sz w:val="22"/>
          <w:szCs w:val="22"/>
        </w:rPr>
        <w:t>Supplementary Table 1</w:t>
      </w:r>
      <w:r w:rsidRPr="00157B3D">
        <w:rPr>
          <w:sz w:val="22"/>
          <w:szCs w:val="22"/>
        </w:rPr>
        <w:t xml:space="preserve"> List </w:t>
      </w:r>
      <w:r w:rsidRPr="00FA19DF">
        <w:rPr>
          <w:sz w:val="22"/>
          <w:szCs w:val="22"/>
        </w:rPr>
        <w:t>of differentially expressed genes in lumbar spinal cord tissue 7 days after sEV treatment. Genes were selected based on p-value &lt; 0.01 and absolute fold change &gt; 2. Signed fold change indicates direction and magnitude of expression change relative to PBS-treated controls.</w:t>
      </w:r>
      <w:r w:rsidRPr="00F82B34">
        <w:rPr>
          <w:color w:val="D86DCB" w:themeColor="accent5" w:themeTint="99"/>
          <w:sz w:val="22"/>
          <w:szCs w:val="22"/>
        </w:rPr>
        <w:t xml:space="preserve"> </w:t>
      </w:r>
    </w:p>
    <w:p w14:paraId="2A97FD29" w14:textId="2C41DDED" w:rsidR="00742494" w:rsidRDefault="006D1877" w:rsidP="001143B6">
      <w:pPr>
        <w:spacing w:line="480" w:lineRule="auto"/>
        <w:jc w:val="both"/>
        <w:rPr>
          <w:color w:val="D86DCB" w:themeColor="accent5" w:themeTint="99"/>
          <w:sz w:val="22"/>
          <w:szCs w:val="22"/>
        </w:rPr>
      </w:pPr>
      <w:r>
        <w:rPr>
          <w:color w:val="D86DCB" w:themeColor="accent5" w:themeTint="99"/>
          <w:sz w:val="22"/>
          <w:szCs w:val="22"/>
        </w:rPr>
        <w:object w:dxaOrig="1473" w:dyaOrig="972" w14:anchorId="75EB9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3.75pt;height:48.5pt" o:ole="">
            <v:imagedata r:id="rId6" o:title=""/>
          </v:shape>
          <o:OLEObject Type="Link" ProgID="Excel.Sheet.12" ShapeID="_x0000_i1042" DrawAspect="Icon" r:id="rId7" UpdateMode="Always">
            <o:LinkType>EnhancedMetaFile</o:LinkType>
            <o:LockedField>false</o:LockedField>
            <o:FieldCodes>\f 0</o:FieldCodes>
          </o:OLEObject>
        </w:object>
      </w:r>
    </w:p>
    <w:p w14:paraId="64C5A7B8" w14:textId="60691A65" w:rsidR="001A1891" w:rsidRDefault="001143B6" w:rsidP="001143B6">
      <w:pPr>
        <w:spacing w:line="480" w:lineRule="auto"/>
        <w:jc w:val="both"/>
        <w:rPr>
          <w:sz w:val="22"/>
          <w:szCs w:val="22"/>
        </w:rPr>
      </w:pPr>
      <w:r w:rsidRPr="00157B3D">
        <w:rPr>
          <w:b/>
          <w:bCs/>
          <w:sz w:val="22"/>
          <w:szCs w:val="22"/>
        </w:rPr>
        <w:t xml:space="preserve">Supplementary Table </w:t>
      </w:r>
      <w:r w:rsidRPr="00157B3D">
        <w:rPr>
          <w:b/>
          <w:bCs/>
          <w:sz w:val="22"/>
          <w:szCs w:val="22"/>
        </w:rPr>
        <w:fldChar w:fldCharType="begin"/>
      </w:r>
      <w:r w:rsidRPr="00157B3D">
        <w:rPr>
          <w:b/>
          <w:bCs/>
          <w:sz w:val="22"/>
          <w:szCs w:val="22"/>
        </w:rPr>
        <w:instrText xml:space="preserve"> SEQ Table \* ARABIC </w:instrText>
      </w:r>
      <w:r w:rsidRPr="00157B3D">
        <w:rPr>
          <w:b/>
          <w:bCs/>
          <w:sz w:val="22"/>
          <w:szCs w:val="22"/>
        </w:rPr>
        <w:fldChar w:fldCharType="separate"/>
      </w:r>
      <w:r w:rsidRPr="00157B3D">
        <w:rPr>
          <w:b/>
          <w:bCs/>
          <w:noProof/>
          <w:sz w:val="22"/>
          <w:szCs w:val="22"/>
        </w:rPr>
        <w:t>2</w:t>
      </w:r>
      <w:r w:rsidRPr="00157B3D">
        <w:rPr>
          <w:b/>
          <w:bCs/>
          <w:sz w:val="22"/>
          <w:szCs w:val="22"/>
        </w:rPr>
        <w:fldChar w:fldCharType="end"/>
      </w:r>
      <w:r w:rsidRPr="00157B3D">
        <w:rPr>
          <w:sz w:val="22"/>
          <w:szCs w:val="22"/>
        </w:rPr>
        <w:t xml:space="preserve"> </w:t>
      </w:r>
      <w:r w:rsidRPr="00FA19DF">
        <w:rPr>
          <w:sz w:val="22"/>
          <w:szCs w:val="22"/>
        </w:rPr>
        <w:t xml:space="preserve">Differentially expressed genes (excluding predicted or unannotated genes) in spinal cord microglia isolated 14 days after sEV treatment. Genes were selected based on p-value </w:t>
      </w:r>
      <w:r w:rsidRPr="00FA19DF">
        <w:rPr>
          <w:sz w:val="22"/>
          <w:szCs w:val="22"/>
        </w:rPr>
        <w:lastRenderedPageBreak/>
        <w:t>&lt; 0.01 and absolute fold change &gt; 2. Signed fold change indicates direction and magnitude of expression change relative to PBS-treated controls.</w:t>
      </w:r>
      <w:r w:rsidRPr="006F3A4B">
        <w:rPr>
          <w:sz w:val="22"/>
          <w:szCs w:val="22"/>
        </w:rPr>
        <w:t xml:space="preserve"> </w:t>
      </w:r>
    </w:p>
    <w:p w14:paraId="0A6F9C30" w14:textId="06DB8124" w:rsidR="00742494" w:rsidRDefault="00742494" w:rsidP="001143B6">
      <w:pPr>
        <w:spacing w:line="480" w:lineRule="auto"/>
        <w:jc w:val="both"/>
        <w:rPr>
          <w:sz w:val="22"/>
          <w:szCs w:val="22"/>
        </w:rPr>
      </w:pPr>
      <w:r>
        <w:rPr>
          <w:sz w:val="22"/>
          <w:szCs w:val="22"/>
        </w:rPr>
        <w:object w:dxaOrig="1473" w:dyaOrig="972" w14:anchorId="2DF5E8A1">
          <v:shape id="_x0000_i1040" type="#_x0000_t75" style="width:73.75pt;height:48.5pt" o:ole="">
            <v:imagedata r:id="rId8" o:title=""/>
          </v:shape>
          <o:OLEObject Type="Link" ProgID="Excel.Sheet.12" ShapeID="_x0000_i1040" DrawAspect="Icon" r:id="rId9" UpdateMode="Always">
            <o:LinkType>EnhancedMetaFile</o:LinkType>
            <o:LockedField>false</o:LockedField>
            <o:FieldCodes>\f 0</o:FieldCodes>
          </o:OLEObject>
        </w:object>
      </w:r>
    </w:p>
    <w:p w14:paraId="286BB094" w14:textId="77777777" w:rsidR="001143B6" w:rsidRDefault="001143B6" w:rsidP="001143B6">
      <w:pPr>
        <w:spacing w:line="480" w:lineRule="auto"/>
        <w:jc w:val="both"/>
        <w:rPr>
          <w:rFonts w:cs="Arial"/>
          <w:sz w:val="22"/>
          <w:szCs w:val="22"/>
        </w:rPr>
      </w:pPr>
      <w:r w:rsidRPr="00157B3D">
        <w:rPr>
          <w:rFonts w:cs="Arial"/>
          <w:b/>
          <w:bCs/>
          <w:sz w:val="22"/>
          <w:szCs w:val="22"/>
        </w:rPr>
        <w:t xml:space="preserve">Supplementary Table 3 </w:t>
      </w:r>
      <w:r w:rsidRPr="00157B3D">
        <w:rPr>
          <w:rFonts w:cs="Arial"/>
          <w:sz w:val="22"/>
          <w:szCs w:val="22"/>
        </w:rPr>
        <w:t>Alte</w:t>
      </w:r>
      <w:r w:rsidRPr="00FA19DF">
        <w:rPr>
          <w:rFonts w:cs="Arial"/>
          <w:sz w:val="22"/>
          <w:szCs w:val="22"/>
        </w:rPr>
        <w:t>rations in H3K4me1 enrichment following sEV treatment, determined using ChIP-seq with an H3K4me1 antibody on spinal microglia collected 14 days after sEV injection</w:t>
      </w:r>
      <w:r>
        <w:rPr>
          <w:rFonts w:cs="Arial"/>
          <w:sz w:val="22"/>
          <w:szCs w:val="22"/>
        </w:rPr>
        <w:t xml:space="preserve">. In the </w:t>
      </w:r>
      <w:r w:rsidRPr="0075363D">
        <w:rPr>
          <w:rFonts w:cs="Arial"/>
          <w:sz w:val="22"/>
          <w:szCs w:val="22"/>
        </w:rPr>
        <w:t>two biological samples per condition</w:t>
      </w:r>
      <w:r>
        <w:rPr>
          <w:rFonts w:cs="Arial"/>
          <w:sz w:val="22"/>
          <w:szCs w:val="22"/>
        </w:rPr>
        <w:t>,</w:t>
      </w:r>
      <w:r w:rsidRPr="0075363D">
        <w:rPr>
          <w:rFonts w:cs="Arial"/>
          <w:sz w:val="22"/>
          <w:szCs w:val="22"/>
        </w:rPr>
        <w:t xml:space="preserve"> </w:t>
      </w:r>
      <w:r>
        <w:rPr>
          <w:rFonts w:cs="Arial"/>
          <w:sz w:val="22"/>
          <w:szCs w:val="22"/>
        </w:rPr>
        <w:t>e</w:t>
      </w:r>
      <w:r w:rsidRPr="00C61937">
        <w:rPr>
          <w:rFonts w:cs="Arial"/>
          <w:sz w:val="22"/>
          <w:szCs w:val="22"/>
        </w:rPr>
        <w:t xml:space="preserve">ach replicate consisted of a pool of </w:t>
      </w:r>
      <w:r>
        <w:rPr>
          <w:rFonts w:cs="Arial"/>
          <w:sz w:val="22"/>
          <w:szCs w:val="22"/>
        </w:rPr>
        <w:t>6-8</w:t>
      </w:r>
      <w:r w:rsidRPr="00C61937">
        <w:rPr>
          <w:rFonts w:cs="Arial"/>
          <w:sz w:val="22"/>
          <w:szCs w:val="22"/>
        </w:rPr>
        <w:t xml:space="preserve"> mice</w:t>
      </w:r>
      <w:r>
        <w:rPr>
          <w:rFonts w:cs="Arial"/>
          <w:sz w:val="22"/>
          <w:szCs w:val="22"/>
        </w:rPr>
        <w:t xml:space="preserve">. </w:t>
      </w:r>
      <w:r w:rsidRPr="00FA19DF">
        <w:rPr>
          <w:rFonts w:cs="Arial"/>
          <w:sz w:val="22"/>
          <w:szCs w:val="22"/>
        </w:rPr>
        <w:t>Gene set enrichment analysis (GSEA) performed using the genes associated with peaks present only in the sEV-treated group.</w:t>
      </w:r>
      <w:r w:rsidRPr="00FA19DF">
        <w:rPr>
          <w:rFonts w:cs="Arial"/>
          <w:sz w:val="22"/>
          <w:szCs w:val="22"/>
          <w:highlight w:val="yellow"/>
        </w:rPr>
        <w:t xml:space="preserve"> </w:t>
      </w:r>
    </w:p>
    <w:p w14:paraId="4DC7F7B9" w14:textId="78B74AD1" w:rsidR="00742494" w:rsidRDefault="00742494" w:rsidP="001143B6">
      <w:pPr>
        <w:spacing w:line="480" w:lineRule="auto"/>
        <w:jc w:val="both"/>
        <w:rPr>
          <w:rFonts w:cs="Arial"/>
          <w:sz w:val="22"/>
          <w:szCs w:val="22"/>
        </w:rPr>
      </w:pPr>
      <w:r>
        <w:rPr>
          <w:rFonts w:cs="Arial"/>
          <w:sz w:val="22"/>
          <w:szCs w:val="22"/>
        </w:rPr>
        <w:object w:dxaOrig="1473" w:dyaOrig="972" w14:anchorId="2ABE3208">
          <v:shape id="_x0000_i1038" type="#_x0000_t75" style="width:73.75pt;height:48.5pt" o:ole="">
            <v:imagedata r:id="rId10" o:title=""/>
          </v:shape>
          <o:OLEObject Type="Link" ProgID="Excel.Sheet.12" ShapeID="_x0000_i1038" DrawAspect="Icon" r:id="rId11" UpdateMode="Always">
            <o:LinkType>EnhancedMetaFile</o:LinkType>
            <o:LockedField>false</o:LockedField>
            <o:FieldCodes>\f 0</o:FieldCodes>
          </o:OLEObject>
        </w:object>
      </w:r>
    </w:p>
    <w:p w14:paraId="55E1178F" w14:textId="77777777" w:rsidR="00133793" w:rsidRPr="00FA19DF" w:rsidRDefault="00133793" w:rsidP="00133793">
      <w:pPr>
        <w:spacing w:line="480" w:lineRule="auto"/>
        <w:jc w:val="both"/>
        <w:rPr>
          <w:rFonts w:cs="Arial"/>
          <w:sz w:val="22"/>
          <w:szCs w:val="22"/>
        </w:rPr>
      </w:pPr>
      <w:r w:rsidRPr="00157B3D">
        <w:rPr>
          <w:rFonts w:cs="Arial"/>
          <w:b/>
          <w:bCs/>
          <w:sz w:val="22"/>
          <w:szCs w:val="22"/>
        </w:rPr>
        <w:t xml:space="preserve">Supplementary Table 4 </w:t>
      </w:r>
      <w:r w:rsidRPr="00FA19DF">
        <w:rPr>
          <w:sz w:val="22"/>
          <w:szCs w:val="22"/>
        </w:rPr>
        <w:t xml:space="preserve">Experimental design for studying effects of blocking H3Kme1 deposition by inhibiting SETD7 methyltransferase activity using PFI-2 in sEV-induced prophylaxis. </w:t>
      </w:r>
      <w:r w:rsidRPr="00FA19DF">
        <w:rPr>
          <w:rFonts w:cs="Times New Roman"/>
          <w:sz w:val="22"/>
          <w:szCs w:val="22"/>
        </w:rPr>
        <w:t xml:space="preserve">DMSO at different concentrations were used as vehicle control. VEH, vehicle. sEVs, small extracellular vesicles. </w:t>
      </w:r>
    </w:p>
    <w:p w14:paraId="3C3CB7E5" w14:textId="77777777" w:rsidR="00AD659A" w:rsidRDefault="00AD659A" w:rsidP="001143B6">
      <w:pPr>
        <w:spacing w:line="480" w:lineRule="auto"/>
        <w:jc w:val="both"/>
        <w:rPr>
          <w:rFonts w:cs="Arial"/>
          <w:sz w:val="22"/>
          <w:szCs w:val="22"/>
        </w:rPr>
      </w:pPr>
    </w:p>
    <w:tbl>
      <w:tblPr>
        <w:tblStyle w:val="TableGrid"/>
        <w:tblW w:w="5000" w:type="pct"/>
        <w:tblLook w:val="04A0" w:firstRow="1" w:lastRow="0" w:firstColumn="1" w:lastColumn="0" w:noHBand="0" w:noVBand="1"/>
      </w:tblPr>
      <w:tblGrid>
        <w:gridCol w:w="1750"/>
        <w:gridCol w:w="4976"/>
        <w:gridCol w:w="2624"/>
      </w:tblGrid>
      <w:tr w:rsidR="00AD659A" w:rsidRPr="005701C0" w14:paraId="6DE90CD2" w14:textId="77777777" w:rsidTr="0081422A">
        <w:trPr>
          <w:trHeight w:val="432"/>
        </w:trPr>
        <w:tc>
          <w:tcPr>
            <w:tcW w:w="936" w:type="pct"/>
          </w:tcPr>
          <w:p w14:paraId="14867C13" w14:textId="77777777" w:rsidR="00AD659A" w:rsidRPr="005701C0" w:rsidRDefault="00AD659A" w:rsidP="0081422A">
            <w:pPr>
              <w:jc w:val="center"/>
              <w:rPr>
                <w:rFonts w:cs="Times New Roman"/>
                <w:b/>
                <w:bCs/>
              </w:rPr>
            </w:pPr>
            <w:r w:rsidRPr="005701C0">
              <w:rPr>
                <w:rFonts w:cs="Times New Roman"/>
                <w:b/>
                <w:bCs/>
              </w:rPr>
              <w:t>Group</w:t>
            </w:r>
          </w:p>
        </w:tc>
        <w:tc>
          <w:tcPr>
            <w:tcW w:w="2661" w:type="pct"/>
          </w:tcPr>
          <w:p w14:paraId="0652A6EB" w14:textId="77777777" w:rsidR="00AD659A" w:rsidRPr="005701C0" w:rsidRDefault="00AD659A" w:rsidP="0081422A">
            <w:pPr>
              <w:jc w:val="center"/>
              <w:rPr>
                <w:rFonts w:cs="Times New Roman"/>
                <w:b/>
                <w:bCs/>
              </w:rPr>
            </w:pPr>
            <w:r w:rsidRPr="005701C0">
              <w:rPr>
                <w:rFonts w:cs="Times New Roman"/>
                <w:b/>
                <w:bCs/>
              </w:rPr>
              <w:t>Day 1</w:t>
            </w:r>
          </w:p>
        </w:tc>
        <w:tc>
          <w:tcPr>
            <w:tcW w:w="1403" w:type="pct"/>
          </w:tcPr>
          <w:p w14:paraId="2BDA39D3" w14:textId="77777777" w:rsidR="00AD659A" w:rsidRPr="005701C0" w:rsidRDefault="00AD659A" w:rsidP="0081422A">
            <w:pPr>
              <w:jc w:val="center"/>
              <w:rPr>
                <w:rFonts w:cs="Times New Roman"/>
              </w:rPr>
            </w:pPr>
            <w:r w:rsidRPr="005701C0">
              <w:rPr>
                <w:rFonts w:cs="Times New Roman"/>
                <w:b/>
                <w:bCs/>
              </w:rPr>
              <w:t>Day 2</w:t>
            </w:r>
            <w:r>
              <w:rPr>
                <w:rFonts w:cs="Times New Roman"/>
                <w:b/>
                <w:bCs/>
              </w:rPr>
              <w:t>-</w:t>
            </w:r>
            <w:r w:rsidRPr="005701C0">
              <w:rPr>
                <w:rFonts w:cs="Times New Roman"/>
                <w:b/>
                <w:bCs/>
              </w:rPr>
              <w:t xml:space="preserve">4 </w:t>
            </w:r>
            <w:r w:rsidRPr="005701C0">
              <w:rPr>
                <w:rFonts w:cs="Times New Roman"/>
              </w:rPr>
              <w:t>(10 µL)</w:t>
            </w:r>
          </w:p>
        </w:tc>
      </w:tr>
      <w:tr w:rsidR="00AD659A" w:rsidRPr="005701C0" w14:paraId="7E5E2B76" w14:textId="77777777" w:rsidTr="0081422A">
        <w:trPr>
          <w:trHeight w:val="432"/>
        </w:trPr>
        <w:tc>
          <w:tcPr>
            <w:tcW w:w="936" w:type="pct"/>
          </w:tcPr>
          <w:p w14:paraId="209DC4D5" w14:textId="77777777" w:rsidR="00AD659A" w:rsidRPr="005701C0" w:rsidRDefault="00AD659A" w:rsidP="0081422A">
            <w:pPr>
              <w:jc w:val="center"/>
              <w:rPr>
                <w:rFonts w:cs="Times New Roman"/>
              </w:rPr>
            </w:pPr>
            <w:r w:rsidRPr="005701C0">
              <w:rPr>
                <w:rFonts w:cs="Times New Roman"/>
              </w:rPr>
              <w:t>PBS/VEH</w:t>
            </w:r>
          </w:p>
        </w:tc>
        <w:tc>
          <w:tcPr>
            <w:tcW w:w="2661" w:type="pct"/>
          </w:tcPr>
          <w:p w14:paraId="5F94F29F" w14:textId="77777777" w:rsidR="00AD659A" w:rsidRPr="005701C0" w:rsidRDefault="00AD659A" w:rsidP="0081422A">
            <w:pPr>
              <w:jc w:val="center"/>
              <w:rPr>
                <w:rFonts w:cs="Times New Roman"/>
              </w:rPr>
            </w:pPr>
            <w:r w:rsidRPr="005701C0">
              <w:rPr>
                <w:rFonts w:cs="Times New Roman"/>
              </w:rPr>
              <w:t>5 µL 1% DMSO + 5 µL PBS</w:t>
            </w:r>
          </w:p>
        </w:tc>
        <w:tc>
          <w:tcPr>
            <w:tcW w:w="1403" w:type="pct"/>
          </w:tcPr>
          <w:p w14:paraId="702CB665" w14:textId="77777777" w:rsidR="00AD659A" w:rsidRPr="005701C0" w:rsidRDefault="00AD659A" w:rsidP="0081422A">
            <w:pPr>
              <w:jc w:val="center"/>
              <w:rPr>
                <w:rFonts w:cs="Times New Roman"/>
              </w:rPr>
            </w:pPr>
            <w:r w:rsidRPr="005701C0">
              <w:rPr>
                <w:rFonts w:cs="Times New Roman"/>
              </w:rPr>
              <w:t>0.1% DMSO</w:t>
            </w:r>
          </w:p>
        </w:tc>
      </w:tr>
      <w:tr w:rsidR="00AD659A" w:rsidRPr="005701C0" w14:paraId="48686B16" w14:textId="77777777" w:rsidTr="0081422A">
        <w:trPr>
          <w:trHeight w:val="432"/>
        </w:trPr>
        <w:tc>
          <w:tcPr>
            <w:tcW w:w="936" w:type="pct"/>
          </w:tcPr>
          <w:p w14:paraId="7DB647EC" w14:textId="77777777" w:rsidR="00AD659A" w:rsidRPr="005701C0" w:rsidRDefault="00AD659A" w:rsidP="0081422A">
            <w:pPr>
              <w:jc w:val="center"/>
              <w:rPr>
                <w:rFonts w:cs="Times New Roman"/>
              </w:rPr>
            </w:pPr>
            <w:r w:rsidRPr="005701C0">
              <w:rPr>
                <w:rFonts w:cs="Times New Roman"/>
              </w:rPr>
              <w:t>sEVs/VEH</w:t>
            </w:r>
          </w:p>
        </w:tc>
        <w:tc>
          <w:tcPr>
            <w:tcW w:w="2661" w:type="pct"/>
          </w:tcPr>
          <w:p w14:paraId="54F224E4" w14:textId="77777777" w:rsidR="00AD659A" w:rsidRPr="005701C0" w:rsidRDefault="00AD659A" w:rsidP="0081422A">
            <w:pPr>
              <w:jc w:val="center"/>
              <w:rPr>
                <w:rFonts w:cs="Times New Roman"/>
              </w:rPr>
            </w:pPr>
            <w:r w:rsidRPr="005701C0">
              <w:rPr>
                <w:rFonts w:cs="Times New Roman"/>
              </w:rPr>
              <w:t>5 µL 1% DMSO + 5 µL sEVs (1 µg)</w:t>
            </w:r>
          </w:p>
        </w:tc>
        <w:tc>
          <w:tcPr>
            <w:tcW w:w="1403" w:type="pct"/>
          </w:tcPr>
          <w:p w14:paraId="687E17EA" w14:textId="77777777" w:rsidR="00AD659A" w:rsidRPr="005701C0" w:rsidRDefault="00AD659A" w:rsidP="0081422A">
            <w:pPr>
              <w:jc w:val="center"/>
              <w:rPr>
                <w:rFonts w:cs="Times New Roman"/>
              </w:rPr>
            </w:pPr>
            <w:r w:rsidRPr="005701C0">
              <w:rPr>
                <w:rFonts w:cs="Times New Roman"/>
              </w:rPr>
              <w:t>0.1% DMSO</w:t>
            </w:r>
          </w:p>
        </w:tc>
      </w:tr>
      <w:tr w:rsidR="00AD659A" w:rsidRPr="005701C0" w14:paraId="0F71C241" w14:textId="77777777" w:rsidTr="0081422A">
        <w:trPr>
          <w:trHeight w:val="432"/>
        </w:trPr>
        <w:tc>
          <w:tcPr>
            <w:tcW w:w="936" w:type="pct"/>
          </w:tcPr>
          <w:p w14:paraId="68E1073A" w14:textId="77777777" w:rsidR="00AD659A" w:rsidRPr="005701C0" w:rsidRDefault="00AD659A" w:rsidP="0081422A">
            <w:pPr>
              <w:jc w:val="center"/>
              <w:rPr>
                <w:rFonts w:cs="Times New Roman"/>
              </w:rPr>
            </w:pPr>
            <w:r w:rsidRPr="005701C0">
              <w:rPr>
                <w:rFonts w:cs="Times New Roman"/>
              </w:rPr>
              <w:t>PBS/PFI-2</w:t>
            </w:r>
          </w:p>
        </w:tc>
        <w:tc>
          <w:tcPr>
            <w:tcW w:w="2661" w:type="pct"/>
          </w:tcPr>
          <w:p w14:paraId="1BDF2CEA" w14:textId="77777777" w:rsidR="00AD659A" w:rsidRPr="005701C0" w:rsidRDefault="00AD659A" w:rsidP="0081422A">
            <w:pPr>
              <w:jc w:val="center"/>
              <w:rPr>
                <w:rFonts w:cs="Times New Roman"/>
              </w:rPr>
            </w:pPr>
            <w:r w:rsidRPr="005701C0">
              <w:rPr>
                <w:rFonts w:cs="Times New Roman"/>
              </w:rPr>
              <w:t>5 µL 20 µM PFI-2 + 5 µL PBS</w:t>
            </w:r>
          </w:p>
        </w:tc>
        <w:tc>
          <w:tcPr>
            <w:tcW w:w="1403" w:type="pct"/>
          </w:tcPr>
          <w:p w14:paraId="5BCAD59D" w14:textId="77777777" w:rsidR="00AD659A" w:rsidRPr="005701C0" w:rsidRDefault="00AD659A" w:rsidP="0081422A">
            <w:pPr>
              <w:jc w:val="center"/>
              <w:rPr>
                <w:rFonts w:cs="Times New Roman"/>
              </w:rPr>
            </w:pPr>
            <w:r w:rsidRPr="005701C0">
              <w:rPr>
                <w:rFonts w:cs="Times New Roman"/>
              </w:rPr>
              <w:t>10 µM PFI-2</w:t>
            </w:r>
          </w:p>
        </w:tc>
      </w:tr>
      <w:tr w:rsidR="00AD659A" w:rsidRPr="005701C0" w14:paraId="4E58EB6B" w14:textId="77777777" w:rsidTr="0081422A">
        <w:trPr>
          <w:trHeight w:val="432"/>
        </w:trPr>
        <w:tc>
          <w:tcPr>
            <w:tcW w:w="936" w:type="pct"/>
          </w:tcPr>
          <w:p w14:paraId="1A35DF67" w14:textId="77777777" w:rsidR="00AD659A" w:rsidRPr="005701C0" w:rsidRDefault="00AD659A" w:rsidP="0081422A">
            <w:pPr>
              <w:jc w:val="center"/>
              <w:rPr>
                <w:rFonts w:cs="Times New Roman"/>
              </w:rPr>
            </w:pPr>
            <w:r w:rsidRPr="005701C0">
              <w:rPr>
                <w:rFonts w:cs="Times New Roman"/>
              </w:rPr>
              <w:t>sEVs/PFI-2</w:t>
            </w:r>
          </w:p>
        </w:tc>
        <w:tc>
          <w:tcPr>
            <w:tcW w:w="2661" w:type="pct"/>
          </w:tcPr>
          <w:p w14:paraId="1FC83734" w14:textId="77777777" w:rsidR="00AD659A" w:rsidRPr="005701C0" w:rsidRDefault="00AD659A" w:rsidP="0081422A">
            <w:pPr>
              <w:jc w:val="center"/>
              <w:rPr>
                <w:rFonts w:cs="Times New Roman"/>
              </w:rPr>
            </w:pPr>
            <w:r w:rsidRPr="005701C0">
              <w:rPr>
                <w:rFonts w:cs="Times New Roman"/>
              </w:rPr>
              <w:t>5 µL 20 µM PFI-2 + 5 µL sEVs (1 µg)</w:t>
            </w:r>
          </w:p>
        </w:tc>
        <w:tc>
          <w:tcPr>
            <w:tcW w:w="1403" w:type="pct"/>
          </w:tcPr>
          <w:p w14:paraId="5EFA95FD" w14:textId="77777777" w:rsidR="00AD659A" w:rsidRPr="005701C0" w:rsidRDefault="00AD659A" w:rsidP="0081422A">
            <w:pPr>
              <w:jc w:val="center"/>
              <w:rPr>
                <w:rFonts w:cs="Times New Roman"/>
              </w:rPr>
            </w:pPr>
            <w:r w:rsidRPr="005701C0">
              <w:rPr>
                <w:rFonts w:cs="Times New Roman"/>
              </w:rPr>
              <w:t>10 µM PFI-2</w:t>
            </w:r>
          </w:p>
        </w:tc>
      </w:tr>
    </w:tbl>
    <w:p w14:paraId="38E78CB8" w14:textId="77777777" w:rsidR="00AD659A" w:rsidRDefault="00AD659A" w:rsidP="001143B6">
      <w:pPr>
        <w:spacing w:line="480" w:lineRule="auto"/>
        <w:jc w:val="both"/>
        <w:rPr>
          <w:rFonts w:cs="Arial"/>
          <w:sz w:val="22"/>
          <w:szCs w:val="22"/>
        </w:rPr>
      </w:pPr>
    </w:p>
    <w:p w14:paraId="336854E4" w14:textId="77777777" w:rsidR="001143B6" w:rsidRPr="006F3A4B" w:rsidRDefault="001143B6" w:rsidP="001143B6">
      <w:pPr>
        <w:spacing w:line="480" w:lineRule="auto"/>
        <w:rPr>
          <w:rFonts w:cs="Arial"/>
          <w:sz w:val="22"/>
          <w:szCs w:val="22"/>
        </w:rPr>
      </w:pPr>
    </w:p>
    <w:p w14:paraId="5683440D" w14:textId="77777777" w:rsidR="004A756C" w:rsidRDefault="004A756C"/>
    <w:sectPr w:rsidR="004A7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B6"/>
    <w:rsid w:val="001143B6"/>
    <w:rsid w:val="00133793"/>
    <w:rsid w:val="001A1891"/>
    <w:rsid w:val="002A52A3"/>
    <w:rsid w:val="00427B53"/>
    <w:rsid w:val="004A756C"/>
    <w:rsid w:val="006D1877"/>
    <w:rsid w:val="006D4724"/>
    <w:rsid w:val="00742494"/>
    <w:rsid w:val="0085263F"/>
    <w:rsid w:val="0090175F"/>
    <w:rsid w:val="00937F9D"/>
    <w:rsid w:val="00AD659A"/>
    <w:rsid w:val="00BB28E8"/>
    <w:rsid w:val="00BB5E32"/>
    <w:rsid w:val="00C4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3B2C"/>
  <w15:chartTrackingRefBased/>
  <w15:docId w15:val="{61D6D959-F7ED-49CD-9C35-28021EAD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3B6"/>
    <w:pPr>
      <w:spacing w:after="0" w:line="240" w:lineRule="auto"/>
    </w:pPr>
    <w:rPr>
      <w:rFonts w:eastAsiaTheme="minorEastAsia"/>
      <w:lang w:eastAsia="zh-CN"/>
    </w:rPr>
  </w:style>
  <w:style w:type="paragraph" w:styleId="Heading1">
    <w:name w:val="heading 1"/>
    <w:basedOn w:val="Normal"/>
    <w:next w:val="Normal"/>
    <w:link w:val="Heading1Char"/>
    <w:uiPriority w:val="9"/>
    <w:qFormat/>
    <w:rsid w:val="001143B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143B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143B6"/>
    <w:pPr>
      <w:keepNext/>
      <w:keepLines/>
      <w:spacing w:before="160" w:after="80" w:line="278"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143B6"/>
    <w:pPr>
      <w:keepNext/>
      <w:keepLines/>
      <w:spacing w:before="80" w:after="40" w:line="278"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1143B6"/>
    <w:pPr>
      <w:keepNext/>
      <w:keepLines/>
      <w:spacing w:before="80" w:after="40" w:line="278"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1143B6"/>
    <w:pPr>
      <w:keepNext/>
      <w:keepLines/>
      <w:spacing w:before="40" w:line="278"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1143B6"/>
    <w:pPr>
      <w:keepNext/>
      <w:keepLines/>
      <w:spacing w:before="40" w:line="278"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1143B6"/>
    <w:pPr>
      <w:keepNext/>
      <w:keepLines/>
      <w:spacing w:line="278"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1143B6"/>
    <w:pPr>
      <w:keepNext/>
      <w:keepLines/>
      <w:spacing w:line="278"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3B6"/>
    <w:rPr>
      <w:rFonts w:eastAsiaTheme="majorEastAsia" w:cstheme="majorBidi"/>
      <w:color w:val="272727" w:themeColor="text1" w:themeTint="D8"/>
    </w:rPr>
  </w:style>
  <w:style w:type="paragraph" w:styleId="Title">
    <w:name w:val="Title"/>
    <w:basedOn w:val="Normal"/>
    <w:next w:val="Normal"/>
    <w:link w:val="TitleChar"/>
    <w:uiPriority w:val="10"/>
    <w:qFormat/>
    <w:rsid w:val="001143B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14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3B6"/>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14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3B6"/>
    <w:pPr>
      <w:spacing w:before="160" w:after="160" w:line="278"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1143B6"/>
    <w:rPr>
      <w:i/>
      <w:iCs/>
      <w:color w:val="404040" w:themeColor="text1" w:themeTint="BF"/>
    </w:rPr>
  </w:style>
  <w:style w:type="paragraph" w:styleId="ListParagraph">
    <w:name w:val="List Paragraph"/>
    <w:basedOn w:val="Normal"/>
    <w:uiPriority w:val="34"/>
    <w:qFormat/>
    <w:rsid w:val="001143B6"/>
    <w:pPr>
      <w:spacing w:after="160" w:line="278" w:lineRule="auto"/>
      <w:ind w:left="720"/>
      <w:contextualSpacing/>
    </w:pPr>
    <w:rPr>
      <w:rFonts w:eastAsiaTheme="minorHAnsi"/>
      <w:lang w:eastAsia="en-US"/>
    </w:rPr>
  </w:style>
  <w:style w:type="character" w:styleId="IntenseEmphasis">
    <w:name w:val="Intense Emphasis"/>
    <w:basedOn w:val="DefaultParagraphFont"/>
    <w:uiPriority w:val="21"/>
    <w:qFormat/>
    <w:rsid w:val="001143B6"/>
    <w:rPr>
      <w:i/>
      <w:iCs/>
      <w:color w:val="0F4761" w:themeColor="accent1" w:themeShade="BF"/>
    </w:rPr>
  </w:style>
  <w:style w:type="paragraph" w:styleId="IntenseQuote">
    <w:name w:val="Intense Quote"/>
    <w:basedOn w:val="Normal"/>
    <w:next w:val="Normal"/>
    <w:link w:val="IntenseQuoteChar"/>
    <w:uiPriority w:val="30"/>
    <w:qFormat/>
    <w:rsid w:val="001143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1143B6"/>
    <w:rPr>
      <w:i/>
      <w:iCs/>
      <w:color w:val="0F4761" w:themeColor="accent1" w:themeShade="BF"/>
    </w:rPr>
  </w:style>
  <w:style w:type="character" w:styleId="IntenseReference">
    <w:name w:val="Intense Reference"/>
    <w:basedOn w:val="DefaultParagraphFont"/>
    <w:uiPriority w:val="32"/>
    <w:qFormat/>
    <w:rsid w:val="001143B6"/>
    <w:rPr>
      <w:b/>
      <w:bCs/>
      <w:smallCaps/>
      <w:color w:val="0F4761" w:themeColor="accent1" w:themeShade="BF"/>
      <w:spacing w:val="5"/>
    </w:rPr>
  </w:style>
  <w:style w:type="paragraph" w:styleId="Caption">
    <w:name w:val="caption"/>
    <w:basedOn w:val="Normal"/>
    <w:next w:val="Normal"/>
    <w:uiPriority w:val="35"/>
    <w:unhideWhenUsed/>
    <w:qFormat/>
    <w:rsid w:val="001143B6"/>
    <w:pPr>
      <w:keepNext/>
      <w:spacing w:line="480" w:lineRule="auto"/>
      <w:jc w:val="both"/>
    </w:pPr>
    <w:rPr>
      <w:rFonts w:ascii="Times New Roman" w:hAnsi="Times New Roman" w:cs="Times New Roman"/>
      <w:b/>
      <w:bCs/>
    </w:rPr>
  </w:style>
  <w:style w:type="table" w:styleId="TableGrid">
    <w:name w:val="Table Grid"/>
    <w:basedOn w:val="TableNormal"/>
    <w:uiPriority w:val="39"/>
    <w:rsid w:val="00AD659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1891"/>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file:///C:\Users\ska52\Dropbox\Ext%20Drive\August%202018\Manuscripts\Xuan%20epigen%20memory\Final%20figures\Supp%20Table%201.xls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oleObject" Target="file:///C:\Users\ska52\Dropbox\Ext%20Drive\August%202018\Manuscripts\Xuan%20epigen%20memory\Final%20figures\Supp%20Table%203.xlsx" TargetMode="External"/><Relationship Id="rId5" Type="http://schemas.openxmlformats.org/officeDocument/2006/relationships/image" Target="media/image2.png"/><Relationship Id="rId10" Type="http://schemas.openxmlformats.org/officeDocument/2006/relationships/image" Target="media/image5.emf"/><Relationship Id="rId4" Type="http://schemas.openxmlformats.org/officeDocument/2006/relationships/image" Target="media/image1.png"/><Relationship Id="rId9" Type="http://schemas.openxmlformats.org/officeDocument/2006/relationships/oleObject" Target="file:///C:\Users\ska52\Dropbox\Ext%20Drive\August%202018\Manuscripts\Xuan%20epigen%20memory\Final%20figures\Supp%20Table%20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Ajit,Seena</dc:creator>
  <cp:keywords/>
  <dc:description/>
  <cp:lastModifiedBy>Ajit,Seena</cp:lastModifiedBy>
  <cp:revision>3</cp:revision>
  <dcterms:created xsi:type="dcterms:W3CDTF">2026-05-22T13:45:00Z</dcterms:created>
  <dcterms:modified xsi:type="dcterms:W3CDTF">2026-05-22T13:45:00Z</dcterms:modified>
</cp:coreProperties>
</file>