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25" w:type="dxa"/>
        <w:jc w:val="center"/>
        <w:tblLook w:val="04A0" w:firstRow="1" w:lastRow="0" w:firstColumn="1" w:lastColumn="0" w:noHBand="0" w:noVBand="1"/>
      </w:tblPr>
      <w:tblGrid>
        <w:gridCol w:w="2053"/>
        <w:gridCol w:w="1344"/>
        <w:gridCol w:w="1272"/>
        <w:gridCol w:w="1356"/>
      </w:tblGrid>
      <w:tr w:rsidR="00F77FE8" w:rsidRPr="00451307" w14:paraId="7D6F455D" w14:textId="77777777">
        <w:trPr>
          <w:trHeight w:val="720"/>
          <w:jc w:val="center"/>
        </w:trPr>
        <w:tc>
          <w:tcPr>
            <w:tcW w:w="602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D3CD13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b/>
                <w:bCs/>
                <w:color w:val="000000"/>
                <w:spacing w:val="0"/>
                <w:w w:val="100"/>
                <w:szCs w:val="24"/>
              </w:rPr>
              <w:t>Supplementary Materials 1. Defining Variable Calibration Points.</w:t>
            </w:r>
          </w:p>
        </w:tc>
      </w:tr>
      <w:tr w:rsidR="00F77FE8" w:rsidRPr="00451307" w14:paraId="53285DE8" w14:textId="77777777">
        <w:trPr>
          <w:trHeight w:val="1100"/>
          <w:jc w:val="center"/>
        </w:trPr>
        <w:tc>
          <w:tcPr>
            <w:tcW w:w="20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C4FD78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Variable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3CA1AA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Full in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12ABA9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Crossover point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502F03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Full out</w:t>
            </w:r>
          </w:p>
        </w:tc>
      </w:tr>
      <w:tr w:rsidR="00F77FE8" w:rsidRPr="00451307" w14:paraId="491BDF0C" w14:textId="77777777">
        <w:trPr>
          <w:trHeight w:val="1100"/>
          <w:jc w:val="center"/>
        </w:trPr>
        <w:tc>
          <w:tcPr>
            <w:tcW w:w="20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EA76E17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Social frailty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3735E9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 xml:space="preserve">Scores 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>≥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3 were coded as 1 (SF);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br/>
              <w:t>Scores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>＜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3 were coded as 0 (~SF).</w:t>
            </w:r>
          </w:p>
        </w:tc>
      </w:tr>
      <w:tr w:rsidR="00F77FE8" w:rsidRPr="00451307" w14:paraId="41B2E5AB" w14:textId="77777777">
        <w:trPr>
          <w:trHeight w:val="50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9A10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Family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B3552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97F00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A18B6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4</w:t>
            </w:r>
          </w:p>
        </w:tc>
      </w:tr>
      <w:tr w:rsidR="00F77FE8" w:rsidRPr="00451307" w14:paraId="4525A2B3" w14:textId="77777777">
        <w:trPr>
          <w:trHeight w:val="50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AC03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0AF3B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F307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253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6</w:t>
            </w:r>
          </w:p>
        </w:tc>
      </w:tr>
      <w:tr w:rsidR="00F77FE8" w:rsidRPr="00451307" w14:paraId="74280D72" w14:textId="77777777">
        <w:trPr>
          <w:trHeight w:val="50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8B70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Life 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51C6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09282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16A4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54</w:t>
            </w:r>
          </w:p>
        </w:tc>
      </w:tr>
      <w:tr w:rsidR="00F77FE8" w:rsidRPr="00451307" w14:paraId="550D0847" w14:textId="77777777">
        <w:trPr>
          <w:trHeight w:val="50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8C9D2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35D6C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3D3CC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1119A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68</w:t>
            </w:r>
          </w:p>
        </w:tc>
      </w:tr>
      <w:tr w:rsidR="00F77FE8" w:rsidRPr="00451307" w14:paraId="79A9A2F9" w14:textId="77777777">
        <w:trPr>
          <w:trHeight w:val="50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62A2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Exercise frequency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BCEB2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56799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3FF66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3</w:t>
            </w:r>
          </w:p>
        </w:tc>
      </w:tr>
      <w:tr w:rsidR="00F77FE8" w:rsidRPr="00451307" w14:paraId="2FEE02A9" w14:textId="77777777">
        <w:trPr>
          <w:trHeight w:val="78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E3020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Education level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93DA1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Scores =3 were coded as 1 (EL);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br/>
              <w:t>Scores &lt;3 were coded as 0 (~EL).</w:t>
            </w:r>
          </w:p>
        </w:tc>
      </w:tr>
      <w:tr w:rsidR="00F77FE8" w:rsidRPr="00451307" w14:paraId="41B0F3D6" w14:textId="77777777">
        <w:trPr>
          <w:trHeight w:val="680"/>
          <w:jc w:val="center"/>
        </w:trPr>
        <w:tc>
          <w:tcPr>
            <w:tcW w:w="20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E8D793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Residential area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A2F57F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Rural area=0; Urban area=1.</w:t>
            </w:r>
          </w:p>
        </w:tc>
      </w:tr>
      <w:tr w:rsidR="00F77FE8" w:rsidRPr="00451307" w14:paraId="27B26690" w14:textId="77777777">
        <w:trPr>
          <w:trHeight w:val="1380"/>
          <w:jc w:val="center"/>
        </w:trPr>
        <w:tc>
          <w:tcPr>
            <w:tcW w:w="602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872565" w14:textId="77777777" w:rsidR="00F77FE8" w:rsidRPr="00451307" w:rsidRDefault="00451307">
            <w:pPr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 w:hint="eastAsia"/>
                <w:i/>
                <w:iCs/>
                <w:color w:val="000000"/>
                <w:spacing w:val="0"/>
                <w:w w:val="100"/>
                <w:szCs w:val="24"/>
              </w:rPr>
              <w:t>Note: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Calibration thresholds for continuous variables were set using P75, P50, and P25 values.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SF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social frailty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 xml:space="preserve">; 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EL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education level.</w:t>
            </w:r>
            <w:r w:rsidRPr="00451307">
              <w:rPr>
                <w:rFonts w:ascii="Times New Roman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“~” indicates the absence of a condition.</w:t>
            </w:r>
          </w:p>
        </w:tc>
      </w:tr>
    </w:tbl>
    <w:p w14:paraId="0215781C" w14:textId="77777777" w:rsidR="00F77FE8" w:rsidRPr="00451307" w:rsidRDefault="00F77FE8">
      <w:pPr>
        <w:ind w:firstLine="448"/>
        <w:rPr>
          <w:rFonts w:hint="eastAsia"/>
          <w:color w:val="000000"/>
        </w:rPr>
      </w:pPr>
    </w:p>
    <w:tbl>
      <w:tblPr>
        <w:tblW w:w="828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523"/>
        <w:gridCol w:w="1666"/>
        <w:gridCol w:w="1330"/>
        <w:gridCol w:w="1762"/>
      </w:tblGrid>
      <w:tr w:rsidR="00F77FE8" w:rsidRPr="00451307" w14:paraId="769A7C66" w14:textId="77777777">
        <w:trPr>
          <w:trHeight w:val="720"/>
        </w:trPr>
        <w:tc>
          <w:tcPr>
            <w:tcW w:w="828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AD7CD4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b/>
                <w:bCs/>
                <w:color w:val="000000"/>
                <w:spacing w:val="0"/>
                <w:w w:val="100"/>
                <w:szCs w:val="24"/>
              </w:rPr>
              <w:t>Supplementary Materials 2. Robustness Test</w:t>
            </w:r>
          </w:p>
        </w:tc>
      </w:tr>
      <w:tr w:rsidR="00F77FE8" w:rsidRPr="00451307" w14:paraId="4852C93F" w14:textId="77777777">
        <w:trPr>
          <w:trHeight w:val="1040"/>
        </w:trPr>
        <w:tc>
          <w:tcPr>
            <w:tcW w:w="35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FA34C69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Solution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B709F9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Raw coverage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066747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Unique coverage</w:t>
            </w: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B4F61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Consistency</w:t>
            </w:r>
          </w:p>
        </w:tc>
      </w:tr>
      <w:tr w:rsidR="00F77FE8" w:rsidRPr="00451307" w14:paraId="1C427BDF" w14:textId="77777777">
        <w:trPr>
          <w:trHeight w:val="500"/>
        </w:trPr>
        <w:tc>
          <w:tcPr>
            <w:tcW w:w="352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FF4264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~EL*RA*~FF*DE*~LS*~EF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A2BB44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0.324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F6D761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0.159</w:t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B15624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0.873</w:t>
            </w:r>
          </w:p>
        </w:tc>
      </w:tr>
      <w:tr w:rsidR="00F77FE8" w:rsidRPr="00451307" w14:paraId="77C885DF" w14:textId="77777777">
        <w:trPr>
          <w:trHeight w:val="50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6D6DB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RA*~FF*DE*~LS*Age*~EF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D55EA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0.233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5E15A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0.067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31063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0.892</w:t>
            </w:r>
          </w:p>
        </w:tc>
      </w:tr>
      <w:tr w:rsidR="00F77FE8" w:rsidRPr="00451307" w14:paraId="17810A58" w14:textId="77777777">
        <w:trPr>
          <w:trHeight w:val="50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4A908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EL*~RA*~FF*DE*~LS*~Age*~EF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7CD6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0.036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2EAEB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0.036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B16A8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0.947</w:t>
            </w:r>
          </w:p>
        </w:tc>
      </w:tr>
      <w:tr w:rsidR="00F77FE8" w:rsidRPr="00451307" w14:paraId="00106AC3" w14:textId="77777777">
        <w:trPr>
          <w:trHeight w:val="50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6873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Solution coverage</w:t>
            </w: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F34FB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0.428</w:t>
            </w:r>
          </w:p>
        </w:tc>
      </w:tr>
      <w:tr w:rsidR="00F77FE8" w:rsidRPr="00451307" w14:paraId="0E6DF4D9" w14:textId="77777777">
        <w:trPr>
          <w:trHeight w:val="500"/>
        </w:trPr>
        <w:tc>
          <w:tcPr>
            <w:tcW w:w="352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0DC6BC5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Solution consistency</w:t>
            </w:r>
          </w:p>
        </w:tc>
        <w:tc>
          <w:tcPr>
            <w:tcW w:w="475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31F2F7E" w14:textId="77777777" w:rsidR="00F77FE8" w:rsidRPr="00451307" w:rsidRDefault="0045130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  <w:t>0.893</w:t>
            </w:r>
          </w:p>
        </w:tc>
      </w:tr>
      <w:tr w:rsidR="00F77FE8" w:rsidRPr="00451307" w14:paraId="3F9645A1" w14:textId="77777777">
        <w:trPr>
          <w:trHeight w:val="860"/>
        </w:trPr>
        <w:tc>
          <w:tcPr>
            <w:tcW w:w="8281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B56E4DA" w14:textId="77777777" w:rsidR="00F77FE8" w:rsidRPr="00451307" w:rsidRDefault="00451307">
            <w:pPr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pacing w:val="0"/>
                <w:w w:val="100"/>
                <w:szCs w:val="24"/>
              </w:rPr>
            </w:pPr>
            <w:r w:rsidRPr="00451307">
              <w:rPr>
                <w:rFonts w:ascii="Times New Roman" w:eastAsiaTheme="minorEastAsia" w:hAnsi="Times New Roman" w:hint="eastAsia"/>
                <w:i/>
                <w:iCs/>
                <w:color w:val="000000"/>
                <w:spacing w:val="0"/>
                <w:w w:val="100"/>
                <w:szCs w:val="24"/>
              </w:rPr>
              <w:lastRenderedPageBreak/>
              <w:t>Note</w:t>
            </w:r>
            <w:r w:rsidRPr="00451307">
              <w:rPr>
                <w:rFonts w:ascii="Times New Roman" w:eastAsiaTheme="minorEastAsia" w:hAnsi="Times New Roman"/>
                <w:i/>
                <w:iCs/>
                <w:color w:val="000000"/>
                <w:spacing w:val="0"/>
                <w:w w:val="100"/>
                <w:szCs w:val="24"/>
              </w:rPr>
              <w:t>: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DE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depression;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EF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exercise frequency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 xml:space="preserve">;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EL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education level; FF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family function;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LS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life space;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RA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residential area; SF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=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social frailty</w:t>
            </w:r>
            <w:r w:rsidRPr="00451307">
              <w:rPr>
                <w:rFonts w:ascii="Times New Roman" w:eastAsiaTheme="minorEastAsia" w:hAnsi="Times New Roman" w:hint="eastAsia"/>
                <w:color w:val="000000"/>
                <w:spacing w:val="0"/>
                <w:w w:val="100"/>
                <w:szCs w:val="24"/>
              </w:rPr>
              <w:t>.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 xml:space="preserve"> </w:t>
            </w:r>
            <w:r w:rsidRPr="00451307">
              <w:rPr>
                <w:rFonts w:ascii="Times New Roman" w:eastAsiaTheme="minorEastAsia" w:hAnsi="Times New Roman"/>
                <w:color w:val="000000"/>
                <w:spacing w:val="0"/>
                <w:w w:val="100"/>
                <w:szCs w:val="24"/>
              </w:rPr>
              <w:t>“*” indicates the logical AND between conditions; “~” indicates the absence of a condition.</w:t>
            </w:r>
          </w:p>
        </w:tc>
      </w:tr>
    </w:tbl>
    <w:p w14:paraId="02FA0171" w14:textId="77777777" w:rsidR="00F77FE8" w:rsidRPr="00451307" w:rsidRDefault="00F77FE8">
      <w:pPr>
        <w:pStyle w:val="NormalIndent"/>
        <w:ind w:firstLine="448"/>
        <w:rPr>
          <w:rFonts w:hint="eastAsia"/>
          <w:color w:val="000000"/>
        </w:rPr>
      </w:pPr>
    </w:p>
    <w:sectPr w:rsidR="00F77FE8" w:rsidRPr="0045130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F59B" w14:textId="77777777" w:rsidR="00F77FE8" w:rsidRDefault="00451307">
      <w:pPr>
        <w:spacing w:line="240" w:lineRule="auto"/>
        <w:ind w:firstLine="473"/>
        <w:rPr>
          <w:rFonts w:hint="eastAsia"/>
        </w:rPr>
      </w:pPr>
      <w:r>
        <w:separator/>
      </w:r>
    </w:p>
  </w:endnote>
  <w:endnote w:type="continuationSeparator" w:id="0">
    <w:p w14:paraId="1A4EB19E" w14:textId="77777777" w:rsidR="00F77FE8" w:rsidRDefault="00451307">
      <w:pPr>
        <w:spacing w:line="240" w:lineRule="auto"/>
        <w:ind w:firstLine="473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228D" w14:textId="2EB6D117" w:rsidR="00451307" w:rsidRDefault="00451307">
    <w:pPr>
      <w:pStyle w:val="Footer"/>
      <w:ind w:firstLine="480"/>
      <w:rPr>
        <w:rFonts w:hint="eastAsia"/>
      </w:rPr>
    </w:pPr>
    <w:r>
      <w:rPr>
        <w:rFonts w:hint="eastAsia"/>
        <w:noProof/>
        <w:w w:val="1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801FCB" wp14:editId="4E55B3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34235" cy="391795"/>
              <wp:effectExtent l="0" t="0" r="18415" b="0"/>
              <wp:wrapNone/>
              <wp:docPr id="11127830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534FD" w14:textId="5E4EAC2B" w:rsidR="00451307" w:rsidRPr="00451307" w:rsidRDefault="00451307" w:rsidP="00451307">
                          <w:pPr>
                            <w:ind w:firstLine="33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3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01F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8.0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8534FD" w14:textId="5E4EAC2B" w:rsidR="00451307" w:rsidRPr="00451307" w:rsidRDefault="00451307" w:rsidP="00451307">
                    <w:pPr>
                      <w:ind w:firstLine="33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3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822F" w14:textId="4A353A3F" w:rsidR="00451307" w:rsidRDefault="00451307">
    <w:pPr>
      <w:pStyle w:val="Footer"/>
      <w:ind w:firstLine="480"/>
      <w:rPr>
        <w:rFonts w:hint="eastAsia"/>
      </w:rPr>
    </w:pPr>
    <w:r>
      <w:rPr>
        <w:rFonts w:hint="eastAsia"/>
        <w:noProof/>
        <w:w w:val="1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85D79" wp14:editId="73ED9E17">
              <wp:simplePos x="11430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134235" cy="391795"/>
              <wp:effectExtent l="0" t="0" r="18415" b="0"/>
              <wp:wrapNone/>
              <wp:docPr id="18619512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7D42" w14:textId="51FF423D" w:rsidR="00451307" w:rsidRPr="00451307" w:rsidRDefault="00451307" w:rsidP="00451307">
                          <w:pPr>
                            <w:ind w:firstLine="33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3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85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8.0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8117D42" w14:textId="51FF423D" w:rsidR="00451307" w:rsidRPr="00451307" w:rsidRDefault="00451307" w:rsidP="00451307">
                    <w:pPr>
                      <w:ind w:firstLine="33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3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7EC8" w14:textId="574681FA" w:rsidR="00451307" w:rsidRDefault="00451307">
    <w:pPr>
      <w:pStyle w:val="Footer"/>
      <w:ind w:firstLine="480"/>
      <w:rPr>
        <w:rFonts w:hint="eastAsia"/>
      </w:rPr>
    </w:pPr>
    <w:r>
      <w:rPr>
        <w:rFonts w:hint="eastAsia"/>
        <w:noProof/>
        <w:w w:val="1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52B09" wp14:editId="40DD45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34235" cy="391795"/>
              <wp:effectExtent l="0" t="0" r="18415" b="0"/>
              <wp:wrapNone/>
              <wp:docPr id="15503478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F30CD" w14:textId="2D8022C2" w:rsidR="00451307" w:rsidRPr="00451307" w:rsidRDefault="00451307" w:rsidP="00451307">
                          <w:pPr>
                            <w:ind w:firstLine="33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3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52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8.0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F7F30CD" w14:textId="2D8022C2" w:rsidR="00451307" w:rsidRPr="00451307" w:rsidRDefault="00451307" w:rsidP="00451307">
                    <w:pPr>
                      <w:ind w:firstLine="33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3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DC44" w14:textId="77777777" w:rsidR="00F77FE8" w:rsidRDefault="00451307">
      <w:pPr>
        <w:ind w:firstLine="473"/>
        <w:rPr>
          <w:rFonts w:hint="eastAsia"/>
        </w:rPr>
      </w:pPr>
      <w:r>
        <w:separator/>
      </w:r>
    </w:p>
  </w:footnote>
  <w:footnote w:type="continuationSeparator" w:id="0">
    <w:p w14:paraId="3609C5DE" w14:textId="77777777" w:rsidR="00F77FE8" w:rsidRDefault="00451307">
      <w:pPr>
        <w:ind w:firstLine="473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E8"/>
    <w:rsid w:val="00451307"/>
    <w:rsid w:val="007E2EF7"/>
    <w:rsid w:val="00C666C9"/>
    <w:rsid w:val="00F77FE8"/>
    <w:rsid w:val="03144690"/>
    <w:rsid w:val="0E010F06"/>
    <w:rsid w:val="0FEA6EC8"/>
    <w:rsid w:val="1D75105E"/>
    <w:rsid w:val="20DB2BF3"/>
    <w:rsid w:val="236F17EC"/>
    <w:rsid w:val="2A306A7C"/>
    <w:rsid w:val="2DDF38B9"/>
    <w:rsid w:val="30C3032E"/>
    <w:rsid w:val="3F4F3E0A"/>
    <w:rsid w:val="40295EEF"/>
    <w:rsid w:val="415D5C8B"/>
    <w:rsid w:val="451761D8"/>
    <w:rsid w:val="4A413AF1"/>
    <w:rsid w:val="52E0638B"/>
    <w:rsid w:val="5744622C"/>
    <w:rsid w:val="57C71C02"/>
    <w:rsid w:val="5D717CCF"/>
    <w:rsid w:val="6604765B"/>
    <w:rsid w:val="6AC91088"/>
    <w:rsid w:val="6EAF0286"/>
    <w:rsid w:val="74187362"/>
    <w:rsid w:val="76CA718F"/>
    <w:rsid w:val="787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58B2C"/>
  <w15:docId w15:val="{4AF8197C-4389-4252-AA9C-5FCA46E6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annotation text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Indent"/>
    <w:qFormat/>
    <w:pPr>
      <w:widowControl w:val="0"/>
      <w:spacing w:line="360" w:lineRule="auto"/>
      <w:ind w:firstLineChars="200" w:firstLine="696"/>
      <w:jc w:val="both"/>
    </w:pPr>
    <w:rPr>
      <w:rFonts w:ascii="仿宋_GB2312" w:hAnsi="仿宋_GB2312"/>
      <w:spacing w:val="-6"/>
      <w:w w:val="99"/>
      <w:kern w:val="2"/>
      <w:sz w:val="24"/>
      <w:szCs w:val="32"/>
      <w:lang w:val="en-US"/>
    </w:rPr>
  </w:style>
  <w:style w:type="paragraph" w:styleId="Heading3">
    <w:name w:val="heading 3"/>
    <w:next w:val="Normal"/>
    <w:semiHidden/>
    <w:unhideWhenUsed/>
    <w:qFormat/>
    <w:pPr>
      <w:keepNext/>
      <w:keepLines/>
      <w:snapToGrid w:val="0"/>
      <w:spacing w:before="156" w:after="156"/>
      <w:ind w:firstLineChars="200" w:firstLine="894"/>
      <w:outlineLvl w:val="2"/>
    </w:pPr>
    <w:rPr>
      <w:rFonts w:ascii="仿宋_GB2312" w:eastAsia="SimHei" w:hAnsi="仿宋_GB2312"/>
      <w:sz w:val="24"/>
      <w:szCs w:val="32"/>
    </w:rPr>
  </w:style>
  <w:style w:type="paragraph" w:styleId="Heading4">
    <w:name w:val="heading 4"/>
    <w:next w:val="Normal"/>
    <w:link w:val="Heading4Char"/>
    <w:semiHidden/>
    <w:unhideWhenUsed/>
    <w:qFormat/>
    <w:pPr>
      <w:keepNext/>
      <w:keepLines/>
      <w:spacing w:before="156" w:after="156"/>
      <w:ind w:firstLineChars="200" w:firstLine="894"/>
      <w:outlineLvl w:val="3"/>
    </w:pPr>
    <w:rPr>
      <w:rFonts w:ascii="仿宋_GB2312" w:hAnsi="仿宋_GB2312"/>
      <w:spacing w:val="-6"/>
      <w:w w:val="99"/>
      <w:kern w:val="2"/>
      <w:sz w:val="24"/>
      <w:szCs w:val="32"/>
    </w:rPr>
  </w:style>
  <w:style w:type="paragraph" w:styleId="Heading5">
    <w:name w:val="heading 5"/>
    <w:next w:val="Normal"/>
    <w:semiHidden/>
    <w:unhideWhenUsed/>
    <w:qFormat/>
    <w:pPr>
      <w:spacing w:line="360" w:lineRule="auto"/>
      <w:ind w:firstLineChars="200" w:firstLine="894"/>
      <w:outlineLvl w:val="4"/>
    </w:pPr>
    <w:rPr>
      <w:rFonts w:ascii="仿宋_GB2312" w:eastAsia="仿宋_GB2312" w:hAnsi="仿宋_GB2312"/>
      <w:spacing w:val="-6"/>
      <w:w w:val="99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ind w:firstLine="420"/>
    </w:p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/>
    </w:rPr>
  </w:style>
  <w:style w:type="paragraph" w:styleId="CommentText">
    <w:name w:val="annotation text"/>
    <w:basedOn w:val="Normal"/>
    <w:qFormat/>
    <w:pPr>
      <w:jc w:val="left"/>
    </w:pPr>
  </w:style>
  <w:style w:type="paragraph" w:styleId="TOC1">
    <w:name w:val="toc 1"/>
    <w:basedOn w:val="Normal"/>
    <w:next w:val="Normal"/>
    <w:qFormat/>
    <w:pPr>
      <w:spacing w:before="120" w:after="120" w:line="400" w:lineRule="exact"/>
      <w:ind w:firstLineChars="0" w:firstLine="0"/>
    </w:pPr>
    <w:rPr>
      <w:rFonts w:ascii="Times New Roman" w:eastAsia="SimHei" w:hAnsi="Times New Roman"/>
      <w:bCs/>
    </w:rPr>
  </w:style>
  <w:style w:type="paragraph" w:styleId="CommentSubject">
    <w:name w:val="annotation subject"/>
    <w:basedOn w:val="CommentText"/>
    <w:next w:val="CommentText"/>
    <w:qFormat/>
    <w:rPr>
      <w:b/>
    </w:rPr>
  </w:style>
  <w:style w:type="paragraph" w:customStyle="1" w:styleId="a">
    <w:name w:val="目录大字"/>
    <w:basedOn w:val="TOAHeading"/>
    <w:next w:val="CommentSubject"/>
    <w:qFormat/>
    <w:pPr>
      <w:jc w:val="center"/>
    </w:pPr>
    <w:rPr>
      <w:rFonts w:ascii="SimSun" w:eastAsia="SimHei" w:hAnsi="SimSun"/>
      <w:sz w:val="32"/>
    </w:rPr>
  </w:style>
  <w:style w:type="paragraph" w:customStyle="1" w:styleId="EndNoteBibliography">
    <w:name w:val="EndNote Bibliography"/>
    <w:qFormat/>
    <w:pPr>
      <w:spacing w:before="240" w:after="240" w:line="240" w:lineRule="exact"/>
      <w:ind w:leftChars="200" w:hangingChars="200" w:hanging="560"/>
      <w:jc w:val="both"/>
    </w:pPr>
    <w:rPr>
      <w:rFonts w:eastAsiaTheme="minorEastAsia" w:cs="仿宋_GB2312"/>
      <w:kern w:val="2"/>
      <w:sz w:val="24"/>
      <w:szCs w:val="24"/>
      <w:lang w:val="en-US"/>
    </w:rPr>
  </w:style>
  <w:style w:type="paragraph" w:customStyle="1" w:styleId="EndNoteBibliographyTitle">
    <w:name w:val="EndNote Bibliography Title"/>
    <w:qFormat/>
    <w:pPr>
      <w:spacing w:line="480" w:lineRule="auto"/>
      <w:ind w:hangingChars="200" w:hanging="482"/>
      <w:jc w:val="both"/>
    </w:pPr>
    <w:rPr>
      <w:rFonts w:eastAsiaTheme="minorEastAsia" w:cs="Calibri"/>
      <w:kern w:val="2"/>
      <w:sz w:val="24"/>
      <w:szCs w:val="24"/>
      <w:lang w:val="en-US"/>
    </w:rPr>
  </w:style>
  <w:style w:type="character" w:customStyle="1" w:styleId="Heading4Char">
    <w:name w:val="Heading 4 Char"/>
    <w:link w:val="Heading4"/>
    <w:qFormat/>
    <w:rPr>
      <w:rFonts w:ascii="仿宋_GB2312" w:eastAsia="SimSun" w:hAnsi="仿宋_GB2312" w:cs="Times New Roman"/>
      <w:spacing w:val="-6"/>
      <w:w w:val="99"/>
      <w:kern w:val="2"/>
      <w:sz w:val="24"/>
      <w:szCs w:val="32"/>
    </w:rPr>
  </w:style>
  <w:style w:type="paragraph" w:styleId="Footer">
    <w:name w:val="footer"/>
    <w:basedOn w:val="Normal"/>
    <w:link w:val="FooterChar"/>
    <w:rsid w:val="004513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51307"/>
    <w:rPr>
      <w:rFonts w:ascii="仿宋_GB2312" w:hAnsi="仿宋_GB2312"/>
      <w:spacing w:val="-6"/>
      <w:w w:val="99"/>
      <w:kern w:val="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谢春燕</dc:creator>
  <cp:lastModifiedBy>Murphy, Alexandra</cp:lastModifiedBy>
  <cp:revision>2</cp:revision>
  <dcterms:created xsi:type="dcterms:W3CDTF">2026-03-31T21:31:00Z</dcterms:created>
  <dcterms:modified xsi:type="dcterms:W3CDTF">2026-03-31T21:31:00Z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C7082E59DFA04A8982EDCCC8511765F3_12</vt:lpwstr>
  </property>
  <property fmtid="{D5CDD505-2E9C-101B-9397-08002B2CF9AE}" pid="4" name="KSOTemplateDocerSaveRecord">
    <vt:lpwstr>eyJoZGlkIjoiYjk5ODM0YmMxOWJiYWQyNDU4MGIzYWRmYTA0ZmI5NDciLCJ1c2VySWQiOiIyMzkyMTgxOTEifQ==</vt:lpwstr>
  </property>
  <property fmtid="{D5CDD505-2E9C-101B-9397-08002B2CF9AE}" pid="5" name="ClassificationContentMarkingFooterShapeIds">
    <vt:lpwstr>5c686e1e,4253b8f5,6efb1f2e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2026-03-31T21:31:35Z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73c161a3-e4aa-4d78-a88c-75b17ff7ba22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