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Ex1.xml" ContentType="application/vnd.ms-office.chartex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Ex2.xml" ContentType="application/vnd.ms-office.chartex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97046" w14:textId="52DEC2D6" w:rsidR="004B2C9B" w:rsidRDefault="004B2C9B" w:rsidP="00A4557B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TABLES</w:t>
      </w:r>
    </w:p>
    <w:p w14:paraId="4C87BE3C" w14:textId="479DB567" w:rsidR="00A4557B" w:rsidRDefault="00A4557B" w:rsidP="00A4557B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4557B">
        <w:rPr>
          <w:rFonts w:ascii="Arial" w:eastAsia="Calibri" w:hAnsi="Arial" w:cs="Arial"/>
          <w:b/>
          <w:bCs/>
          <w:sz w:val="24"/>
          <w:szCs w:val="24"/>
        </w:rPr>
        <w:t>Supplementary material 1</w:t>
      </w:r>
    </w:p>
    <w:p w14:paraId="711B9430" w14:textId="77777777" w:rsidR="001A53E9" w:rsidRDefault="001A53E9" w:rsidP="00022104">
      <w:pPr>
        <w:spacing w:after="0" w:line="480" w:lineRule="auto"/>
        <w:ind w:left="2040" w:hanging="2040"/>
        <w:rPr>
          <w:rFonts w:ascii="Arial" w:eastAsia="Aptos" w:hAnsi="Arial" w:cs="Arial"/>
          <w:b/>
          <w:bCs/>
          <w:kern w:val="2"/>
          <w:sz w:val="24"/>
          <w:szCs w:val="24"/>
          <w:lang w:bidi="hi-IN"/>
          <w14:ligatures w14:val="standardContextual"/>
        </w:rPr>
      </w:pPr>
      <w:bookmarkStart w:id="0" w:name="_Hlk199079248"/>
    </w:p>
    <w:p w14:paraId="5EEC84CF" w14:textId="4B1D1BA0" w:rsidR="00022104" w:rsidRPr="00DE0093" w:rsidRDefault="00022104" w:rsidP="00022104">
      <w:pPr>
        <w:spacing w:after="0" w:line="480" w:lineRule="auto"/>
        <w:ind w:left="2040" w:hanging="2040"/>
        <w:rPr>
          <w:rFonts w:ascii="Arial" w:eastAsia="Aptos" w:hAnsi="Arial" w:cs="Arial"/>
          <w:b/>
          <w:bCs/>
          <w:kern w:val="2"/>
          <w:sz w:val="24"/>
          <w:szCs w:val="24"/>
          <w:lang w:bidi="hi-IN"/>
          <w14:ligatures w14:val="standardContextual"/>
        </w:rPr>
      </w:pPr>
      <w:r w:rsidRPr="00DE0093">
        <w:rPr>
          <w:rFonts w:ascii="Arial" w:eastAsia="Aptos" w:hAnsi="Arial" w:cs="Arial"/>
          <w:b/>
          <w:bCs/>
          <w:kern w:val="2"/>
          <w:sz w:val="24"/>
          <w:szCs w:val="24"/>
          <w:lang w:bidi="hi-IN"/>
          <w14:ligatures w14:val="standardContextual"/>
        </w:rPr>
        <w:t xml:space="preserve">Table </w:t>
      </w:r>
      <w:r w:rsidR="002504F4">
        <w:rPr>
          <w:rFonts w:ascii="Arial" w:eastAsia="Aptos" w:hAnsi="Arial" w:cs="Arial"/>
          <w:b/>
          <w:bCs/>
          <w:kern w:val="2"/>
          <w:sz w:val="24"/>
          <w:szCs w:val="24"/>
          <w:lang w:bidi="hi-IN"/>
          <w14:ligatures w14:val="standardContextual"/>
        </w:rPr>
        <w:t>S</w:t>
      </w:r>
      <w:r w:rsidRPr="00DE0093">
        <w:rPr>
          <w:rFonts w:ascii="Arial" w:eastAsia="Aptos" w:hAnsi="Arial" w:cs="Arial"/>
          <w:b/>
          <w:bCs/>
          <w:kern w:val="2"/>
          <w:sz w:val="24"/>
          <w:szCs w:val="24"/>
          <w:lang w:bidi="hi-IN"/>
          <w14:ligatures w14:val="standardContextual"/>
        </w:rPr>
        <w:t>1. Characteristics of participants N-55</w:t>
      </w:r>
      <w:bookmarkEnd w:id="0"/>
      <w:r w:rsidRPr="00DE0093">
        <w:rPr>
          <w:rFonts w:ascii="Arial" w:eastAsia="Aptos" w:hAnsi="Arial" w:cs="Arial"/>
          <w:spacing w:val="-10"/>
          <w:kern w:val="28"/>
          <w:sz w:val="24"/>
          <w:szCs w:val="24"/>
          <w:lang w:val="en-US"/>
          <w14:ligatures w14:val="standardContextual"/>
        </w:rPr>
        <w:tab/>
      </w:r>
      <w:r w:rsidRPr="00DE0093">
        <w:rPr>
          <w:rFonts w:ascii="Arial" w:eastAsia="Aptos" w:hAnsi="Arial" w:cs="Arial"/>
          <w:spacing w:val="-10"/>
          <w:kern w:val="28"/>
          <w:sz w:val="24"/>
          <w:szCs w:val="24"/>
          <w:lang w:val="en-US"/>
          <w14:ligatures w14:val="standardContextual"/>
        </w:rPr>
        <w:tab/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1817"/>
        <w:gridCol w:w="1244"/>
      </w:tblGrid>
      <w:tr w:rsidR="00022104" w:rsidRPr="00DE0093" w14:paraId="65695034" w14:textId="77777777" w:rsidTr="00CB517B">
        <w:trPr>
          <w:tblHeader/>
        </w:trPr>
        <w:tc>
          <w:tcPr>
            <w:tcW w:w="0" w:type="auto"/>
          </w:tcPr>
          <w:p w14:paraId="32AFE745" w14:textId="77777777" w:rsidR="00022104" w:rsidRPr="00DE0093" w:rsidRDefault="00022104" w:rsidP="00CB517B">
            <w:pPr>
              <w:rPr>
                <w:b/>
                <w:bCs/>
              </w:rPr>
            </w:pPr>
            <w:r w:rsidRPr="00DE0093">
              <w:rPr>
                <w:b/>
                <w:bCs/>
              </w:rPr>
              <w:t>Characteristic</w:t>
            </w:r>
          </w:p>
        </w:tc>
        <w:tc>
          <w:tcPr>
            <w:tcW w:w="0" w:type="auto"/>
          </w:tcPr>
          <w:p w14:paraId="21481564" w14:textId="77777777" w:rsidR="00022104" w:rsidRPr="00DE0093" w:rsidRDefault="00022104" w:rsidP="00CB517B">
            <w:pPr>
              <w:rPr>
                <w:b/>
                <w:bCs/>
              </w:rPr>
            </w:pPr>
            <w:r w:rsidRPr="00DE0093">
              <w:rPr>
                <w:b/>
                <w:bCs/>
              </w:rPr>
              <w:t>n (%)</w:t>
            </w:r>
          </w:p>
        </w:tc>
      </w:tr>
      <w:tr w:rsidR="00022104" w:rsidRPr="00DE0093" w14:paraId="13ABC57E" w14:textId="77777777" w:rsidTr="00CB517B">
        <w:tc>
          <w:tcPr>
            <w:tcW w:w="0" w:type="auto"/>
            <w:gridSpan w:val="2"/>
          </w:tcPr>
          <w:p w14:paraId="1436C18C" w14:textId="77777777" w:rsidR="00022104" w:rsidRPr="00DE0093" w:rsidRDefault="00022104" w:rsidP="00CB517B">
            <w:r w:rsidRPr="00DE0093">
              <w:t>Age groups</w:t>
            </w:r>
          </w:p>
        </w:tc>
      </w:tr>
      <w:tr w:rsidR="00022104" w:rsidRPr="00DE0093" w14:paraId="0E04F478" w14:textId="77777777" w:rsidTr="00CB517B">
        <w:tc>
          <w:tcPr>
            <w:tcW w:w="0" w:type="auto"/>
          </w:tcPr>
          <w:p w14:paraId="3FC43E00" w14:textId="77777777" w:rsidR="00022104" w:rsidRPr="00DE0093" w:rsidRDefault="00022104" w:rsidP="00CB517B">
            <w:r w:rsidRPr="00DE0093">
              <w:t>&lt;35</w:t>
            </w:r>
          </w:p>
        </w:tc>
        <w:tc>
          <w:tcPr>
            <w:tcW w:w="0" w:type="auto"/>
          </w:tcPr>
          <w:p w14:paraId="668B6DEC" w14:textId="77777777" w:rsidR="00022104" w:rsidRPr="00DE0093" w:rsidRDefault="00022104" w:rsidP="00CB517B">
            <w:r w:rsidRPr="00DE0093">
              <w:t>1(1.82)</w:t>
            </w:r>
          </w:p>
        </w:tc>
      </w:tr>
      <w:tr w:rsidR="00022104" w:rsidRPr="00DE0093" w14:paraId="582B3798" w14:textId="77777777" w:rsidTr="00CB517B">
        <w:tc>
          <w:tcPr>
            <w:tcW w:w="0" w:type="auto"/>
          </w:tcPr>
          <w:p w14:paraId="6F234B20" w14:textId="77777777" w:rsidR="00022104" w:rsidRPr="00DE0093" w:rsidRDefault="00022104" w:rsidP="00CB517B">
            <w:pPr>
              <w:ind w:firstLine="139"/>
            </w:pPr>
            <w:r w:rsidRPr="00DE0093">
              <w:t>36-45</w:t>
            </w:r>
          </w:p>
        </w:tc>
        <w:tc>
          <w:tcPr>
            <w:tcW w:w="0" w:type="auto"/>
          </w:tcPr>
          <w:p w14:paraId="3805F8EC" w14:textId="77777777" w:rsidR="00022104" w:rsidRPr="00DE0093" w:rsidRDefault="00022104" w:rsidP="00CB517B">
            <w:r w:rsidRPr="00DE0093">
              <w:t>2(3.63)</w:t>
            </w:r>
          </w:p>
        </w:tc>
      </w:tr>
      <w:tr w:rsidR="00022104" w:rsidRPr="00DE0093" w14:paraId="3FF56096" w14:textId="77777777" w:rsidTr="00CB517B">
        <w:tc>
          <w:tcPr>
            <w:tcW w:w="0" w:type="auto"/>
          </w:tcPr>
          <w:p w14:paraId="0D00B576" w14:textId="77777777" w:rsidR="00022104" w:rsidRPr="00DE0093" w:rsidRDefault="00022104" w:rsidP="00CB517B">
            <w:r w:rsidRPr="00DE0093">
              <w:t>46-55</w:t>
            </w:r>
          </w:p>
        </w:tc>
        <w:tc>
          <w:tcPr>
            <w:tcW w:w="0" w:type="auto"/>
          </w:tcPr>
          <w:p w14:paraId="6F3E3147" w14:textId="77777777" w:rsidR="00022104" w:rsidRPr="00DE0093" w:rsidRDefault="00022104" w:rsidP="00CB517B">
            <w:r w:rsidRPr="00DE0093">
              <w:t>17(30.91)</w:t>
            </w:r>
          </w:p>
        </w:tc>
      </w:tr>
      <w:tr w:rsidR="00022104" w:rsidRPr="00DE0093" w14:paraId="1A240C2D" w14:textId="77777777" w:rsidTr="00CB517B">
        <w:tc>
          <w:tcPr>
            <w:tcW w:w="0" w:type="auto"/>
          </w:tcPr>
          <w:p w14:paraId="438734A2" w14:textId="77777777" w:rsidR="00022104" w:rsidRPr="00DE0093" w:rsidRDefault="00022104" w:rsidP="00CB517B">
            <w:r w:rsidRPr="00DE0093">
              <w:t>56-65</w:t>
            </w:r>
          </w:p>
        </w:tc>
        <w:tc>
          <w:tcPr>
            <w:tcW w:w="0" w:type="auto"/>
          </w:tcPr>
          <w:p w14:paraId="34FAF209" w14:textId="77777777" w:rsidR="00022104" w:rsidRPr="00DE0093" w:rsidRDefault="00022104" w:rsidP="00CB517B">
            <w:r w:rsidRPr="00DE0093">
              <w:t>14(25.45)</w:t>
            </w:r>
          </w:p>
        </w:tc>
      </w:tr>
      <w:tr w:rsidR="00022104" w:rsidRPr="00DE0093" w14:paraId="7454DF65" w14:textId="77777777" w:rsidTr="00CB517B">
        <w:tc>
          <w:tcPr>
            <w:tcW w:w="0" w:type="auto"/>
          </w:tcPr>
          <w:p w14:paraId="73F3EA12" w14:textId="77777777" w:rsidR="00022104" w:rsidRPr="00DE0093" w:rsidRDefault="00022104" w:rsidP="00CB517B">
            <w:r w:rsidRPr="00DE0093">
              <w:t>66-75</w:t>
            </w:r>
          </w:p>
        </w:tc>
        <w:tc>
          <w:tcPr>
            <w:tcW w:w="0" w:type="auto"/>
          </w:tcPr>
          <w:p w14:paraId="6F679891" w14:textId="77777777" w:rsidR="00022104" w:rsidRPr="00DE0093" w:rsidRDefault="00022104" w:rsidP="00CB517B">
            <w:r w:rsidRPr="00DE0093">
              <w:t>14(25.45)</w:t>
            </w:r>
          </w:p>
        </w:tc>
      </w:tr>
      <w:tr w:rsidR="00022104" w:rsidRPr="00DE0093" w14:paraId="49D0971D" w14:textId="77777777" w:rsidTr="00CB517B">
        <w:tc>
          <w:tcPr>
            <w:tcW w:w="0" w:type="auto"/>
          </w:tcPr>
          <w:p w14:paraId="770B151B" w14:textId="77777777" w:rsidR="00022104" w:rsidRPr="00DE0093" w:rsidRDefault="00022104" w:rsidP="00CB517B">
            <w:r w:rsidRPr="00DE0093">
              <w:t>76-85</w:t>
            </w:r>
          </w:p>
        </w:tc>
        <w:tc>
          <w:tcPr>
            <w:tcW w:w="0" w:type="auto"/>
          </w:tcPr>
          <w:p w14:paraId="7F35B0E7" w14:textId="77777777" w:rsidR="00022104" w:rsidRPr="00DE0093" w:rsidRDefault="00022104" w:rsidP="00CB517B">
            <w:r w:rsidRPr="00DE0093">
              <w:t>6(10.91)</w:t>
            </w:r>
          </w:p>
        </w:tc>
      </w:tr>
      <w:tr w:rsidR="00022104" w:rsidRPr="00DE0093" w14:paraId="47E13C6E" w14:textId="77777777" w:rsidTr="00CB517B">
        <w:tc>
          <w:tcPr>
            <w:tcW w:w="0" w:type="auto"/>
          </w:tcPr>
          <w:p w14:paraId="6241FD7D" w14:textId="77777777" w:rsidR="00022104" w:rsidRPr="00DE0093" w:rsidRDefault="00022104" w:rsidP="00CB517B">
            <w:r w:rsidRPr="00DE0093">
              <w:t>&gt;85</w:t>
            </w:r>
          </w:p>
        </w:tc>
        <w:tc>
          <w:tcPr>
            <w:tcW w:w="0" w:type="auto"/>
          </w:tcPr>
          <w:p w14:paraId="18A688F7" w14:textId="77777777" w:rsidR="00022104" w:rsidRPr="00DE0093" w:rsidRDefault="00022104" w:rsidP="00CB517B">
            <w:r w:rsidRPr="00DE0093">
              <w:t>1(1.82)</w:t>
            </w:r>
          </w:p>
        </w:tc>
      </w:tr>
      <w:tr w:rsidR="00022104" w:rsidRPr="00DE0093" w14:paraId="58E56EB7" w14:textId="77777777" w:rsidTr="00CB517B">
        <w:tc>
          <w:tcPr>
            <w:tcW w:w="0" w:type="auto"/>
          </w:tcPr>
          <w:p w14:paraId="26D8137E" w14:textId="77777777" w:rsidR="00022104" w:rsidRPr="00DE0093" w:rsidRDefault="00022104" w:rsidP="00CB517B">
            <w:r w:rsidRPr="00DE0093">
              <w:t>Female</w:t>
            </w:r>
          </w:p>
        </w:tc>
        <w:tc>
          <w:tcPr>
            <w:tcW w:w="0" w:type="auto"/>
          </w:tcPr>
          <w:p w14:paraId="4A707FD8" w14:textId="77777777" w:rsidR="00022104" w:rsidRPr="00DE0093" w:rsidRDefault="00022104" w:rsidP="00CB517B">
            <w:r w:rsidRPr="00DE0093">
              <w:t>24(43.64)</w:t>
            </w:r>
          </w:p>
        </w:tc>
      </w:tr>
      <w:tr w:rsidR="00022104" w:rsidRPr="00DE0093" w14:paraId="0E4FE0AA" w14:textId="77777777" w:rsidTr="00CB517B">
        <w:tc>
          <w:tcPr>
            <w:tcW w:w="0" w:type="auto"/>
          </w:tcPr>
          <w:p w14:paraId="74D535DF" w14:textId="77777777" w:rsidR="00022104" w:rsidRPr="00DE0093" w:rsidRDefault="00022104" w:rsidP="00CB517B">
            <w:r w:rsidRPr="00DE0093">
              <w:t>Male</w:t>
            </w:r>
          </w:p>
        </w:tc>
        <w:tc>
          <w:tcPr>
            <w:tcW w:w="0" w:type="auto"/>
          </w:tcPr>
          <w:p w14:paraId="3280B296" w14:textId="77777777" w:rsidR="00022104" w:rsidRPr="00DE0093" w:rsidRDefault="00022104" w:rsidP="00CB517B">
            <w:r w:rsidRPr="00DE0093">
              <w:t>31(56.36)</w:t>
            </w:r>
          </w:p>
        </w:tc>
      </w:tr>
      <w:tr w:rsidR="00022104" w:rsidRPr="00DE0093" w14:paraId="1E728AF8" w14:textId="77777777" w:rsidTr="00CB517B">
        <w:tc>
          <w:tcPr>
            <w:tcW w:w="0" w:type="auto"/>
          </w:tcPr>
          <w:p w14:paraId="296A87C4" w14:textId="77777777" w:rsidR="00022104" w:rsidRPr="00DE0093" w:rsidRDefault="00022104" w:rsidP="00CB517B">
            <w:r w:rsidRPr="00DE0093">
              <w:t>African</w:t>
            </w:r>
          </w:p>
        </w:tc>
        <w:tc>
          <w:tcPr>
            <w:tcW w:w="0" w:type="auto"/>
          </w:tcPr>
          <w:p w14:paraId="76E731E8" w14:textId="77777777" w:rsidR="00022104" w:rsidRPr="00DE0093" w:rsidRDefault="00022104" w:rsidP="00CB517B">
            <w:r w:rsidRPr="00DE0093">
              <w:t>37(67.27)</w:t>
            </w:r>
          </w:p>
        </w:tc>
      </w:tr>
      <w:tr w:rsidR="00022104" w:rsidRPr="00DE0093" w14:paraId="0A57B163" w14:textId="77777777" w:rsidTr="00CB517B">
        <w:tc>
          <w:tcPr>
            <w:tcW w:w="0" w:type="auto"/>
          </w:tcPr>
          <w:p w14:paraId="2B49FEF9" w14:textId="77777777" w:rsidR="00022104" w:rsidRPr="00DE0093" w:rsidRDefault="00022104" w:rsidP="00CB517B">
            <w:r w:rsidRPr="00DE0093">
              <w:t>Caucasian</w:t>
            </w:r>
          </w:p>
        </w:tc>
        <w:tc>
          <w:tcPr>
            <w:tcW w:w="0" w:type="auto"/>
          </w:tcPr>
          <w:p w14:paraId="50C756BF" w14:textId="77777777" w:rsidR="00022104" w:rsidRPr="00DE0093" w:rsidRDefault="00022104" w:rsidP="00CB517B">
            <w:r w:rsidRPr="00DE0093">
              <w:t>9(16.36)</w:t>
            </w:r>
          </w:p>
        </w:tc>
      </w:tr>
      <w:tr w:rsidR="00022104" w:rsidRPr="00DE0093" w14:paraId="4C96AFEB" w14:textId="77777777" w:rsidTr="00CB517B">
        <w:tc>
          <w:tcPr>
            <w:tcW w:w="0" w:type="auto"/>
          </w:tcPr>
          <w:p w14:paraId="613CC7D4" w14:textId="77777777" w:rsidR="00022104" w:rsidRPr="00DE0093" w:rsidRDefault="00022104" w:rsidP="00CB517B">
            <w:r w:rsidRPr="00DE0093">
              <w:t>Asian</w:t>
            </w:r>
          </w:p>
        </w:tc>
        <w:tc>
          <w:tcPr>
            <w:tcW w:w="0" w:type="auto"/>
          </w:tcPr>
          <w:p w14:paraId="73CAF7F0" w14:textId="77777777" w:rsidR="00022104" w:rsidRPr="00DE0093" w:rsidRDefault="00022104" w:rsidP="00CB517B">
            <w:r w:rsidRPr="00DE0093">
              <w:t>5(9.09)</w:t>
            </w:r>
          </w:p>
        </w:tc>
      </w:tr>
      <w:tr w:rsidR="00022104" w:rsidRPr="00DE0093" w14:paraId="389F54A5" w14:textId="77777777" w:rsidTr="00CB517B">
        <w:tc>
          <w:tcPr>
            <w:tcW w:w="0" w:type="auto"/>
          </w:tcPr>
          <w:p w14:paraId="4BE79C6B" w14:textId="77777777" w:rsidR="00022104" w:rsidRPr="00DE0093" w:rsidRDefault="00022104" w:rsidP="00CB517B">
            <w:pPr>
              <w:rPr>
                <w:vertAlign w:val="superscript"/>
              </w:rPr>
            </w:pPr>
            <w:r w:rsidRPr="00DE0093">
              <w:t>Coloured*</w:t>
            </w:r>
          </w:p>
        </w:tc>
        <w:tc>
          <w:tcPr>
            <w:tcW w:w="0" w:type="auto"/>
          </w:tcPr>
          <w:p w14:paraId="0F688ABE" w14:textId="77777777" w:rsidR="00022104" w:rsidRPr="00DE0093" w:rsidRDefault="00022104" w:rsidP="00CB517B">
            <w:r w:rsidRPr="00DE0093">
              <w:t>4(7.27)</w:t>
            </w:r>
          </w:p>
        </w:tc>
      </w:tr>
      <w:tr w:rsidR="00022104" w:rsidRPr="00DE0093" w14:paraId="288F74BB" w14:textId="77777777" w:rsidTr="00CB517B">
        <w:tc>
          <w:tcPr>
            <w:tcW w:w="0" w:type="auto"/>
          </w:tcPr>
          <w:p w14:paraId="537F0B91" w14:textId="77777777" w:rsidR="00022104" w:rsidRPr="00DE0093" w:rsidRDefault="00022104" w:rsidP="00CB517B">
            <w:r w:rsidRPr="00DE0093">
              <w:t>T1DM**</w:t>
            </w:r>
          </w:p>
        </w:tc>
        <w:tc>
          <w:tcPr>
            <w:tcW w:w="0" w:type="auto"/>
          </w:tcPr>
          <w:p w14:paraId="4BEB9A68" w14:textId="77777777" w:rsidR="00022104" w:rsidRPr="00DE0093" w:rsidRDefault="00022104" w:rsidP="00CB517B">
            <w:r w:rsidRPr="00DE0093">
              <w:t>13(23.63)</w:t>
            </w:r>
          </w:p>
        </w:tc>
      </w:tr>
      <w:tr w:rsidR="00022104" w:rsidRPr="00DE0093" w14:paraId="584F3F69" w14:textId="77777777" w:rsidTr="00CB517B">
        <w:tc>
          <w:tcPr>
            <w:tcW w:w="0" w:type="auto"/>
          </w:tcPr>
          <w:p w14:paraId="227DE175" w14:textId="77777777" w:rsidR="00022104" w:rsidRPr="00DE0093" w:rsidRDefault="00022104" w:rsidP="00CB517B">
            <w:r w:rsidRPr="00DE0093">
              <w:t>T2DM***</w:t>
            </w:r>
          </w:p>
        </w:tc>
        <w:tc>
          <w:tcPr>
            <w:tcW w:w="0" w:type="auto"/>
          </w:tcPr>
          <w:p w14:paraId="523F0FD5" w14:textId="77777777" w:rsidR="00022104" w:rsidRPr="00DE0093" w:rsidRDefault="00022104" w:rsidP="00CB517B">
            <w:r w:rsidRPr="00DE0093">
              <w:t>42(76.36)</w:t>
            </w:r>
          </w:p>
        </w:tc>
      </w:tr>
      <w:tr w:rsidR="00022104" w:rsidRPr="00DE0093" w14:paraId="0CB8BE5A" w14:textId="77777777" w:rsidTr="00CB517B">
        <w:tc>
          <w:tcPr>
            <w:tcW w:w="0" w:type="auto"/>
            <w:gridSpan w:val="2"/>
          </w:tcPr>
          <w:p w14:paraId="73408199" w14:textId="77777777" w:rsidR="00022104" w:rsidRPr="00DE0093" w:rsidRDefault="00022104" w:rsidP="00CB517B">
            <w:r w:rsidRPr="00DE0093">
              <w:t>HbA1c (%) ****</w:t>
            </w:r>
          </w:p>
        </w:tc>
      </w:tr>
      <w:tr w:rsidR="00022104" w:rsidRPr="00DE0093" w14:paraId="4EABA1C2" w14:textId="77777777" w:rsidTr="00CB517B">
        <w:tc>
          <w:tcPr>
            <w:tcW w:w="0" w:type="auto"/>
          </w:tcPr>
          <w:p w14:paraId="266B283C" w14:textId="77777777" w:rsidR="00022104" w:rsidRPr="00DE0093" w:rsidRDefault="00022104" w:rsidP="00CB517B">
            <w:r w:rsidRPr="00DE0093">
              <w:t>≤7.7</w:t>
            </w:r>
          </w:p>
        </w:tc>
        <w:tc>
          <w:tcPr>
            <w:tcW w:w="0" w:type="auto"/>
          </w:tcPr>
          <w:p w14:paraId="77F35FB5" w14:textId="77777777" w:rsidR="00022104" w:rsidRPr="00DE0093" w:rsidRDefault="00022104" w:rsidP="00CB517B">
            <w:r w:rsidRPr="00DE0093">
              <w:t>33(60)</w:t>
            </w:r>
          </w:p>
        </w:tc>
      </w:tr>
      <w:tr w:rsidR="00022104" w:rsidRPr="00DE0093" w14:paraId="7C473907" w14:textId="77777777" w:rsidTr="00CB517B">
        <w:tc>
          <w:tcPr>
            <w:tcW w:w="0" w:type="auto"/>
          </w:tcPr>
          <w:p w14:paraId="296964D2" w14:textId="77777777" w:rsidR="00022104" w:rsidRPr="00DE0093" w:rsidRDefault="00022104" w:rsidP="00CB517B">
            <w:r w:rsidRPr="00DE0093">
              <w:t>&gt;7.7</w:t>
            </w:r>
          </w:p>
        </w:tc>
        <w:tc>
          <w:tcPr>
            <w:tcW w:w="0" w:type="auto"/>
          </w:tcPr>
          <w:p w14:paraId="4B4DA1DB" w14:textId="77777777" w:rsidR="00022104" w:rsidRPr="00DE0093" w:rsidRDefault="00022104" w:rsidP="00CB517B">
            <w:r w:rsidRPr="00DE0093">
              <w:t>22(40)</w:t>
            </w:r>
          </w:p>
        </w:tc>
      </w:tr>
    </w:tbl>
    <w:p w14:paraId="5363C604" w14:textId="77777777" w:rsidR="00022104" w:rsidRDefault="00022104" w:rsidP="00022104">
      <w:pPr>
        <w:spacing w:after="0" w:line="240" w:lineRule="auto"/>
        <w:ind w:left="2040" w:hanging="2182"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</w:p>
    <w:p w14:paraId="35B066B0" w14:textId="77777777" w:rsidR="00022104" w:rsidRPr="00DE0093" w:rsidRDefault="00022104" w:rsidP="00022104">
      <w:pPr>
        <w:spacing w:after="0" w:line="240" w:lineRule="auto"/>
        <w:ind w:left="2040" w:hanging="2182"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  <w:r w:rsidRPr="00DE0093"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  <w:t>*Coloured = participants of mixed race, **T1DM = type 1 diabetes</w:t>
      </w:r>
    </w:p>
    <w:p w14:paraId="4B60429B" w14:textId="77777777" w:rsidR="00022104" w:rsidRDefault="00022104" w:rsidP="00022104">
      <w:pPr>
        <w:spacing w:after="0" w:line="240" w:lineRule="auto"/>
        <w:ind w:left="2040" w:hanging="2182"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  <w:r w:rsidRPr="00DE0093"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  <w:t>mellitus,***T2DM = type 2 diabetes, ****HbA1c = glycated haemoglobin</w:t>
      </w:r>
    </w:p>
    <w:p w14:paraId="07E2DAA9" w14:textId="77777777" w:rsidR="004B2C9B" w:rsidRDefault="004B2C9B" w:rsidP="00022104">
      <w:pPr>
        <w:spacing w:after="0" w:line="240" w:lineRule="auto"/>
        <w:ind w:left="2040" w:hanging="2182"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</w:p>
    <w:p w14:paraId="0B3265EF" w14:textId="77777777" w:rsidR="004B2C9B" w:rsidRDefault="004B2C9B" w:rsidP="00022104">
      <w:pPr>
        <w:spacing w:after="0" w:line="240" w:lineRule="auto"/>
        <w:ind w:left="2040" w:hanging="2182"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</w:p>
    <w:p w14:paraId="08E0033E" w14:textId="77777777" w:rsidR="004B2C9B" w:rsidRDefault="004B2C9B" w:rsidP="00022104">
      <w:pPr>
        <w:spacing w:after="0" w:line="240" w:lineRule="auto"/>
        <w:ind w:left="2040" w:hanging="2182"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</w:p>
    <w:p w14:paraId="4F8673C3" w14:textId="77777777" w:rsidR="004B2C9B" w:rsidRDefault="004B2C9B" w:rsidP="00022104">
      <w:pPr>
        <w:spacing w:after="0" w:line="240" w:lineRule="auto"/>
        <w:ind w:left="2040" w:hanging="2182"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</w:p>
    <w:p w14:paraId="3A618510" w14:textId="77777777" w:rsidR="004B2C9B" w:rsidRDefault="004B2C9B" w:rsidP="00022104">
      <w:pPr>
        <w:spacing w:after="0" w:line="240" w:lineRule="auto"/>
        <w:ind w:left="2040" w:hanging="2182"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</w:p>
    <w:p w14:paraId="420BBC84" w14:textId="77777777" w:rsidR="004B2C9B" w:rsidRDefault="004B2C9B" w:rsidP="00022104">
      <w:pPr>
        <w:spacing w:after="0" w:line="240" w:lineRule="auto"/>
        <w:ind w:left="2040" w:hanging="2182"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</w:p>
    <w:p w14:paraId="1578A73C" w14:textId="77777777" w:rsidR="004B2C9B" w:rsidRDefault="004B2C9B" w:rsidP="00022104">
      <w:pPr>
        <w:spacing w:after="0" w:line="240" w:lineRule="auto"/>
        <w:ind w:left="2040" w:hanging="2182"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</w:p>
    <w:p w14:paraId="31FFBE35" w14:textId="77777777" w:rsidR="004B2C9B" w:rsidRDefault="004B2C9B" w:rsidP="00022104">
      <w:pPr>
        <w:spacing w:after="0" w:line="240" w:lineRule="auto"/>
        <w:ind w:left="2040" w:hanging="2182"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</w:p>
    <w:p w14:paraId="5854341A" w14:textId="77777777" w:rsidR="004B2C9B" w:rsidRDefault="004B2C9B" w:rsidP="00022104">
      <w:pPr>
        <w:spacing w:after="0" w:line="240" w:lineRule="auto"/>
        <w:ind w:left="2040" w:hanging="2182"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</w:p>
    <w:p w14:paraId="3C16840E" w14:textId="77777777" w:rsidR="004B2C9B" w:rsidRDefault="004B2C9B" w:rsidP="00022104">
      <w:pPr>
        <w:spacing w:after="0" w:line="240" w:lineRule="auto"/>
        <w:ind w:left="2040" w:hanging="2182"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</w:p>
    <w:p w14:paraId="70BD22FE" w14:textId="77777777" w:rsidR="004B2C9B" w:rsidRDefault="004B2C9B" w:rsidP="00022104">
      <w:pPr>
        <w:spacing w:after="0" w:line="240" w:lineRule="auto"/>
        <w:ind w:left="2040" w:hanging="2182"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</w:p>
    <w:p w14:paraId="11DFC786" w14:textId="77777777" w:rsidR="004B2C9B" w:rsidRDefault="004B2C9B" w:rsidP="00022104">
      <w:pPr>
        <w:spacing w:after="0" w:line="240" w:lineRule="auto"/>
        <w:ind w:left="2040" w:hanging="2182"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</w:p>
    <w:p w14:paraId="0CCDC5BF" w14:textId="77777777" w:rsidR="004B2C9B" w:rsidRDefault="004B2C9B" w:rsidP="00022104">
      <w:pPr>
        <w:spacing w:after="0" w:line="240" w:lineRule="auto"/>
        <w:ind w:left="2040" w:hanging="2182"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</w:p>
    <w:p w14:paraId="112926C2" w14:textId="77777777" w:rsidR="004B2C9B" w:rsidRDefault="004B2C9B" w:rsidP="00022104">
      <w:pPr>
        <w:spacing w:after="0" w:line="240" w:lineRule="auto"/>
        <w:ind w:left="2040" w:hanging="2182"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</w:p>
    <w:p w14:paraId="625A5967" w14:textId="77777777" w:rsidR="004B2C9B" w:rsidRDefault="004B2C9B" w:rsidP="00022104">
      <w:pPr>
        <w:spacing w:after="0" w:line="240" w:lineRule="auto"/>
        <w:ind w:left="2040" w:hanging="2182"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</w:p>
    <w:p w14:paraId="7F50282C" w14:textId="77777777" w:rsidR="004B2C9B" w:rsidRDefault="004B2C9B" w:rsidP="00022104">
      <w:pPr>
        <w:spacing w:after="0" w:line="240" w:lineRule="auto"/>
        <w:ind w:left="2040" w:hanging="2182"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</w:p>
    <w:p w14:paraId="569293AA" w14:textId="77777777" w:rsidR="004B2C9B" w:rsidRDefault="004B2C9B" w:rsidP="00022104">
      <w:pPr>
        <w:spacing w:after="0" w:line="240" w:lineRule="auto"/>
        <w:ind w:left="2040" w:hanging="2182"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</w:p>
    <w:p w14:paraId="06995EC4" w14:textId="77777777" w:rsidR="004B2C9B" w:rsidRDefault="004B2C9B" w:rsidP="00022104">
      <w:pPr>
        <w:spacing w:after="0" w:line="240" w:lineRule="auto"/>
        <w:ind w:left="2040" w:hanging="2182"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</w:p>
    <w:p w14:paraId="40C73596" w14:textId="77777777" w:rsidR="004B2C9B" w:rsidRDefault="004B2C9B" w:rsidP="00022104">
      <w:pPr>
        <w:spacing w:after="0" w:line="240" w:lineRule="auto"/>
        <w:ind w:left="2040" w:hanging="2182"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</w:p>
    <w:p w14:paraId="36484C2D" w14:textId="77777777" w:rsidR="004B2C9B" w:rsidRDefault="004B2C9B" w:rsidP="00022104">
      <w:pPr>
        <w:spacing w:after="0" w:line="240" w:lineRule="auto"/>
        <w:ind w:left="2040" w:hanging="2182"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</w:p>
    <w:p w14:paraId="6DB00F09" w14:textId="34CA153E" w:rsidR="004B2C9B" w:rsidRDefault="004B2C9B" w:rsidP="004B2C9B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4557B">
        <w:rPr>
          <w:rFonts w:ascii="Arial" w:eastAsia="Calibri" w:hAnsi="Arial" w:cs="Arial"/>
          <w:b/>
          <w:bCs/>
          <w:sz w:val="24"/>
          <w:szCs w:val="24"/>
        </w:rPr>
        <w:t xml:space="preserve">Supplementary material </w:t>
      </w:r>
      <w:r>
        <w:rPr>
          <w:rFonts w:ascii="Arial" w:eastAsia="Calibri" w:hAnsi="Arial" w:cs="Arial"/>
          <w:b/>
          <w:bCs/>
          <w:sz w:val="24"/>
          <w:szCs w:val="24"/>
        </w:rPr>
        <w:t>2</w:t>
      </w:r>
    </w:p>
    <w:p w14:paraId="163DCE46" w14:textId="77777777" w:rsidR="004B2C9B" w:rsidRPr="00FD3DC7" w:rsidRDefault="004B2C9B" w:rsidP="004B2C9B">
      <w:pPr>
        <w:spacing w:after="0" w:line="240" w:lineRule="atLeast"/>
        <w:jc w:val="center"/>
        <w:rPr>
          <w:rFonts w:ascii="Arial" w:eastAsia="SimSun" w:hAnsi="Arial" w:cs="Arial"/>
          <w:b/>
          <w:noProof/>
          <w:color w:val="000000"/>
          <w:sz w:val="24"/>
          <w:szCs w:val="24"/>
          <w:lang w:val="en-US" w:eastAsia="zh-CN"/>
        </w:rPr>
      </w:pPr>
    </w:p>
    <w:p w14:paraId="5C1F0C99" w14:textId="77777777" w:rsidR="004B2C9B" w:rsidRPr="00FD3DC7" w:rsidRDefault="004B2C9B" w:rsidP="004B2C9B">
      <w:pPr>
        <w:spacing w:after="0" w:line="240" w:lineRule="atLeast"/>
        <w:jc w:val="both"/>
        <w:rPr>
          <w:rFonts w:ascii="Palatino Linotype" w:eastAsia="SimSun" w:hAnsi="Palatino Linotype" w:cs="Arial"/>
          <w:b/>
          <w:noProof/>
          <w:color w:val="000000"/>
          <w:sz w:val="24"/>
          <w:szCs w:val="24"/>
          <w:lang w:val="en-US" w:eastAsia="zh-CN"/>
        </w:rPr>
      </w:pPr>
    </w:p>
    <w:p w14:paraId="2E333A20" w14:textId="36B9A3F0" w:rsidR="004B2C9B" w:rsidRPr="00FD3DC7" w:rsidRDefault="004B2C9B" w:rsidP="004B2C9B">
      <w:pPr>
        <w:spacing w:line="480" w:lineRule="auto"/>
        <w:rPr>
          <w:rFonts w:ascii="Arial" w:eastAsia="Arial MT" w:hAnsi="Arial" w:cs="Arial"/>
          <w:b/>
          <w:bCs/>
          <w:sz w:val="24"/>
          <w:szCs w:val="24"/>
          <w:lang w:val="en-GB"/>
        </w:rPr>
      </w:pPr>
      <w:r w:rsidRPr="00FD3DC7">
        <w:rPr>
          <w:rFonts w:ascii="Arial" w:eastAsia="Arial MT" w:hAnsi="Arial" w:cs="Arial"/>
          <w:b/>
          <w:bCs/>
          <w:sz w:val="24"/>
          <w:szCs w:val="24"/>
          <w:lang w:val="en-GB"/>
        </w:rPr>
        <w:t xml:space="preserve">Table </w:t>
      </w:r>
      <w:r w:rsidR="002504F4">
        <w:rPr>
          <w:rFonts w:ascii="Arial" w:eastAsia="Arial MT" w:hAnsi="Arial" w:cs="Arial"/>
          <w:b/>
          <w:bCs/>
          <w:sz w:val="24"/>
          <w:szCs w:val="24"/>
          <w:lang w:val="en-GB"/>
        </w:rPr>
        <w:t>S</w:t>
      </w:r>
      <w:r w:rsidRPr="00FD3DC7">
        <w:rPr>
          <w:rFonts w:ascii="Arial" w:eastAsia="Arial MT" w:hAnsi="Arial" w:cs="Arial"/>
          <w:b/>
          <w:bCs/>
          <w:sz w:val="24"/>
          <w:szCs w:val="24"/>
          <w:lang w:val="en-GB"/>
        </w:rPr>
        <w:t>2.  Linear Regression Coefficients at 3 Months and 6 Months</w:t>
      </w:r>
      <w:r w:rsidRPr="00FD3DC7">
        <w:rPr>
          <w:rFonts w:ascii="Arial" w:eastAsia="Arial MT" w:hAnsi="Arial" w:cs="Arial"/>
          <w:b/>
          <w:bCs/>
          <w:sz w:val="24"/>
          <w:szCs w:val="24"/>
          <w:lang w:val="en-GB"/>
        </w:rPr>
        <w:tab/>
      </w:r>
      <w:r w:rsidRPr="00FD3DC7">
        <w:rPr>
          <w:rFonts w:ascii="Arial" w:eastAsia="Arial MT" w:hAnsi="Arial" w:cs="Arial"/>
          <w:b/>
          <w:bCs/>
          <w:sz w:val="24"/>
          <w:szCs w:val="24"/>
          <w:lang w:val="en-GB"/>
        </w:rPr>
        <w:tab/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851"/>
        <w:gridCol w:w="992"/>
        <w:gridCol w:w="1559"/>
        <w:gridCol w:w="709"/>
        <w:gridCol w:w="709"/>
        <w:gridCol w:w="989"/>
        <w:gridCol w:w="853"/>
      </w:tblGrid>
      <w:tr w:rsidR="004B2C9B" w:rsidRPr="00FD3DC7" w14:paraId="48EA652B" w14:textId="77777777" w:rsidTr="0098007D">
        <w:trPr>
          <w:cantSplit/>
        </w:trPr>
        <w:tc>
          <w:tcPr>
            <w:tcW w:w="1838" w:type="dxa"/>
            <w:vMerge w:val="restart"/>
            <w:shd w:val="clear" w:color="auto" w:fill="FFFFFF"/>
            <w:vAlign w:val="bottom"/>
          </w:tcPr>
          <w:p w14:paraId="7E49B0B8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b/>
                <w:bCs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b/>
                <w:bCs/>
                <w:kern w:val="2"/>
                <w:sz w:val="24"/>
                <w:szCs w:val="24"/>
                <w:lang w:bidi="hi-IN"/>
                <w14:ligatures w14:val="standardContextual"/>
              </w:rPr>
              <w:t>Treatment Interval</w:t>
            </w:r>
          </w:p>
        </w:tc>
        <w:tc>
          <w:tcPr>
            <w:tcW w:w="1843" w:type="dxa"/>
            <w:gridSpan w:val="2"/>
            <w:shd w:val="clear" w:color="auto" w:fill="FFFFFF"/>
            <w:vAlign w:val="bottom"/>
          </w:tcPr>
          <w:p w14:paraId="6C0D6D8A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b/>
                <w:bCs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b/>
                <w:bCs/>
                <w:kern w:val="2"/>
                <w:sz w:val="24"/>
                <w:szCs w:val="24"/>
                <w:lang w:bidi="hi-IN"/>
                <w14:ligatures w14:val="standardContextual"/>
              </w:rPr>
              <w:t>Unstandardized Coefficients</w:t>
            </w:r>
          </w:p>
        </w:tc>
        <w:tc>
          <w:tcPr>
            <w:tcW w:w="1559" w:type="dxa"/>
            <w:shd w:val="clear" w:color="auto" w:fill="FFFFFF"/>
            <w:vAlign w:val="bottom"/>
          </w:tcPr>
          <w:p w14:paraId="5A303A25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b/>
                <w:bCs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b/>
                <w:bCs/>
                <w:kern w:val="2"/>
                <w:sz w:val="24"/>
                <w:szCs w:val="24"/>
                <w:lang w:bidi="hi-IN"/>
                <w14:ligatures w14:val="standardContextual"/>
              </w:rPr>
              <w:t>Standardized Coefficients</w:t>
            </w:r>
          </w:p>
        </w:tc>
        <w:tc>
          <w:tcPr>
            <w:tcW w:w="709" w:type="dxa"/>
            <w:vMerge w:val="restart"/>
            <w:shd w:val="clear" w:color="auto" w:fill="FFFFFF"/>
            <w:vAlign w:val="bottom"/>
          </w:tcPr>
          <w:p w14:paraId="073396C1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b/>
                <w:bCs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b/>
                <w:bCs/>
                <w:kern w:val="2"/>
                <w:sz w:val="24"/>
                <w:szCs w:val="24"/>
                <w:lang w:bidi="hi-IN"/>
                <w14:ligatures w14:val="standardContextual"/>
              </w:rPr>
              <w:t>t</w:t>
            </w:r>
          </w:p>
        </w:tc>
        <w:tc>
          <w:tcPr>
            <w:tcW w:w="709" w:type="dxa"/>
            <w:vMerge w:val="restart"/>
            <w:shd w:val="clear" w:color="auto" w:fill="FFFFFF"/>
            <w:vAlign w:val="bottom"/>
          </w:tcPr>
          <w:p w14:paraId="612B2082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b/>
                <w:bCs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b/>
                <w:bCs/>
                <w:kern w:val="2"/>
                <w:sz w:val="24"/>
                <w:szCs w:val="24"/>
                <w:lang w:bidi="hi-IN"/>
                <w14:ligatures w14:val="standardContextual"/>
              </w:rPr>
              <w:t>Sig.</w:t>
            </w:r>
          </w:p>
        </w:tc>
        <w:tc>
          <w:tcPr>
            <w:tcW w:w="1842" w:type="dxa"/>
            <w:gridSpan w:val="2"/>
            <w:shd w:val="clear" w:color="auto" w:fill="FFFFFF"/>
            <w:vAlign w:val="bottom"/>
          </w:tcPr>
          <w:p w14:paraId="4E8B167C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b/>
                <w:bCs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b/>
                <w:bCs/>
                <w:kern w:val="2"/>
                <w:sz w:val="24"/>
                <w:szCs w:val="24"/>
                <w:lang w:bidi="hi-IN"/>
                <w14:ligatures w14:val="standardContextual"/>
              </w:rPr>
              <w:t>95.0% Confidence Interval for B</w:t>
            </w:r>
          </w:p>
        </w:tc>
      </w:tr>
      <w:tr w:rsidR="004B2C9B" w:rsidRPr="00FD3DC7" w14:paraId="3DD51CD3" w14:textId="77777777" w:rsidTr="0098007D">
        <w:trPr>
          <w:cantSplit/>
        </w:trPr>
        <w:tc>
          <w:tcPr>
            <w:tcW w:w="1838" w:type="dxa"/>
            <w:vMerge/>
            <w:shd w:val="clear" w:color="auto" w:fill="FFFFFF"/>
            <w:vAlign w:val="bottom"/>
          </w:tcPr>
          <w:p w14:paraId="6337FF75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b/>
                <w:bCs/>
                <w:kern w:val="2"/>
                <w:sz w:val="24"/>
                <w:szCs w:val="24"/>
                <w:lang w:bidi="hi-IN"/>
                <w14:ligatures w14:val="standardContextual"/>
              </w:rPr>
            </w:pPr>
          </w:p>
        </w:tc>
        <w:tc>
          <w:tcPr>
            <w:tcW w:w="851" w:type="dxa"/>
            <w:shd w:val="clear" w:color="auto" w:fill="FFFFFF"/>
            <w:vAlign w:val="bottom"/>
          </w:tcPr>
          <w:p w14:paraId="7650075D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b/>
                <w:bCs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b/>
                <w:bCs/>
                <w:kern w:val="2"/>
                <w:sz w:val="24"/>
                <w:szCs w:val="24"/>
                <w:lang w:bidi="hi-IN"/>
                <w14:ligatures w14:val="standardContextual"/>
              </w:rPr>
              <w:t>B</w:t>
            </w:r>
          </w:p>
        </w:tc>
        <w:tc>
          <w:tcPr>
            <w:tcW w:w="992" w:type="dxa"/>
            <w:shd w:val="clear" w:color="auto" w:fill="FFFFFF"/>
            <w:vAlign w:val="bottom"/>
          </w:tcPr>
          <w:p w14:paraId="77376F25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b/>
                <w:bCs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b/>
                <w:bCs/>
                <w:kern w:val="2"/>
                <w:sz w:val="24"/>
                <w:szCs w:val="24"/>
                <w:lang w:bidi="hi-IN"/>
                <w14:ligatures w14:val="standardContextual"/>
              </w:rPr>
              <w:t>Std. Error</w:t>
            </w:r>
          </w:p>
        </w:tc>
        <w:tc>
          <w:tcPr>
            <w:tcW w:w="1559" w:type="dxa"/>
            <w:shd w:val="clear" w:color="auto" w:fill="FFFFFF"/>
            <w:vAlign w:val="bottom"/>
          </w:tcPr>
          <w:p w14:paraId="24AFE218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b/>
                <w:bCs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b/>
                <w:bCs/>
                <w:kern w:val="2"/>
                <w:sz w:val="24"/>
                <w:szCs w:val="24"/>
                <w:lang w:bidi="hi-IN"/>
                <w14:ligatures w14:val="standardContextual"/>
              </w:rPr>
              <w:t>Beta</w:t>
            </w:r>
          </w:p>
        </w:tc>
        <w:tc>
          <w:tcPr>
            <w:tcW w:w="709" w:type="dxa"/>
            <w:vMerge/>
            <w:shd w:val="clear" w:color="auto" w:fill="FFFFFF"/>
            <w:vAlign w:val="bottom"/>
          </w:tcPr>
          <w:p w14:paraId="0A816BBE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b/>
                <w:bCs/>
                <w:kern w:val="2"/>
                <w:sz w:val="24"/>
                <w:szCs w:val="24"/>
                <w:lang w:bidi="hi-IN"/>
                <w14:ligatures w14:val="standardContextual"/>
              </w:rPr>
            </w:pPr>
          </w:p>
        </w:tc>
        <w:tc>
          <w:tcPr>
            <w:tcW w:w="709" w:type="dxa"/>
            <w:vMerge/>
            <w:shd w:val="clear" w:color="auto" w:fill="FFFFFF"/>
            <w:vAlign w:val="bottom"/>
          </w:tcPr>
          <w:p w14:paraId="220F1445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b/>
                <w:bCs/>
                <w:kern w:val="2"/>
                <w:sz w:val="24"/>
                <w:szCs w:val="24"/>
                <w:lang w:bidi="hi-IN"/>
                <w14:ligatures w14:val="standardContextual"/>
              </w:rPr>
            </w:pPr>
          </w:p>
        </w:tc>
        <w:tc>
          <w:tcPr>
            <w:tcW w:w="989" w:type="dxa"/>
            <w:shd w:val="clear" w:color="auto" w:fill="FFFFFF"/>
            <w:vAlign w:val="bottom"/>
          </w:tcPr>
          <w:p w14:paraId="3789500B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b/>
                <w:bCs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b/>
                <w:bCs/>
                <w:kern w:val="2"/>
                <w:sz w:val="24"/>
                <w:szCs w:val="24"/>
                <w:lang w:bidi="hi-IN"/>
                <w14:ligatures w14:val="standardContextual"/>
              </w:rPr>
              <w:t>Lower Bound</w:t>
            </w:r>
          </w:p>
        </w:tc>
        <w:tc>
          <w:tcPr>
            <w:tcW w:w="853" w:type="dxa"/>
            <w:shd w:val="clear" w:color="auto" w:fill="FFFFFF"/>
            <w:vAlign w:val="bottom"/>
          </w:tcPr>
          <w:p w14:paraId="29D07995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b/>
                <w:bCs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b/>
                <w:bCs/>
                <w:kern w:val="2"/>
                <w:sz w:val="24"/>
                <w:szCs w:val="24"/>
                <w:lang w:bidi="hi-IN"/>
                <w14:ligatures w14:val="standardContextual"/>
              </w:rPr>
              <w:t>Upper Bound</w:t>
            </w:r>
          </w:p>
        </w:tc>
      </w:tr>
      <w:tr w:rsidR="004B2C9B" w:rsidRPr="00FD3DC7" w14:paraId="49DF9635" w14:textId="77777777" w:rsidTr="0098007D">
        <w:trPr>
          <w:cantSplit/>
        </w:trPr>
        <w:tc>
          <w:tcPr>
            <w:tcW w:w="1838" w:type="dxa"/>
            <w:vMerge w:val="restart"/>
          </w:tcPr>
          <w:p w14:paraId="33BFA05F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(Constant)</w:t>
            </w:r>
          </w:p>
          <w:p w14:paraId="59782E8F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MONTH 3 CFT</w:t>
            </w:r>
          </w:p>
          <w:p w14:paraId="729EF9D0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MONTH 3 SPFT</w:t>
            </w:r>
          </w:p>
          <w:p w14:paraId="57E2A6E8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MONTH 3 IPFT</w:t>
            </w:r>
          </w:p>
          <w:p w14:paraId="2D2A0659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MONTH 3 NPFT</w:t>
            </w:r>
          </w:p>
          <w:p w14:paraId="404245AB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MONTH 3 TPFT</w:t>
            </w:r>
          </w:p>
        </w:tc>
        <w:tc>
          <w:tcPr>
            <w:tcW w:w="851" w:type="dxa"/>
          </w:tcPr>
          <w:p w14:paraId="497799F2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-.497</w:t>
            </w:r>
          </w:p>
        </w:tc>
        <w:tc>
          <w:tcPr>
            <w:tcW w:w="992" w:type="dxa"/>
          </w:tcPr>
          <w:p w14:paraId="0C59B72D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.237</w:t>
            </w:r>
          </w:p>
        </w:tc>
        <w:tc>
          <w:tcPr>
            <w:tcW w:w="1559" w:type="dxa"/>
            <w:vAlign w:val="center"/>
          </w:tcPr>
          <w:p w14:paraId="68D50027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</w:p>
        </w:tc>
        <w:tc>
          <w:tcPr>
            <w:tcW w:w="709" w:type="dxa"/>
          </w:tcPr>
          <w:p w14:paraId="4E73CAF5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-2.102</w:t>
            </w:r>
          </w:p>
        </w:tc>
        <w:tc>
          <w:tcPr>
            <w:tcW w:w="709" w:type="dxa"/>
          </w:tcPr>
          <w:p w14:paraId="4B3DFD55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.041</w:t>
            </w:r>
          </w:p>
        </w:tc>
        <w:tc>
          <w:tcPr>
            <w:tcW w:w="989" w:type="dxa"/>
          </w:tcPr>
          <w:p w14:paraId="242C8809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-.973</w:t>
            </w:r>
          </w:p>
        </w:tc>
        <w:tc>
          <w:tcPr>
            <w:tcW w:w="853" w:type="dxa"/>
          </w:tcPr>
          <w:p w14:paraId="5B6B9929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-.022</w:t>
            </w:r>
          </w:p>
        </w:tc>
      </w:tr>
      <w:tr w:rsidR="004B2C9B" w:rsidRPr="00FD3DC7" w14:paraId="777D4476" w14:textId="77777777" w:rsidTr="0098007D">
        <w:trPr>
          <w:cantSplit/>
          <w:trHeight w:val="163"/>
        </w:trPr>
        <w:tc>
          <w:tcPr>
            <w:tcW w:w="1838" w:type="dxa"/>
            <w:vMerge/>
          </w:tcPr>
          <w:p w14:paraId="219240B4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</w:p>
        </w:tc>
        <w:tc>
          <w:tcPr>
            <w:tcW w:w="851" w:type="dxa"/>
          </w:tcPr>
          <w:p w14:paraId="02C8FDE1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.003</w:t>
            </w:r>
          </w:p>
        </w:tc>
        <w:tc>
          <w:tcPr>
            <w:tcW w:w="992" w:type="dxa"/>
          </w:tcPr>
          <w:p w14:paraId="73C054F6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.001</w:t>
            </w:r>
          </w:p>
        </w:tc>
        <w:tc>
          <w:tcPr>
            <w:tcW w:w="1559" w:type="dxa"/>
          </w:tcPr>
          <w:p w14:paraId="3488525D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.661</w:t>
            </w:r>
          </w:p>
        </w:tc>
        <w:tc>
          <w:tcPr>
            <w:tcW w:w="709" w:type="dxa"/>
          </w:tcPr>
          <w:p w14:paraId="6CCC810A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4.334</w:t>
            </w:r>
          </w:p>
        </w:tc>
        <w:tc>
          <w:tcPr>
            <w:tcW w:w="709" w:type="dxa"/>
          </w:tcPr>
          <w:p w14:paraId="7C7F52DE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&lt;.001</w:t>
            </w:r>
          </w:p>
        </w:tc>
        <w:tc>
          <w:tcPr>
            <w:tcW w:w="989" w:type="dxa"/>
          </w:tcPr>
          <w:p w14:paraId="3B9B00C4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.001</w:t>
            </w:r>
          </w:p>
        </w:tc>
        <w:tc>
          <w:tcPr>
            <w:tcW w:w="853" w:type="dxa"/>
          </w:tcPr>
          <w:p w14:paraId="44792B41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.004</w:t>
            </w:r>
          </w:p>
        </w:tc>
      </w:tr>
      <w:tr w:rsidR="004B2C9B" w:rsidRPr="00FD3DC7" w14:paraId="5D30D524" w14:textId="77777777" w:rsidTr="0098007D">
        <w:trPr>
          <w:cantSplit/>
        </w:trPr>
        <w:tc>
          <w:tcPr>
            <w:tcW w:w="1838" w:type="dxa"/>
            <w:vMerge/>
          </w:tcPr>
          <w:p w14:paraId="1BB859A2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</w:p>
        </w:tc>
        <w:tc>
          <w:tcPr>
            <w:tcW w:w="851" w:type="dxa"/>
          </w:tcPr>
          <w:p w14:paraId="0A534B96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.000</w:t>
            </w:r>
          </w:p>
        </w:tc>
        <w:tc>
          <w:tcPr>
            <w:tcW w:w="992" w:type="dxa"/>
          </w:tcPr>
          <w:p w14:paraId="388761A8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.001</w:t>
            </w:r>
          </w:p>
        </w:tc>
        <w:tc>
          <w:tcPr>
            <w:tcW w:w="1559" w:type="dxa"/>
          </w:tcPr>
          <w:p w14:paraId="3CBA2B4B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.086</w:t>
            </w:r>
          </w:p>
        </w:tc>
        <w:tc>
          <w:tcPr>
            <w:tcW w:w="709" w:type="dxa"/>
          </w:tcPr>
          <w:p w14:paraId="4D1BBE1A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.439</w:t>
            </w:r>
          </w:p>
        </w:tc>
        <w:tc>
          <w:tcPr>
            <w:tcW w:w="709" w:type="dxa"/>
          </w:tcPr>
          <w:p w14:paraId="3C58CDD4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.663</w:t>
            </w:r>
          </w:p>
        </w:tc>
        <w:tc>
          <w:tcPr>
            <w:tcW w:w="989" w:type="dxa"/>
          </w:tcPr>
          <w:p w14:paraId="35DD0473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-.002</w:t>
            </w:r>
          </w:p>
        </w:tc>
        <w:tc>
          <w:tcPr>
            <w:tcW w:w="853" w:type="dxa"/>
          </w:tcPr>
          <w:p w14:paraId="7B007FB9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.003</w:t>
            </w:r>
          </w:p>
        </w:tc>
      </w:tr>
      <w:tr w:rsidR="004B2C9B" w:rsidRPr="00FD3DC7" w14:paraId="77D8EDA0" w14:textId="77777777" w:rsidTr="0098007D">
        <w:trPr>
          <w:cantSplit/>
        </w:trPr>
        <w:tc>
          <w:tcPr>
            <w:tcW w:w="1838" w:type="dxa"/>
            <w:vMerge/>
          </w:tcPr>
          <w:p w14:paraId="356DA683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</w:p>
        </w:tc>
        <w:tc>
          <w:tcPr>
            <w:tcW w:w="851" w:type="dxa"/>
          </w:tcPr>
          <w:p w14:paraId="4A99C0A9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.000</w:t>
            </w:r>
          </w:p>
        </w:tc>
        <w:tc>
          <w:tcPr>
            <w:tcW w:w="992" w:type="dxa"/>
          </w:tcPr>
          <w:p w14:paraId="078101C5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.001</w:t>
            </w:r>
          </w:p>
        </w:tc>
        <w:tc>
          <w:tcPr>
            <w:tcW w:w="1559" w:type="dxa"/>
          </w:tcPr>
          <w:p w14:paraId="7B2D8508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.078</w:t>
            </w:r>
          </w:p>
        </w:tc>
        <w:tc>
          <w:tcPr>
            <w:tcW w:w="709" w:type="dxa"/>
          </w:tcPr>
          <w:p w14:paraId="1C557307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.434</w:t>
            </w:r>
          </w:p>
        </w:tc>
        <w:tc>
          <w:tcPr>
            <w:tcW w:w="709" w:type="dxa"/>
          </w:tcPr>
          <w:p w14:paraId="152A9568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.666</w:t>
            </w:r>
          </w:p>
        </w:tc>
        <w:tc>
          <w:tcPr>
            <w:tcW w:w="989" w:type="dxa"/>
          </w:tcPr>
          <w:p w14:paraId="1DB283A9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-.002</w:t>
            </w:r>
          </w:p>
        </w:tc>
        <w:tc>
          <w:tcPr>
            <w:tcW w:w="853" w:type="dxa"/>
          </w:tcPr>
          <w:p w14:paraId="6471ABCE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.003</w:t>
            </w:r>
          </w:p>
        </w:tc>
      </w:tr>
      <w:tr w:rsidR="004B2C9B" w:rsidRPr="00FD3DC7" w14:paraId="42247A42" w14:textId="77777777" w:rsidTr="0098007D">
        <w:trPr>
          <w:cantSplit/>
        </w:trPr>
        <w:tc>
          <w:tcPr>
            <w:tcW w:w="1838" w:type="dxa"/>
            <w:vMerge/>
          </w:tcPr>
          <w:p w14:paraId="582113A0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</w:p>
        </w:tc>
        <w:tc>
          <w:tcPr>
            <w:tcW w:w="851" w:type="dxa"/>
          </w:tcPr>
          <w:p w14:paraId="07FACEC0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.002</w:t>
            </w:r>
          </w:p>
        </w:tc>
        <w:tc>
          <w:tcPr>
            <w:tcW w:w="992" w:type="dxa"/>
          </w:tcPr>
          <w:p w14:paraId="3BDA4543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.002</w:t>
            </w:r>
          </w:p>
        </w:tc>
        <w:tc>
          <w:tcPr>
            <w:tcW w:w="1559" w:type="dxa"/>
          </w:tcPr>
          <w:p w14:paraId="3F9FE6F1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.245</w:t>
            </w:r>
          </w:p>
        </w:tc>
        <w:tc>
          <w:tcPr>
            <w:tcW w:w="709" w:type="dxa"/>
          </w:tcPr>
          <w:p w14:paraId="746B8FF4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1.067</w:t>
            </w:r>
          </w:p>
        </w:tc>
        <w:tc>
          <w:tcPr>
            <w:tcW w:w="709" w:type="dxa"/>
          </w:tcPr>
          <w:p w14:paraId="5D7E6CC3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.291</w:t>
            </w:r>
          </w:p>
        </w:tc>
        <w:tc>
          <w:tcPr>
            <w:tcW w:w="989" w:type="dxa"/>
          </w:tcPr>
          <w:p w14:paraId="561F6F0C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-.001</w:t>
            </w:r>
          </w:p>
        </w:tc>
        <w:tc>
          <w:tcPr>
            <w:tcW w:w="853" w:type="dxa"/>
          </w:tcPr>
          <w:p w14:paraId="0EF40304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.005</w:t>
            </w:r>
          </w:p>
        </w:tc>
      </w:tr>
      <w:tr w:rsidR="004B2C9B" w:rsidRPr="00FD3DC7" w14:paraId="156F4CEE" w14:textId="77777777" w:rsidTr="0098007D">
        <w:trPr>
          <w:cantSplit/>
        </w:trPr>
        <w:tc>
          <w:tcPr>
            <w:tcW w:w="1838" w:type="dxa"/>
            <w:vMerge/>
          </w:tcPr>
          <w:p w14:paraId="0C730C99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</w:p>
        </w:tc>
        <w:tc>
          <w:tcPr>
            <w:tcW w:w="851" w:type="dxa"/>
          </w:tcPr>
          <w:p w14:paraId="34B6FC29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-.002</w:t>
            </w:r>
          </w:p>
        </w:tc>
        <w:tc>
          <w:tcPr>
            <w:tcW w:w="992" w:type="dxa"/>
          </w:tcPr>
          <w:p w14:paraId="6AF47BAC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.001</w:t>
            </w:r>
          </w:p>
        </w:tc>
        <w:tc>
          <w:tcPr>
            <w:tcW w:w="1559" w:type="dxa"/>
          </w:tcPr>
          <w:p w14:paraId="403959F7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-.354</w:t>
            </w:r>
          </w:p>
        </w:tc>
        <w:tc>
          <w:tcPr>
            <w:tcW w:w="709" w:type="dxa"/>
          </w:tcPr>
          <w:p w14:paraId="733D2288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-1.766</w:t>
            </w:r>
          </w:p>
        </w:tc>
        <w:tc>
          <w:tcPr>
            <w:tcW w:w="709" w:type="dxa"/>
          </w:tcPr>
          <w:p w14:paraId="0B62B864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.084</w:t>
            </w:r>
          </w:p>
        </w:tc>
        <w:tc>
          <w:tcPr>
            <w:tcW w:w="989" w:type="dxa"/>
          </w:tcPr>
          <w:p w14:paraId="654886E7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-.004</w:t>
            </w:r>
          </w:p>
        </w:tc>
        <w:tc>
          <w:tcPr>
            <w:tcW w:w="853" w:type="dxa"/>
          </w:tcPr>
          <w:p w14:paraId="2A6C3D10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.000</w:t>
            </w:r>
          </w:p>
        </w:tc>
      </w:tr>
      <w:tr w:rsidR="004B2C9B" w:rsidRPr="00FD3DC7" w14:paraId="3E808910" w14:textId="77777777" w:rsidTr="0098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71030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(Constant)</w:t>
            </w:r>
          </w:p>
          <w:p w14:paraId="6064F773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MONTH 6 CFT</w:t>
            </w:r>
          </w:p>
          <w:p w14:paraId="1C75D3D7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MONTH 6 SPFT</w:t>
            </w:r>
          </w:p>
          <w:p w14:paraId="6F4CA982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MONTH 6 IPFT</w:t>
            </w:r>
          </w:p>
          <w:p w14:paraId="6B0FC83A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MONTH 6 NPFT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3767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-.471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5EA3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3C20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7836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-2.476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6843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.017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B879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-.853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9D2C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-.089</w:t>
            </w:r>
          </w:p>
        </w:tc>
      </w:tr>
      <w:tr w:rsidR="004B2C9B" w:rsidRPr="00FD3DC7" w14:paraId="30A1EBF7" w14:textId="77777777" w:rsidTr="0098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700C1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D310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FCAE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8051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.405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8CD9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2.291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507A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.026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2486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F81A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.003</w:t>
            </w:r>
          </w:p>
        </w:tc>
      </w:tr>
      <w:tr w:rsidR="004B2C9B" w:rsidRPr="00FD3DC7" w14:paraId="3B65D23F" w14:textId="77777777" w:rsidTr="0098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63992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83E2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-.001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59E2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F26C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-.227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B901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-1.324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35CD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.192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EAEB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-.003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ECFF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.001</w:t>
            </w:r>
          </w:p>
        </w:tc>
      </w:tr>
      <w:tr w:rsidR="004B2C9B" w:rsidRPr="00FD3DC7" w14:paraId="38161CDB" w14:textId="77777777" w:rsidTr="0098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F8C09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043F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A999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1BB6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F9BF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1.211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EC0E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.232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9C7D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-.001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6B95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.003</w:t>
            </w:r>
          </w:p>
        </w:tc>
      </w:tr>
      <w:tr w:rsidR="004B2C9B" w:rsidRPr="00FD3DC7" w14:paraId="5B433E8E" w14:textId="77777777" w:rsidTr="0098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BC59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8469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A76E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0765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.437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7EC4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2.309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ED35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F973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7989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.004</w:t>
            </w:r>
          </w:p>
        </w:tc>
      </w:tr>
      <w:tr w:rsidR="004B2C9B" w:rsidRPr="00FD3DC7" w14:paraId="2EACC169" w14:textId="77777777" w:rsidTr="0098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B9DC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MONTH 6 TPFT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F275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3B8F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BA9C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-.053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CE77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-.213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4BE6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.832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97E3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-.003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C5D2" w14:textId="77777777" w:rsidR="004B2C9B" w:rsidRPr="00FD3DC7" w:rsidRDefault="004B2C9B" w:rsidP="0098007D">
            <w:pPr>
              <w:spacing w:after="0"/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FD3DC7">
              <w:rPr>
                <w:rFonts w:ascii="Arial" w:eastAsia="Aptos" w:hAnsi="Arial" w:cs="Arial"/>
                <w:kern w:val="2"/>
                <w:sz w:val="24"/>
                <w:szCs w:val="24"/>
                <w:lang w:bidi="hi-IN"/>
                <w14:ligatures w14:val="standardContextual"/>
              </w:rPr>
              <w:t>.002</w:t>
            </w:r>
          </w:p>
        </w:tc>
      </w:tr>
    </w:tbl>
    <w:p w14:paraId="3484B4DC" w14:textId="77777777" w:rsidR="004B2C9B" w:rsidRDefault="004B2C9B" w:rsidP="004B2C9B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0ABC1CF8" w14:textId="77777777" w:rsidR="004B2C9B" w:rsidRPr="00DE0093" w:rsidRDefault="004B2C9B" w:rsidP="00022104">
      <w:pPr>
        <w:spacing w:after="0" w:line="240" w:lineRule="auto"/>
        <w:ind w:left="2040" w:hanging="2182"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</w:p>
    <w:p w14:paraId="46E817E3" w14:textId="77777777" w:rsidR="00022104" w:rsidRPr="00DE0093" w:rsidRDefault="00022104" w:rsidP="00022104">
      <w:pPr>
        <w:spacing w:after="0" w:line="480" w:lineRule="auto"/>
        <w:rPr>
          <w:rFonts w:ascii="Arial" w:eastAsia="Aptos" w:hAnsi="Arial" w:cs="Arial"/>
          <w:spacing w:val="-10"/>
          <w:kern w:val="28"/>
          <w:sz w:val="24"/>
          <w:szCs w:val="24"/>
          <w:lang w:val="en-US"/>
          <w14:ligatures w14:val="standardContextual"/>
        </w:rPr>
      </w:pPr>
    </w:p>
    <w:p w14:paraId="50E948AA" w14:textId="77777777" w:rsidR="00022104" w:rsidRDefault="00022104" w:rsidP="0002210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20957C80" w14:textId="77777777" w:rsidR="00022104" w:rsidRDefault="00022104" w:rsidP="0002210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21D5ECB4" w14:textId="77777777" w:rsidR="00022104" w:rsidRDefault="00022104" w:rsidP="0002210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26E683B1" w14:textId="77777777" w:rsidR="00022104" w:rsidRDefault="00022104" w:rsidP="0002210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7456F005" w14:textId="77777777" w:rsidR="00022104" w:rsidRDefault="00022104" w:rsidP="0002210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4642DE09" w14:textId="77777777" w:rsidR="00022104" w:rsidRDefault="00022104" w:rsidP="0002210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0E4CE09B" w14:textId="77777777" w:rsidR="00022104" w:rsidRDefault="00022104" w:rsidP="0002210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36514BE9" w14:textId="77777777" w:rsidR="00022104" w:rsidRDefault="00022104" w:rsidP="0002210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67DA0CEC" w14:textId="77777777" w:rsidR="00022104" w:rsidRDefault="00022104" w:rsidP="0002210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4CED4E5B" w14:textId="6C7AD815" w:rsidR="00022104" w:rsidRDefault="004B2C9B" w:rsidP="0002210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FIGURES </w:t>
      </w:r>
    </w:p>
    <w:p w14:paraId="7EEBA691" w14:textId="096BE5C3" w:rsidR="00022104" w:rsidRDefault="00022104" w:rsidP="00F30E2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4557B">
        <w:rPr>
          <w:rFonts w:ascii="Arial" w:eastAsia="Calibri" w:hAnsi="Arial" w:cs="Arial"/>
          <w:b/>
          <w:bCs/>
          <w:sz w:val="24"/>
          <w:szCs w:val="24"/>
        </w:rPr>
        <w:t xml:space="preserve">Supplementary material </w:t>
      </w:r>
      <w:r w:rsidR="004B2C9B">
        <w:rPr>
          <w:rFonts w:ascii="Arial" w:eastAsia="Calibri" w:hAnsi="Arial" w:cs="Arial"/>
          <w:b/>
          <w:bCs/>
          <w:sz w:val="24"/>
          <w:szCs w:val="24"/>
        </w:rPr>
        <w:t>1</w:t>
      </w:r>
    </w:p>
    <w:p w14:paraId="21FA111A" w14:textId="3BDC39F8" w:rsidR="001A53E9" w:rsidRPr="009F7611" w:rsidRDefault="001A53E9" w:rsidP="00022104">
      <w:pPr>
        <w:rPr>
          <w:rFonts w:ascii="Arial" w:eastAsia="Calibri" w:hAnsi="Arial" w:cs="Arial"/>
          <w:b/>
          <w:bCs/>
          <w:sz w:val="24"/>
          <w:szCs w:val="24"/>
        </w:rPr>
      </w:pPr>
      <w:r w:rsidRPr="001A53E9">
        <w:rPr>
          <w:rFonts w:ascii="Times New Roman" w:eastAsia="Aptos" w:hAnsi="Times New Roman" w:cs="Arial"/>
          <w:noProof/>
          <w:kern w:val="2"/>
          <w:sz w:val="24"/>
          <w:szCs w:val="24"/>
          <w:lang w:bidi="hi-IN"/>
          <w14:ligatures w14:val="standardContextual"/>
        </w:rPr>
        <mc:AlternateContent>
          <mc:Choice Requires="cx1">
            <w:drawing>
              <wp:inline distT="0" distB="0" distL="0" distR="0" wp14:anchorId="0AA8A7DA" wp14:editId="033C17FD">
                <wp:extent cx="4572000" cy="2743200"/>
                <wp:effectExtent l="0" t="0" r="0" b="0"/>
                <wp:docPr id="1383091096" name="Chart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4E6F39A-51F4-C3E4-D414-6A22BE8AE19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7"/>
                  </a:graphicData>
                </a:graphic>
              </wp:inline>
            </w:drawing>
          </mc:Choice>
          <mc:Fallback>
            <w:drawing>
              <wp:inline distT="0" distB="0" distL="0" distR="0" wp14:anchorId="0AA8A7DA" wp14:editId="033C17FD">
                <wp:extent cx="4572000" cy="2743200"/>
                <wp:effectExtent l="0" t="0" r="0" b="0"/>
                <wp:docPr id="1383091096" name="Chart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4E6F39A-51F4-C3E4-D414-6A22BE8AE193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3091096" name="Chart 1">
                          <a:extLst>
                            <a:ext uri="{FF2B5EF4-FFF2-40B4-BE49-F238E27FC236}">
                              <a16:creationId xmlns:a16="http://schemas.microsoft.com/office/drawing/2014/main" id="{94E6F39A-51F4-C3E4-D414-6A22BE8AE193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0" cy="274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203C3C86" w14:textId="0AD30DBA" w:rsidR="001A53E9" w:rsidRDefault="001A53E9" w:rsidP="001A53E9">
      <w:pPr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Figure </w:t>
      </w:r>
      <w:r w:rsidR="002504F4">
        <w:rPr>
          <w:rFonts w:ascii="Arial" w:eastAsia="Calibri" w:hAnsi="Arial" w:cs="Arial"/>
          <w:b/>
          <w:bCs/>
          <w:sz w:val="24"/>
          <w:szCs w:val="24"/>
        </w:rPr>
        <w:t>S</w:t>
      </w:r>
      <w:r>
        <w:rPr>
          <w:rFonts w:ascii="Arial" w:eastAsia="Calibri" w:hAnsi="Arial" w:cs="Arial"/>
          <w:b/>
          <w:bCs/>
          <w:sz w:val="24"/>
          <w:szCs w:val="24"/>
        </w:rPr>
        <w:t>1</w:t>
      </w:r>
      <w:r w:rsidR="00FD0EA8">
        <w:rPr>
          <w:rFonts w:ascii="Arial" w:eastAsia="Calibri" w:hAnsi="Arial" w:cs="Arial"/>
          <w:b/>
          <w:bCs/>
          <w:sz w:val="24"/>
          <w:szCs w:val="24"/>
        </w:rPr>
        <w:t>.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 Effect of Avastin on visual acuity</w:t>
      </w:r>
      <w:r w:rsidR="00FD0EA8">
        <w:rPr>
          <w:rFonts w:ascii="Arial" w:eastAsia="Calibri" w:hAnsi="Arial" w:cs="Arial"/>
          <w:b/>
          <w:bCs/>
          <w:sz w:val="24"/>
          <w:szCs w:val="24"/>
        </w:rPr>
        <w:t xml:space="preserve"> at baseline, 3 and 6 months</w:t>
      </w:r>
    </w:p>
    <w:p w14:paraId="024F1CB1" w14:textId="77777777" w:rsidR="001A53E9" w:rsidRPr="001A53E9" w:rsidRDefault="001A53E9" w:rsidP="001A53E9">
      <w:pPr>
        <w:autoSpaceDE w:val="0"/>
        <w:autoSpaceDN w:val="0"/>
        <w:adjustRightInd w:val="0"/>
        <w:spacing w:after="0" w:line="240" w:lineRule="auto"/>
        <w:ind w:left="2040" w:hanging="2040"/>
        <w:rPr>
          <w:rFonts w:ascii="Arial" w:eastAsia="Aptos" w:hAnsi="Arial" w:cs="Arial"/>
          <w:spacing w:val="-10"/>
          <w:sz w:val="24"/>
          <w:szCs w:val="24"/>
          <w:lang w:bidi="hi-IN"/>
          <w14:ligatures w14:val="standardContextual"/>
        </w:rPr>
      </w:pPr>
      <w:r w:rsidRPr="001A53E9">
        <w:rPr>
          <w:rFonts w:ascii="Arial" w:eastAsia="Aptos" w:hAnsi="Arial" w:cs="Arial"/>
          <w:spacing w:val="-10"/>
          <w:sz w:val="24"/>
          <w:szCs w:val="24"/>
          <w:lang w:bidi="hi-IN"/>
          <w14:ligatures w14:val="standardContextual"/>
        </w:rPr>
        <w:t>LogMAR =logarithmic minimum angle of resolution; VA = visual acuity; BLPH VA = Baseline pinhole visual acuity</w:t>
      </w:r>
    </w:p>
    <w:p w14:paraId="6515A71F" w14:textId="77777777" w:rsidR="001A53E9" w:rsidRPr="002103D9" w:rsidRDefault="001A53E9" w:rsidP="001A53E9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13D264A6" w14:textId="77777777" w:rsidR="00F30E29" w:rsidRDefault="00F30E29" w:rsidP="00F30E29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630083D5" w14:textId="0B5A18D3" w:rsidR="00FD0EA8" w:rsidRDefault="00022104" w:rsidP="00F30E29">
      <w:pPr>
        <w:rPr>
          <w:rFonts w:ascii="Arial" w:eastAsia="Calibri" w:hAnsi="Arial" w:cs="Arial"/>
          <w:b/>
          <w:bCs/>
          <w:sz w:val="24"/>
          <w:szCs w:val="24"/>
        </w:rPr>
      </w:pPr>
      <w:r w:rsidRPr="00A4557B">
        <w:rPr>
          <w:rFonts w:ascii="Arial" w:eastAsia="Calibri" w:hAnsi="Arial" w:cs="Arial"/>
          <w:b/>
          <w:bCs/>
          <w:sz w:val="24"/>
          <w:szCs w:val="24"/>
        </w:rPr>
        <w:t xml:space="preserve">Supplementary material </w:t>
      </w:r>
      <w:r w:rsidR="004B2C9B">
        <w:rPr>
          <w:rFonts w:ascii="Arial" w:eastAsia="Calibri" w:hAnsi="Arial" w:cs="Arial"/>
          <w:b/>
          <w:bCs/>
          <w:sz w:val="24"/>
          <w:szCs w:val="24"/>
        </w:rPr>
        <w:t>2</w:t>
      </w:r>
    </w:p>
    <w:p w14:paraId="7E26C34A" w14:textId="7B77EAFF" w:rsidR="00FD0EA8" w:rsidRDefault="003938FE" w:rsidP="003938FE">
      <w:pPr>
        <w:rPr>
          <w:rFonts w:ascii="Arial" w:eastAsia="Calibri" w:hAnsi="Arial" w:cs="Arial"/>
          <w:b/>
          <w:bCs/>
          <w:sz w:val="24"/>
          <w:szCs w:val="24"/>
        </w:rPr>
      </w:pPr>
      <w:r w:rsidRPr="003938FE">
        <w:rPr>
          <w:rFonts w:ascii="Times New Roman" w:eastAsia="Aptos" w:hAnsi="Times New Roman" w:cs="Arial"/>
          <w:noProof/>
          <w:kern w:val="2"/>
          <w:sz w:val="24"/>
          <w:szCs w:val="24"/>
          <w:lang w:bidi="hi-IN"/>
          <w14:ligatures w14:val="standardContextual"/>
        </w:rPr>
        <w:drawing>
          <wp:inline distT="0" distB="0" distL="0" distR="0" wp14:anchorId="427F370A" wp14:editId="661C0D6A">
            <wp:extent cx="5731510" cy="2590006"/>
            <wp:effectExtent l="0" t="0" r="2540" b="1270"/>
            <wp:docPr id="11766852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900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1A55A3" w14:textId="5DC23C62" w:rsidR="003938FE" w:rsidRPr="003938FE" w:rsidRDefault="003938FE" w:rsidP="003938FE">
      <w:pPr>
        <w:autoSpaceDE w:val="0"/>
        <w:autoSpaceDN w:val="0"/>
        <w:adjustRightInd w:val="0"/>
        <w:spacing w:after="0" w:line="240" w:lineRule="auto"/>
        <w:ind w:left="2550" w:hanging="2550"/>
        <w:rPr>
          <w:rFonts w:ascii="Arial" w:eastAsia="Aptos" w:hAnsi="Arial" w:cs="Arial"/>
          <w:b/>
          <w:bCs/>
          <w:spacing w:val="-10"/>
          <w:sz w:val="24"/>
          <w:szCs w:val="24"/>
          <w:lang w:bidi="hi-IN"/>
          <w14:ligatures w14:val="standardContextual"/>
        </w:rPr>
      </w:pPr>
      <w:r w:rsidRPr="003938FE">
        <w:rPr>
          <w:rFonts w:ascii="Arial" w:eastAsia="Aptos" w:hAnsi="Arial" w:cs="Arial"/>
          <w:b/>
          <w:bCs/>
          <w:spacing w:val="-10"/>
          <w:sz w:val="24"/>
          <w:szCs w:val="24"/>
          <w:lang w:bidi="hi-IN"/>
          <w14:ligatures w14:val="standardContextual"/>
        </w:rPr>
        <w:t xml:space="preserve">Figure </w:t>
      </w:r>
      <w:r w:rsidR="002504F4">
        <w:rPr>
          <w:rFonts w:ascii="Arial" w:eastAsia="Aptos" w:hAnsi="Arial" w:cs="Arial"/>
          <w:b/>
          <w:bCs/>
          <w:spacing w:val="-10"/>
          <w:sz w:val="24"/>
          <w:szCs w:val="24"/>
          <w:lang w:bidi="hi-IN"/>
          <w14:ligatures w14:val="standardContextual"/>
        </w:rPr>
        <w:t>S</w:t>
      </w:r>
      <w:r w:rsidRPr="003938FE">
        <w:rPr>
          <w:rFonts w:ascii="Arial" w:eastAsia="Aptos" w:hAnsi="Arial" w:cs="Arial"/>
          <w:b/>
          <w:bCs/>
          <w:spacing w:val="-10"/>
          <w:sz w:val="24"/>
          <w:szCs w:val="24"/>
          <w:lang w:bidi="hi-IN"/>
          <w14:ligatures w14:val="standardContextual"/>
        </w:rPr>
        <w:t>2</w:t>
      </w:r>
      <w:r>
        <w:rPr>
          <w:rFonts w:ascii="Arial" w:eastAsia="Aptos" w:hAnsi="Arial" w:cs="Arial"/>
          <w:b/>
          <w:bCs/>
          <w:spacing w:val="-10"/>
          <w:sz w:val="24"/>
          <w:szCs w:val="24"/>
          <w:lang w:bidi="hi-IN"/>
          <w14:ligatures w14:val="standardContextual"/>
        </w:rPr>
        <w:t xml:space="preserve">. </w:t>
      </w:r>
      <w:r w:rsidRPr="003938FE">
        <w:rPr>
          <w:rFonts w:ascii="Arial" w:eastAsia="Aptos" w:hAnsi="Arial" w:cs="Arial"/>
          <w:b/>
          <w:bCs/>
          <w:spacing w:val="-10"/>
          <w:sz w:val="24"/>
          <w:szCs w:val="24"/>
          <w:lang w:bidi="hi-IN"/>
          <w14:ligatures w14:val="standardContextual"/>
        </w:rPr>
        <w:t xml:space="preserve"> Effect of Avastin in improving the central foveal thickness from baseline to </w:t>
      </w:r>
      <w:r>
        <w:rPr>
          <w:rFonts w:ascii="Arial" w:eastAsia="Aptos" w:hAnsi="Arial" w:cs="Arial"/>
          <w:b/>
          <w:bCs/>
          <w:spacing w:val="-10"/>
          <w:sz w:val="24"/>
          <w:szCs w:val="24"/>
          <w:lang w:bidi="hi-IN"/>
          <w14:ligatures w14:val="standardContextual"/>
        </w:rPr>
        <w:t xml:space="preserve">3 and </w:t>
      </w:r>
      <w:r w:rsidRPr="003938FE">
        <w:rPr>
          <w:rFonts w:ascii="Arial" w:eastAsia="Aptos" w:hAnsi="Arial" w:cs="Arial"/>
          <w:b/>
          <w:bCs/>
          <w:spacing w:val="-10"/>
          <w:sz w:val="24"/>
          <w:szCs w:val="24"/>
          <w:lang w:bidi="hi-IN"/>
          <w14:ligatures w14:val="standardContextual"/>
        </w:rPr>
        <w:t xml:space="preserve">6 months </w:t>
      </w:r>
    </w:p>
    <w:p w14:paraId="485434A4" w14:textId="77777777" w:rsidR="003938FE" w:rsidRPr="003938FE" w:rsidRDefault="003938FE" w:rsidP="003938FE">
      <w:pPr>
        <w:autoSpaceDE w:val="0"/>
        <w:autoSpaceDN w:val="0"/>
        <w:adjustRightInd w:val="0"/>
        <w:spacing w:after="0" w:line="240" w:lineRule="auto"/>
        <w:ind w:left="2550" w:hanging="2550"/>
        <w:rPr>
          <w:rFonts w:ascii="Arial" w:eastAsia="Aptos" w:hAnsi="Arial" w:cs="Arial"/>
          <w:spacing w:val="-10"/>
          <w:lang w:bidi="hi-IN"/>
          <w14:ligatures w14:val="standardContextual"/>
        </w:rPr>
      </w:pPr>
      <w:r w:rsidRPr="003938FE">
        <w:rPr>
          <w:rFonts w:ascii="Arial" w:eastAsia="Aptos" w:hAnsi="Arial" w:cs="Arial"/>
          <w:spacing w:val="-10"/>
          <w:lang w:bidi="hi-IN"/>
          <w14:ligatures w14:val="standardContextual"/>
        </w:rPr>
        <w:t>CFT = central foveal thickness; BL = baseline measurement</w:t>
      </w:r>
    </w:p>
    <w:p w14:paraId="2CFCBB30" w14:textId="77777777" w:rsidR="00FD0EA8" w:rsidRDefault="00FD0EA8" w:rsidP="003938FE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557A0A41" w14:textId="479B033A" w:rsidR="00FD0EA8" w:rsidRDefault="003938FE" w:rsidP="00F30E29">
      <w:pPr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Supplementary material </w:t>
      </w:r>
      <w:r w:rsidR="004B2C9B">
        <w:rPr>
          <w:rFonts w:ascii="Arial" w:eastAsia="Calibri" w:hAnsi="Arial" w:cs="Arial"/>
          <w:b/>
          <w:bCs/>
          <w:sz w:val="24"/>
          <w:szCs w:val="24"/>
        </w:rPr>
        <w:t>3</w:t>
      </w:r>
    </w:p>
    <w:p w14:paraId="784A304F" w14:textId="77777777" w:rsidR="00FD0EA8" w:rsidRDefault="00FD0EA8" w:rsidP="0002210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347BF882" w14:textId="0BE667B0" w:rsidR="00022104" w:rsidRPr="002103D9" w:rsidRDefault="00FD0EA8" w:rsidP="00FD0EA8">
      <w:pPr>
        <w:rPr>
          <w:rFonts w:ascii="Arial" w:eastAsia="Calibri" w:hAnsi="Arial" w:cs="Arial"/>
          <w:b/>
          <w:bCs/>
          <w:sz w:val="24"/>
          <w:szCs w:val="24"/>
        </w:rPr>
      </w:pPr>
      <w:r w:rsidRPr="00FD0EA8">
        <w:rPr>
          <w:rFonts w:ascii="Times New Roman" w:eastAsia="Aptos" w:hAnsi="Times New Roman" w:cs="Arial"/>
          <w:noProof/>
          <w:kern w:val="2"/>
          <w:sz w:val="24"/>
          <w:szCs w:val="24"/>
          <w:lang w:bidi="hi-IN"/>
          <w14:ligatures w14:val="standardContextual"/>
        </w:rPr>
        <mc:AlternateContent>
          <mc:Choice Requires="cx1">
            <w:drawing>
              <wp:inline distT="0" distB="0" distL="0" distR="0" wp14:anchorId="21249066" wp14:editId="12C45B25">
                <wp:extent cx="4714875" cy="2743200"/>
                <wp:effectExtent l="0" t="0" r="9525" b="0"/>
                <wp:docPr id="2141246078" name="Chart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317850-866A-919E-0806-B85D8F041DA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0"/>
                  </a:graphicData>
                </a:graphic>
              </wp:inline>
            </w:drawing>
          </mc:Choice>
          <mc:Fallback>
            <w:drawing>
              <wp:inline distT="0" distB="0" distL="0" distR="0" wp14:anchorId="21249066" wp14:editId="12C45B25">
                <wp:extent cx="4714875" cy="2743200"/>
                <wp:effectExtent l="0" t="0" r="9525" b="0"/>
                <wp:docPr id="2141246078" name="Chart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317850-866A-919E-0806-B85D8F041DA9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1246078" name="Chart 1">
                          <a:extLst>
                            <a:ext uri="{FF2B5EF4-FFF2-40B4-BE49-F238E27FC236}">
                              <a16:creationId xmlns:a16="http://schemas.microsoft.com/office/drawing/2014/main" id="{85317850-866A-919E-0806-B85D8F041DA9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14875" cy="274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7A6BE507" w14:textId="7F93750F" w:rsidR="00FD0EA8" w:rsidRPr="00FD0EA8" w:rsidRDefault="00FD0EA8" w:rsidP="00FD0EA8">
      <w:pPr>
        <w:spacing w:after="160" w:line="278" w:lineRule="auto"/>
        <w:rPr>
          <w:rFonts w:ascii="Arial" w:eastAsia="Aptos" w:hAnsi="Arial" w:cs="Arial"/>
          <w:b/>
          <w:bCs/>
          <w:spacing w:val="-10"/>
          <w:sz w:val="24"/>
          <w:szCs w:val="24"/>
          <w:lang w:bidi="hi-IN"/>
          <w14:ligatures w14:val="standardContextual"/>
        </w:rPr>
      </w:pPr>
      <w:r w:rsidRPr="00FD0EA8">
        <w:rPr>
          <w:rFonts w:ascii="Arial" w:eastAsia="Aptos" w:hAnsi="Arial" w:cs="Arial"/>
          <w:b/>
          <w:bCs/>
          <w:spacing w:val="-10"/>
          <w:sz w:val="24"/>
          <w:szCs w:val="24"/>
          <w:lang w:bidi="hi-IN"/>
          <w14:ligatures w14:val="standardContextual"/>
        </w:rPr>
        <w:t xml:space="preserve">Figure </w:t>
      </w:r>
      <w:r w:rsidR="002504F4">
        <w:rPr>
          <w:rFonts w:ascii="Arial" w:eastAsia="Aptos" w:hAnsi="Arial" w:cs="Arial"/>
          <w:b/>
          <w:bCs/>
          <w:spacing w:val="-10"/>
          <w:sz w:val="24"/>
          <w:szCs w:val="24"/>
          <w:lang w:bidi="hi-IN"/>
          <w14:ligatures w14:val="standardContextual"/>
        </w:rPr>
        <w:t>S</w:t>
      </w:r>
      <w:r w:rsidRPr="00FD0EA8">
        <w:rPr>
          <w:rFonts w:ascii="Arial" w:eastAsia="Aptos" w:hAnsi="Arial" w:cs="Arial"/>
          <w:b/>
          <w:bCs/>
          <w:spacing w:val="-10"/>
          <w:sz w:val="24"/>
          <w:szCs w:val="24"/>
          <w:lang w:bidi="hi-IN"/>
          <w14:ligatures w14:val="standardContextual"/>
        </w:rPr>
        <w:t>3. Effect of Avastin in reducing the superior parafoveal thickness from baseline to</w:t>
      </w:r>
      <w:r w:rsidR="003938FE">
        <w:rPr>
          <w:rFonts w:ascii="Arial" w:eastAsia="Aptos" w:hAnsi="Arial" w:cs="Arial"/>
          <w:b/>
          <w:bCs/>
          <w:spacing w:val="-10"/>
          <w:sz w:val="24"/>
          <w:szCs w:val="24"/>
          <w:lang w:bidi="hi-IN"/>
          <w14:ligatures w14:val="standardContextual"/>
        </w:rPr>
        <w:t xml:space="preserve"> 3 and</w:t>
      </w:r>
      <w:r w:rsidRPr="00FD0EA8">
        <w:rPr>
          <w:rFonts w:ascii="Arial" w:eastAsia="Aptos" w:hAnsi="Arial" w:cs="Arial"/>
          <w:b/>
          <w:bCs/>
          <w:spacing w:val="-10"/>
          <w:sz w:val="24"/>
          <w:szCs w:val="24"/>
          <w:lang w:bidi="hi-IN"/>
          <w14:ligatures w14:val="standardContextual"/>
        </w:rPr>
        <w:t xml:space="preserve"> 6 months </w:t>
      </w:r>
    </w:p>
    <w:p w14:paraId="183E45FD" w14:textId="77777777" w:rsidR="00FD0EA8" w:rsidRPr="00FD0EA8" w:rsidRDefault="00FD0EA8" w:rsidP="00FD0EA8">
      <w:pPr>
        <w:autoSpaceDE w:val="0"/>
        <w:autoSpaceDN w:val="0"/>
        <w:adjustRightInd w:val="0"/>
        <w:spacing w:after="0" w:line="240" w:lineRule="auto"/>
        <w:ind w:left="2550" w:hanging="2550"/>
        <w:rPr>
          <w:rFonts w:ascii="Arial" w:eastAsia="Aptos" w:hAnsi="Arial" w:cs="Arial"/>
          <w:spacing w:val="-10"/>
          <w:lang w:bidi="hi-IN"/>
          <w14:ligatures w14:val="standardContextual"/>
        </w:rPr>
      </w:pPr>
      <w:r w:rsidRPr="00FD0EA8">
        <w:rPr>
          <w:rFonts w:ascii="Arial" w:eastAsia="Aptos" w:hAnsi="Arial" w:cs="Arial"/>
          <w:spacing w:val="-10"/>
          <w:lang w:bidi="hi-IN"/>
          <w14:ligatures w14:val="standardContextual"/>
        </w:rPr>
        <w:t>PFT = parafoveal thickness; BL = baseline measurement</w:t>
      </w:r>
    </w:p>
    <w:p w14:paraId="12F972C3" w14:textId="16479879" w:rsidR="00022104" w:rsidRDefault="00022104" w:rsidP="00FD0EA8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06B46D06" w14:textId="00655232" w:rsidR="00022104" w:rsidRDefault="00022104" w:rsidP="0002210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52C72BE9" w14:textId="77777777" w:rsidR="00022104" w:rsidRDefault="00022104" w:rsidP="0002210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3DEC7458" w14:textId="77777777" w:rsidR="00022104" w:rsidRDefault="00022104" w:rsidP="0002210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3338209F" w14:textId="77777777" w:rsidR="00022104" w:rsidRDefault="00022104" w:rsidP="0002210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0B4846A3" w14:textId="77777777" w:rsidR="00022104" w:rsidRDefault="00022104" w:rsidP="0002210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6ECA8AA4" w14:textId="77777777" w:rsidR="00022104" w:rsidRDefault="00022104" w:rsidP="0002210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6B35B4F4" w14:textId="77777777" w:rsidR="00022104" w:rsidRDefault="00022104" w:rsidP="0002210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066BECC1" w14:textId="77777777" w:rsidR="00022104" w:rsidRDefault="00022104" w:rsidP="0002210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7566622E" w14:textId="77777777" w:rsidR="00022104" w:rsidRDefault="00022104" w:rsidP="0002210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73D17625" w14:textId="77777777" w:rsidR="00022104" w:rsidRDefault="00022104" w:rsidP="0002210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45AE57F6" w14:textId="77777777" w:rsidR="00022104" w:rsidRDefault="00022104" w:rsidP="0002210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4C714F35" w14:textId="77777777" w:rsidR="00022104" w:rsidRDefault="00022104" w:rsidP="0002210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sectPr w:rsidR="00022104" w:rsidSect="00A4557B">
      <w:footerReference w:type="even" r:id="rId12"/>
      <w:footerReference w:type="defaul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55A35" w14:textId="77777777" w:rsidR="00885880" w:rsidRDefault="00885880" w:rsidP="002504F4">
      <w:pPr>
        <w:spacing w:after="0" w:line="240" w:lineRule="auto"/>
      </w:pPr>
      <w:r>
        <w:separator/>
      </w:r>
    </w:p>
  </w:endnote>
  <w:endnote w:type="continuationSeparator" w:id="0">
    <w:p w14:paraId="64BA34B3" w14:textId="77777777" w:rsidR="00885880" w:rsidRDefault="00885880" w:rsidP="0025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default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5D7D5" w14:textId="40FA8761" w:rsidR="002504F4" w:rsidRDefault="002504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28592C" wp14:editId="00E5D63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97001195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47996A" w14:textId="3ED58114" w:rsidR="002504F4" w:rsidRPr="002504F4" w:rsidRDefault="002504F4" w:rsidP="002504F4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504F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8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3e8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D47996A" w14:textId="3ED58114" w:rsidR="002504F4" w:rsidRPr="002504F4" w:rsidRDefault="002504F4" w:rsidP="002504F4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504F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F57D4" w14:textId="238FA9FC" w:rsidR="002504F4" w:rsidRDefault="002504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78FE60" wp14:editId="0131BF17">
              <wp:simplePos x="9144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83774326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F4C9F" w14:textId="767B4939" w:rsidR="002504F4" w:rsidRPr="002504F4" w:rsidRDefault="002504F4" w:rsidP="002504F4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504F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8FE6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Nc/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A8F4C9F" w14:textId="767B4939" w:rsidR="002504F4" w:rsidRPr="002504F4" w:rsidRDefault="002504F4" w:rsidP="002504F4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504F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14556" w14:textId="605B1D40" w:rsidR="002504F4" w:rsidRDefault="002504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7E0029" wp14:editId="6C99DCC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89839269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F767A" w14:textId="0810E15E" w:rsidR="002504F4" w:rsidRPr="002504F4" w:rsidRDefault="002504F4" w:rsidP="002504F4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504F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7E00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R9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2E1F767A" w14:textId="0810E15E" w:rsidR="002504F4" w:rsidRPr="002504F4" w:rsidRDefault="002504F4" w:rsidP="002504F4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504F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F015E" w14:textId="77777777" w:rsidR="00885880" w:rsidRDefault="00885880" w:rsidP="002504F4">
      <w:pPr>
        <w:spacing w:after="0" w:line="240" w:lineRule="auto"/>
      </w:pPr>
      <w:r>
        <w:separator/>
      </w:r>
    </w:p>
  </w:footnote>
  <w:footnote w:type="continuationSeparator" w:id="0">
    <w:p w14:paraId="728E1FA7" w14:textId="77777777" w:rsidR="00885880" w:rsidRDefault="00885880" w:rsidP="002504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98"/>
    <w:rsid w:val="00022104"/>
    <w:rsid w:val="000C25C3"/>
    <w:rsid w:val="001061B9"/>
    <w:rsid w:val="00124CD0"/>
    <w:rsid w:val="00134668"/>
    <w:rsid w:val="00135491"/>
    <w:rsid w:val="00173FE7"/>
    <w:rsid w:val="0019312F"/>
    <w:rsid w:val="00194A02"/>
    <w:rsid w:val="001A289B"/>
    <w:rsid w:val="001A53E9"/>
    <w:rsid w:val="002022C4"/>
    <w:rsid w:val="002103D9"/>
    <w:rsid w:val="002504F4"/>
    <w:rsid w:val="00270463"/>
    <w:rsid w:val="002928C5"/>
    <w:rsid w:val="00306415"/>
    <w:rsid w:val="003938FE"/>
    <w:rsid w:val="003A3EBC"/>
    <w:rsid w:val="003A4C9F"/>
    <w:rsid w:val="003B3B2C"/>
    <w:rsid w:val="003E6A3A"/>
    <w:rsid w:val="003E7A67"/>
    <w:rsid w:val="00490C03"/>
    <w:rsid w:val="00496EF1"/>
    <w:rsid w:val="004B2C9B"/>
    <w:rsid w:val="004C5F20"/>
    <w:rsid w:val="005068A6"/>
    <w:rsid w:val="00507DAE"/>
    <w:rsid w:val="00597A45"/>
    <w:rsid w:val="005B16A1"/>
    <w:rsid w:val="005E1FEB"/>
    <w:rsid w:val="005E2BC4"/>
    <w:rsid w:val="00651E7A"/>
    <w:rsid w:val="006627AF"/>
    <w:rsid w:val="00662F91"/>
    <w:rsid w:val="0073469C"/>
    <w:rsid w:val="00756CEA"/>
    <w:rsid w:val="0077763F"/>
    <w:rsid w:val="007A542C"/>
    <w:rsid w:val="007C008A"/>
    <w:rsid w:val="007C6C1D"/>
    <w:rsid w:val="007D301D"/>
    <w:rsid w:val="0081526E"/>
    <w:rsid w:val="00851145"/>
    <w:rsid w:val="00885880"/>
    <w:rsid w:val="008A1DE2"/>
    <w:rsid w:val="008D3B7D"/>
    <w:rsid w:val="008E31C0"/>
    <w:rsid w:val="008E4FCB"/>
    <w:rsid w:val="00936B3F"/>
    <w:rsid w:val="009F7611"/>
    <w:rsid w:val="00A4557B"/>
    <w:rsid w:val="00A65EDF"/>
    <w:rsid w:val="00A9426B"/>
    <w:rsid w:val="00AC313F"/>
    <w:rsid w:val="00B44051"/>
    <w:rsid w:val="00BE7098"/>
    <w:rsid w:val="00BF5760"/>
    <w:rsid w:val="00BF6B2C"/>
    <w:rsid w:val="00C01226"/>
    <w:rsid w:val="00C32A4C"/>
    <w:rsid w:val="00C33BBE"/>
    <w:rsid w:val="00D24893"/>
    <w:rsid w:val="00D267F6"/>
    <w:rsid w:val="00D41C50"/>
    <w:rsid w:val="00D828E4"/>
    <w:rsid w:val="00D86A70"/>
    <w:rsid w:val="00D87928"/>
    <w:rsid w:val="00DC528D"/>
    <w:rsid w:val="00DD22E1"/>
    <w:rsid w:val="00DE0093"/>
    <w:rsid w:val="00E335A7"/>
    <w:rsid w:val="00E36289"/>
    <w:rsid w:val="00E54E34"/>
    <w:rsid w:val="00E81732"/>
    <w:rsid w:val="00E87D6F"/>
    <w:rsid w:val="00EC1905"/>
    <w:rsid w:val="00EC6705"/>
    <w:rsid w:val="00EE446C"/>
    <w:rsid w:val="00F30E29"/>
    <w:rsid w:val="00F341AE"/>
    <w:rsid w:val="00FD0EA8"/>
    <w:rsid w:val="00FD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4C623"/>
  <w15:docId w15:val="{E3DA3034-486A-4F31-8675-4E75CA1D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07DA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07DA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table" w:styleId="TableGrid">
    <w:name w:val="Table Grid"/>
    <w:basedOn w:val="TableNormal"/>
    <w:uiPriority w:val="59"/>
    <w:rsid w:val="00A45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E0093"/>
    <w:pPr>
      <w:spacing w:after="0" w:line="240" w:lineRule="auto"/>
    </w:pPr>
    <w:rPr>
      <w:rFonts w:ascii="Arial" w:eastAsia="Aptos" w:hAnsi="Arial" w:cs="Arial"/>
      <w:kern w:val="2"/>
      <w:sz w:val="24"/>
      <w:szCs w:val="24"/>
      <w:lang w:bidi="hi-I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50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microsoft.com/office/2014/relationships/chartEx" Target="charts/chartEx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4/relationships/chartEx" Target="charts/chartEx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moteb\OneDrive\Desktop\Documents\DISSERTATION%202021\CHAPTER%204%20RESULTS\Copy%20of%20EXCEL%20AFTER%20THABILE%20DECODED%20DATA%20CAPTURING%20AUG%2027%202023.xlsx" TargetMode="External"/><Relationship Id="rId4" Type="http://schemas.openxmlformats.org/officeDocument/2006/relationships/themeOverride" Target="../theme/themeOverride1.xml"/></Relationships>
</file>

<file path=word/charts/_rels/chartEx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moteb\OneDrive\Desktop\Documents\DISSERTATION%202021\CHAPTER%204%20RESULTS\Copy%20of%20EXCEL%20AFTER%20THABILE%20DECODED%20DATA%20CAPTURING%20AUG%2027%202023.xlsx" TargetMode="External"/><Relationship Id="rId4" Type="http://schemas.openxmlformats.org/officeDocument/2006/relationships/themeOverride" Target="../theme/themeOverride2.xml"/></Relationships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numDim type="val">
        <cx:f>'BLVA, 3, 6 DISTRIBUTION'!$A$17:$A$71</cx:f>
        <cx:lvl ptCount="55" formatCode="General">
          <cx:pt idx="0">0.80000000000000004</cx:pt>
          <cx:pt idx="1">2</cx:pt>
          <cx:pt idx="2">2</cx:pt>
          <cx:pt idx="3">0.40000000000000002</cx:pt>
          <cx:pt idx="4">0.59999999999999998</cx:pt>
          <cx:pt idx="5">0.80000000000000004</cx:pt>
          <cx:pt idx="6">0.29999999999999999</cx:pt>
          <cx:pt idx="7">0.5</cx:pt>
          <cx:pt idx="8">0.5</cx:pt>
          <cx:pt idx="9">2</cx:pt>
          <cx:pt idx="10">0.40000000000000002</cx:pt>
          <cx:pt idx="11">2</cx:pt>
          <cx:pt idx="12">0.80000000000000004</cx:pt>
          <cx:pt idx="13">2</cx:pt>
          <cx:pt idx="14">0.5</cx:pt>
          <cx:pt idx="15">0.59999999999999998</cx:pt>
          <cx:pt idx="16">0.69999999999999996</cx:pt>
          <cx:pt idx="17">0.5</cx:pt>
          <cx:pt idx="18">0.20000000000000001</cx:pt>
          <cx:pt idx="19">0.59999999999999998</cx:pt>
          <cx:pt idx="20">0.29999999999999999</cx:pt>
          <cx:pt idx="21">0.40000000000000002</cx:pt>
          <cx:pt idx="22">0.5</cx:pt>
          <cx:pt idx="23">2</cx:pt>
          <cx:pt idx="24">0.40000000000000002</cx:pt>
          <cx:pt idx="25">0.29999999999999999</cx:pt>
          <cx:pt idx="26">2</cx:pt>
          <cx:pt idx="27">2</cx:pt>
          <cx:pt idx="28">0.40000000000000002</cx:pt>
          <cx:pt idx="29">0.5</cx:pt>
          <cx:pt idx="30">2</cx:pt>
          <cx:pt idx="31">0.59999999999999998</cx:pt>
          <cx:pt idx="32">0.29999999999999999</cx:pt>
          <cx:pt idx="33">2</cx:pt>
          <cx:pt idx="34">0.40000000000000002</cx:pt>
          <cx:pt idx="35">0.5</cx:pt>
          <cx:pt idx="36">0.5</cx:pt>
          <cx:pt idx="37">0.5</cx:pt>
          <cx:pt idx="38">0.5</cx:pt>
          <cx:pt idx="39">0.90000000000000002</cx:pt>
          <cx:pt idx="40">2</cx:pt>
          <cx:pt idx="41">0.80000000000000004</cx:pt>
          <cx:pt idx="42">2</cx:pt>
          <cx:pt idx="43">0.59999999999999998</cx:pt>
          <cx:pt idx="44">0.5</cx:pt>
          <cx:pt idx="45">2</cx:pt>
          <cx:pt idx="46">2</cx:pt>
          <cx:pt idx="47">2</cx:pt>
          <cx:pt idx="48">0.5</cx:pt>
          <cx:pt idx="49">0.5</cx:pt>
          <cx:pt idx="50">2</cx:pt>
          <cx:pt idx="51">0.5</cx:pt>
          <cx:pt idx="52">2</cx:pt>
          <cx:pt idx="53">2</cx:pt>
          <cx:pt idx="54">0.80000000000000004</cx:pt>
        </cx:lvl>
      </cx:numDim>
    </cx:data>
    <cx:data id="1">
      <cx:numDim type="val">
        <cx:f>'BLVA, 3, 6 DISTRIBUTION'!$B$17:$B$71</cx:f>
        <cx:lvl ptCount="55" formatCode="General">
          <cx:pt idx="0">0.80000000000000004</cx:pt>
          <cx:pt idx="1">0.69999999999999996</cx:pt>
          <cx:pt idx="2">2</cx:pt>
          <cx:pt idx="3">0.59999999999999998</cx:pt>
          <cx:pt idx="4">0.40000000000000002</cx:pt>
          <cx:pt idx="5">0.5</cx:pt>
          <cx:pt idx="6">0.29999999999999999</cx:pt>
          <cx:pt idx="7">0.29999999999999999</cx:pt>
          <cx:pt idx="8">0.40000000000000002</cx:pt>
          <cx:pt idx="9">0.5</cx:pt>
          <cx:pt idx="10">0.29999999999999999</cx:pt>
          <cx:pt idx="11">0.29999999999999999</cx:pt>
          <cx:pt idx="12">0.59999999999999998</cx:pt>
          <cx:pt idx="13">0.59999999999999998</cx:pt>
          <cx:pt idx="14">0.29999999999999999</cx:pt>
          <cx:pt idx="15">0.5</cx:pt>
          <cx:pt idx="16">2</cx:pt>
          <cx:pt idx="17">0.29999999999999999</cx:pt>
          <cx:pt idx="18">0.29999999999999999</cx:pt>
          <cx:pt idx="19">0.40000000000000002</cx:pt>
          <cx:pt idx="20">0.29999999999999999</cx:pt>
          <cx:pt idx="21">0.29999999999999999</cx:pt>
          <cx:pt idx="22">0.29999999999999999</cx:pt>
          <cx:pt idx="23">0.29999999999999999</cx:pt>
          <cx:pt idx="24">0.29999999999999999</cx:pt>
          <cx:pt idx="25">0.20000000000000001</cx:pt>
          <cx:pt idx="26">0.59999999999999998</cx:pt>
          <cx:pt idx="27">0.40000000000000002</cx:pt>
          <cx:pt idx="28">0.29999999999999999</cx:pt>
          <cx:pt idx="29">0.40000000000000002</cx:pt>
          <cx:pt idx="30">0.59999999999999998</cx:pt>
          <cx:pt idx="31">0.59999999999999998</cx:pt>
          <cx:pt idx="32">0.29999999999999999</cx:pt>
          <cx:pt idx="33">0.5</cx:pt>
          <cx:pt idx="34">2</cx:pt>
          <cx:pt idx="35">0.29999999999999999</cx:pt>
          <cx:pt idx="36">0.5</cx:pt>
          <cx:pt idx="37">2</cx:pt>
          <cx:pt idx="38">0.29999999999999999</cx:pt>
          <cx:pt idx="39">0.80000000000000004</cx:pt>
          <cx:pt idx="40">0.90000000000000002</cx:pt>
          <cx:pt idx="41">0.69999999999999996</cx:pt>
          <cx:pt idx="42">2</cx:pt>
          <cx:pt idx="43">2</cx:pt>
          <cx:pt idx="44">0.29999999999999999</cx:pt>
          <cx:pt idx="45">0.5</cx:pt>
          <cx:pt idx="46">1</cx:pt>
          <cx:pt idx="47">0.90000000000000002</cx:pt>
          <cx:pt idx="48">0.5</cx:pt>
          <cx:pt idx="49">0.5</cx:pt>
          <cx:pt idx="50">0.90000000000000002</cx:pt>
          <cx:pt idx="51">0.5</cx:pt>
          <cx:pt idx="52">0.90000000000000002</cx:pt>
          <cx:pt idx="53">0.69999999999999996</cx:pt>
          <cx:pt idx="54">0.69999999999999996</cx:pt>
        </cx:lvl>
      </cx:numDim>
    </cx:data>
    <cx:data id="2">
      <cx:numDim type="val">
        <cx:f>'BLVA, 3, 6 DISTRIBUTION'!$C$17:$C$71</cx:f>
        <cx:lvl ptCount="55" formatCode="General">
          <cx:pt idx="0">0.5</cx:pt>
          <cx:pt idx="1">0.5</cx:pt>
          <cx:pt idx="2">0.5</cx:pt>
          <cx:pt idx="3">0.40000000000000002</cx:pt>
          <cx:pt idx="4">0.5</cx:pt>
          <cx:pt idx="5">0.40000000000000002</cx:pt>
          <cx:pt idx="6">0.40000000000000002</cx:pt>
          <cx:pt idx="7">0.40000000000000002</cx:pt>
          <cx:pt idx="8">0.29999999999999999</cx:pt>
          <cx:pt idx="9">0.40000000000000002</cx:pt>
          <cx:pt idx="10">0.29999999999999999</cx:pt>
          <cx:pt idx="11">0.40000000000000002</cx:pt>
          <cx:pt idx="12">0.59999999999999998</cx:pt>
          <cx:pt idx="13">0.59999999999999998</cx:pt>
          <cx:pt idx="14">0.29999999999999999</cx:pt>
          <cx:pt idx="15">0.29999999999999999</cx:pt>
          <cx:pt idx="16">0.5</cx:pt>
          <cx:pt idx="17">0.29999999999999999</cx:pt>
          <cx:pt idx="18">0.29999999999999999</cx:pt>
          <cx:pt idx="19">0.40000000000000002</cx:pt>
          <cx:pt idx="20">0.29999999999999999</cx:pt>
          <cx:pt idx="21">0.5</cx:pt>
          <cx:pt idx="22">0.40000000000000002</cx:pt>
          <cx:pt idx="23">0.29999999999999999</cx:pt>
          <cx:pt idx="24">0.29999999999999999</cx:pt>
          <cx:pt idx="25">0.29999999999999999</cx:pt>
          <cx:pt idx="26">0.20000000000000001</cx:pt>
          <cx:pt idx="27">0.29999999999999999</cx:pt>
          <cx:pt idx="28">0.29999999999999999</cx:pt>
          <cx:pt idx="29">0.20000000000000001</cx:pt>
          <cx:pt idx="30">0.20000000000000001</cx:pt>
          <cx:pt idx="31">0.59999999999999998</cx:pt>
          <cx:pt idx="32">0.29999999999999999</cx:pt>
          <cx:pt idx="33">0.40000000000000002</cx:pt>
          <cx:pt idx="34">2</cx:pt>
          <cx:pt idx="35">0.5</cx:pt>
          <cx:pt idx="36">0.59999999999999998</cx:pt>
          <cx:pt idx="37">2</cx:pt>
          <cx:pt idx="38">0.5</cx:pt>
          <cx:pt idx="39">0.69999999999999996</cx:pt>
          <cx:pt idx="40">0.90000000000000002</cx:pt>
          <cx:pt idx="41">0.69999999999999996</cx:pt>
          <cx:pt idx="42">0.90000000000000002</cx:pt>
          <cx:pt idx="43">0.90000000000000002</cx:pt>
          <cx:pt idx="44">0.20000000000000001</cx:pt>
          <cx:pt idx="45">0.29999999999999999</cx:pt>
          <cx:pt idx="46">0.5</cx:pt>
          <cx:pt idx="47">0.59999999999999998</cx:pt>
          <cx:pt idx="48">2</cx:pt>
          <cx:pt idx="49">0.29999999999999999</cx:pt>
          <cx:pt idx="50">0.5</cx:pt>
          <cx:pt idx="51">0.5</cx:pt>
          <cx:pt idx="52">0.29999999999999999</cx:pt>
          <cx:pt idx="53">2</cx:pt>
          <cx:pt idx="54">2</cx:pt>
        </cx:lvl>
      </cx:numDim>
    </cx:data>
  </cx:chartData>
  <cx:chart>
    <cx:plotArea>
      <cx:plotAreaRegion>
        <cx:series layoutId="boxWhisker" uniqueId="{75BF4098-18AF-4120-B631-F74E716BC194}">
          <cx:tx>
            <cx:txData>
              <cx:f>'BLVA, 3, 6 DISTRIBUTION'!$A$16</cx:f>
              <cx:v>BLPH VA</cx:v>
            </cx:txData>
          </cx:tx>
          <cx:dataId val="0"/>
          <cx:layoutPr>
            <cx:visibility meanLine="0" meanMarker="1" nonoutliers="0" outliers="1"/>
            <cx:statistics quartileMethod="exclusive"/>
          </cx:layoutPr>
        </cx:series>
        <cx:series layoutId="boxWhisker" uniqueId="{11D62B55-6641-469B-A94B-A0C9E60B1FC4}">
          <cx:tx>
            <cx:txData>
              <cx:f>'BLVA, 3, 6 DISTRIBUTION'!$B$16</cx:f>
              <cx:v>3 MONTH VA</cx:v>
            </cx:txData>
          </cx:tx>
          <cx:dataId val="1"/>
          <cx:layoutPr>
            <cx:visibility meanLine="0" meanMarker="1" nonoutliers="0" outliers="1"/>
            <cx:statistics quartileMethod="exclusive"/>
          </cx:layoutPr>
        </cx:series>
        <cx:series layoutId="boxWhisker" uniqueId="{35602C52-E04E-4619-9A42-AA0AAC829DC6}">
          <cx:tx>
            <cx:txData>
              <cx:f>'BLVA, 3, 6 DISTRIBUTION'!$C$16</cx:f>
              <cx:v>6 MONTH VA</cx:v>
            </cx:txData>
          </cx:tx>
          <cx:dataId val="2"/>
          <cx:layoutPr>
            <cx:visibility meanLine="0" meanMarker="1" nonoutliers="0" outliers="1"/>
            <cx:statistics quartileMethod="exclusive"/>
          </cx:layoutPr>
        </cx:series>
      </cx:plotAreaRegion>
      <cx:axis id="0" hidden="1">
        <cx:catScaling gapWidth="1"/>
        <cx:title>
          <cx:tx>
            <cx:txData>
              <cx:v>PERIOD OF TREATEMENT</cx:v>
            </cx:txData>
          </cx:tx>
          <cx:txPr>
            <a:bodyPr spcFirstLastPara="1" vertOverflow="ellipsis" horzOverflow="overflow" wrap="square" lIns="0" tIns="0" rIns="0" bIns="0" anchor="ctr" anchorCtr="1"/>
            <a:lstStyle/>
            <a:p>
              <a:pPr algn="ctr" rtl="0">
                <a:defRPr sz="1200">
                  <a:solidFill>
                    <a:sysClr val="windowText" lastClr="000000"/>
                  </a:solidFill>
                  <a:latin typeface="Arial" panose="020B0604020202020204" pitchFamily="34" charset="0"/>
                  <a:ea typeface="Arial" panose="020B0604020202020204" pitchFamily="34" charset="0"/>
                  <a:cs typeface="Arial" panose="020B0604020202020204" pitchFamily="34" charset="0"/>
                </a:defRPr>
              </a:pPr>
              <a:r>
                <a:rPr lang="en-US" sz="1200" b="0" i="0" u="none" strike="noStrike" baseline="0">
                  <a:solidFill>
                    <a:sysClr val="windowText" lastClr="000000"/>
                  </a:solidFill>
                  <a:latin typeface="Arial" panose="020B0604020202020204" pitchFamily="34" charset="0"/>
                  <a:cs typeface="Arial" panose="020B0604020202020204" pitchFamily="34" charset="0"/>
                </a:rPr>
                <a:t>PERIOD OF TREATEMENT</a:t>
              </a:r>
            </a:p>
          </cx:txPr>
        </cx:title>
        <cx:tickLabels/>
        <cx:txPr>
          <a:bodyPr vertOverflow="overflow" horzOverflow="overflow" wrap="square" lIns="0" tIns="0" rIns="0" bIns="0"/>
          <a:lstStyle/>
          <a:p>
            <a:pPr algn="ctr" rtl="0">
              <a:defRPr sz="1200" b="0" i="0">
                <a:solidFill>
                  <a:sysClr val="windowText" lastClr="000000"/>
                </a:solidFill>
                <a:latin typeface="Arial" panose="020B0604020202020204" pitchFamily="34" charset="0"/>
                <a:ea typeface="Arial" panose="020B0604020202020204" pitchFamily="34" charset="0"/>
                <a:cs typeface="Arial" panose="020B0604020202020204" pitchFamily="34" charset="0"/>
              </a:defRPr>
            </a:pPr>
            <a:endParaRPr lang="en-ZA" sz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x:txPr>
      </cx:axis>
      <cx:axis id="1">
        <cx:valScaling/>
        <cx:title>
          <cx:tx>
            <cx:txData>
              <cx:v>VA (LogMAR UNITS)</cx:v>
            </cx:txData>
          </cx:tx>
          <cx:txPr>
            <a:bodyPr spcFirstLastPara="1" vertOverflow="ellipsis" horzOverflow="overflow" wrap="square" lIns="0" tIns="0" rIns="0" bIns="0" anchor="ctr" anchorCtr="1"/>
            <a:lstStyle/>
            <a:p>
              <a:pPr algn="ctr" rtl="0">
                <a:defRPr sz="1200">
                  <a:solidFill>
                    <a:sysClr val="windowText" lastClr="000000"/>
                  </a:solidFill>
                  <a:latin typeface="Arial" panose="020B0604020202020204" pitchFamily="34" charset="0"/>
                  <a:ea typeface="Arial" panose="020B0604020202020204" pitchFamily="34" charset="0"/>
                  <a:cs typeface="Arial" panose="020B0604020202020204" pitchFamily="34" charset="0"/>
                </a:defRPr>
              </a:pPr>
              <a:r>
                <a:rPr lang="en-US" sz="1200" b="0" i="0" u="none" strike="noStrike" baseline="0">
                  <a:solidFill>
                    <a:sysClr val="windowText" lastClr="000000"/>
                  </a:solidFill>
                  <a:latin typeface="Arial" panose="020B0604020202020204" pitchFamily="34" charset="0"/>
                  <a:cs typeface="Arial" panose="020B0604020202020204" pitchFamily="34" charset="0"/>
                </a:rPr>
                <a:t>VA (LogMAR UNITS)</a:t>
              </a:r>
            </a:p>
          </cx:txPr>
        </cx:title>
        <cx:majorGridlines/>
        <cx:tickLabels/>
        <cx:txPr>
          <a:bodyPr vertOverflow="overflow" horzOverflow="overflow" wrap="square" lIns="0" tIns="0" rIns="0" bIns="0"/>
          <a:lstStyle/>
          <a:p>
            <a:pPr algn="ctr" rtl="0">
              <a:defRPr sz="1200" b="0" i="0">
                <a:solidFill>
                  <a:sysClr val="windowText" lastClr="000000"/>
                </a:solidFill>
                <a:latin typeface="Arial" panose="020B0604020202020204" pitchFamily="34" charset="0"/>
                <a:ea typeface="Arial" panose="020B0604020202020204" pitchFamily="34" charset="0"/>
                <a:cs typeface="Arial" panose="020B0604020202020204" pitchFamily="34" charset="0"/>
              </a:defRPr>
            </a:pPr>
            <a:endParaRPr lang="en-ZA" sz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x:txPr>
      </cx:axis>
    </cx:plotArea>
    <cx:legend pos="t" align="ctr" overlay="0">
      <cx:txPr>
        <a:bodyPr spcFirstLastPara="1" vertOverflow="ellipsis" horzOverflow="overflow" wrap="square" lIns="0" tIns="0" rIns="0" bIns="0" anchor="ctr" anchorCtr="1"/>
        <a:lstStyle/>
        <a:p>
          <a:pPr algn="ctr" rtl="0">
            <a:defRPr sz="1200">
              <a:solidFill>
                <a:sysClr val="windowText" lastClr="000000"/>
              </a:solidFill>
            </a:defRPr>
          </a:pPr>
          <a:endParaRPr lang="en-US" sz="1200" b="0" i="0" u="none" strike="noStrike" baseline="0">
            <a:solidFill>
              <a:sysClr val="windowText" lastClr="000000"/>
            </a:solidFill>
            <a:latin typeface="Calibri" panose="020F0502020204030204"/>
          </a:endParaRPr>
        </a:p>
      </cx:txPr>
    </cx:legend>
  </cx:chart>
  <cx:clrMapOvr bg1="lt1" tx1="dk1" bg2="lt2" tx2="dk2" accent1="accent1" accent2="accent2" accent3="accent3" accent4="accent4" accent5="accent5" accent6="accent6" hlink="hlink" folHlink="folHlink"/>
</cx:chartSpace>
</file>

<file path=word/charts/chartEx2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numDim type="val">
        <cx:f>'SUPERIOR PFT'!$A$2:$A$56</cx:f>
        <cx:lvl ptCount="55" formatCode="General">
          <cx:pt idx="0">316</cx:pt>
          <cx:pt idx="1">354</cx:pt>
          <cx:pt idx="2">338</cx:pt>
          <cx:pt idx="3">360</cx:pt>
          <cx:pt idx="4">396</cx:pt>
          <cx:pt idx="5">315</cx:pt>
          <cx:pt idx="6">314</cx:pt>
          <cx:pt idx="7">239</cx:pt>
          <cx:pt idx="8">334</cx:pt>
          <cx:pt idx="9">441</cx:pt>
          <cx:pt idx="10">397</cx:pt>
          <cx:pt idx="11">478</cx:pt>
          <cx:pt idx="12">359</cx:pt>
          <cx:pt idx="13">603</cx:pt>
          <cx:pt idx="14">424</cx:pt>
          <cx:pt idx="15">406</cx:pt>
          <cx:pt idx="16">447</cx:pt>
          <cx:pt idx="17">383</cx:pt>
          <cx:pt idx="18">318</cx:pt>
          <cx:pt idx="19">376</cx:pt>
          <cx:pt idx="20">281</cx:pt>
          <cx:pt idx="21">241</cx:pt>
          <cx:pt idx="22">389</cx:pt>
          <cx:pt idx="23">365</cx:pt>
          <cx:pt idx="24">284</cx:pt>
          <cx:pt idx="25">285</cx:pt>
          <cx:pt idx="26">359</cx:pt>
          <cx:pt idx="27">450</cx:pt>
          <cx:pt idx="28">327</cx:pt>
          <cx:pt idx="29">461</cx:pt>
          <cx:pt idx="30">379</cx:pt>
          <cx:pt idx="31">356</cx:pt>
          <cx:pt idx="32">261</cx:pt>
          <cx:pt idx="33">338</cx:pt>
          <cx:pt idx="34">431</cx:pt>
          <cx:pt idx="35">344</cx:pt>
          <cx:pt idx="36">453</cx:pt>
          <cx:pt idx="37">335</cx:pt>
          <cx:pt idx="38">336</cx:pt>
          <cx:pt idx="39">536</cx:pt>
          <cx:pt idx="40">316</cx:pt>
          <cx:pt idx="41">310</cx:pt>
          <cx:pt idx="42">259</cx:pt>
          <cx:pt idx="43">334</cx:pt>
          <cx:pt idx="44">428</cx:pt>
          <cx:pt idx="45">341</cx:pt>
          <cx:pt idx="46">339</cx:pt>
          <cx:pt idx="47">304</cx:pt>
          <cx:pt idx="48">266</cx:pt>
          <cx:pt idx="49">467</cx:pt>
          <cx:pt idx="50">574</cx:pt>
          <cx:pt idx="51">407</cx:pt>
          <cx:pt idx="52">722</cx:pt>
          <cx:pt idx="53">669</cx:pt>
          <cx:pt idx="54">302</cx:pt>
        </cx:lvl>
      </cx:numDim>
    </cx:data>
    <cx:data id="1">
      <cx:numDim type="val">
        <cx:f>'SUPERIOR PFT'!$B$2:$B$56</cx:f>
        <cx:lvl ptCount="55" formatCode="General">
          <cx:pt idx="0">135</cx:pt>
          <cx:pt idx="1">340</cx:pt>
          <cx:pt idx="2">340</cx:pt>
          <cx:pt idx="3">324</cx:pt>
          <cx:pt idx="4">146</cx:pt>
          <cx:pt idx="5">305</cx:pt>
          <cx:pt idx="6">312</cx:pt>
          <cx:pt idx="7">252</cx:pt>
          <cx:pt idx="8">317</cx:pt>
          <cx:pt idx="9">397</cx:pt>
          <cx:pt idx="10">312</cx:pt>
          <cx:pt idx="11">236</cx:pt>
          <cx:pt idx="12">280</cx:pt>
          <cx:pt idx="13">315</cx:pt>
          <cx:pt idx="14">346</cx:pt>
          <cx:pt idx="15">374</cx:pt>
          <cx:pt idx="16">423</cx:pt>
          <cx:pt idx="17">248</cx:pt>
          <cx:pt idx="18">271</cx:pt>
          <cx:pt idx="19">399</cx:pt>
          <cx:pt idx="20">276</cx:pt>
          <cx:pt idx="21">258</cx:pt>
          <cx:pt idx="22">332</cx:pt>
          <cx:pt idx="23">311</cx:pt>
          <cx:pt idx="24">250</cx:pt>
          <cx:pt idx="25">272</cx:pt>
          <cx:pt idx="26">280</cx:pt>
          <cx:pt idx="27">324</cx:pt>
          <cx:pt idx="28">340</cx:pt>
          <cx:pt idx="29">305</cx:pt>
          <cx:pt idx="30">340</cx:pt>
          <cx:pt idx="31">373</cx:pt>
          <cx:pt idx="32">252</cx:pt>
          <cx:pt idx="33">340</cx:pt>
          <cx:pt idx="34">563</cx:pt>
          <cx:pt idx="35">281</cx:pt>
          <cx:pt idx="36">378</cx:pt>
          <cx:pt idx="37">641</cx:pt>
          <cx:pt idx="38">309</cx:pt>
          <cx:pt idx="39">465</cx:pt>
          <cx:pt idx="40">345</cx:pt>
          <cx:pt idx="41">329</cx:pt>
          <cx:pt idx="42">263</cx:pt>
          <cx:pt idx="43">353</cx:pt>
          <cx:pt idx="44">334</cx:pt>
          <cx:pt idx="45">297</cx:pt>
          <cx:pt idx="46">331</cx:pt>
          <cx:pt idx="47">283</cx:pt>
          <cx:pt idx="48">273</cx:pt>
          <cx:pt idx="49">468</cx:pt>
          <cx:pt idx="50">309</cx:pt>
          <cx:pt idx="51">425</cx:pt>
          <cx:pt idx="52">367</cx:pt>
          <cx:pt idx="53">589</cx:pt>
          <cx:pt idx="54">307</cx:pt>
        </cx:lvl>
      </cx:numDim>
    </cx:data>
    <cx:data id="2">
      <cx:numDim type="val">
        <cx:f>'SUPERIOR PFT'!$C$2:$C$56</cx:f>
        <cx:lvl ptCount="55" formatCode="General">
          <cx:pt idx="0">375</cx:pt>
          <cx:pt idx="1">259</cx:pt>
          <cx:pt idx="2">265</cx:pt>
          <cx:pt idx="3">318</cx:pt>
          <cx:pt idx="4">241</cx:pt>
          <cx:pt idx="5">302</cx:pt>
          <cx:pt idx="6">312</cx:pt>
          <cx:pt idx="7">384</cx:pt>
          <cx:pt idx="8">210</cx:pt>
          <cx:pt idx="9">455</cx:pt>
          <cx:pt idx="10">366</cx:pt>
          <cx:pt idx="11">136</cx:pt>
          <cx:pt idx="12">199</cx:pt>
          <cx:pt idx="13">301</cx:pt>
          <cx:pt idx="14">471</cx:pt>
          <cx:pt idx="15">350</cx:pt>
          <cx:pt idx="16">303</cx:pt>
          <cx:pt idx="17">275</cx:pt>
          <cx:pt idx="18">284</cx:pt>
          <cx:pt idx="19">334</cx:pt>
          <cx:pt idx="20">244</cx:pt>
          <cx:pt idx="21">258</cx:pt>
          <cx:pt idx="22">320</cx:pt>
          <cx:pt idx="23">301</cx:pt>
          <cx:pt idx="24">254</cx:pt>
          <cx:pt idx="25">265</cx:pt>
          <cx:pt idx="26">199</cx:pt>
          <cx:pt idx="27">263</cx:pt>
          <cx:pt idx="28">359</cx:pt>
          <cx:pt idx="29">249</cx:pt>
          <cx:pt idx="30">355</cx:pt>
          <cx:pt idx="31">364</cx:pt>
          <cx:pt idx="32">240</cx:pt>
          <cx:pt idx="33">284</cx:pt>
          <cx:pt idx="34">397</cx:pt>
          <cx:pt idx="35">342</cx:pt>
          <cx:pt idx="36">409</cx:pt>
          <cx:pt idx="37">397</cx:pt>
          <cx:pt idx="38">292</cx:pt>
          <cx:pt idx="39">373</cx:pt>
          <cx:pt idx="40">303</cx:pt>
          <cx:pt idx="41">357</cx:pt>
          <cx:pt idx="42">326</cx:pt>
          <cx:pt idx="43">337</cx:pt>
          <cx:pt idx="44">267</cx:pt>
          <cx:pt idx="45">230</cx:pt>
          <cx:pt idx="46">238</cx:pt>
          <cx:pt idx="47">256</cx:pt>
          <cx:pt idx="48">489</cx:pt>
          <cx:pt idx="49">478</cx:pt>
          <cx:pt idx="50">349</cx:pt>
          <cx:pt idx="51">208</cx:pt>
          <cx:pt idx="52">394</cx:pt>
          <cx:pt idx="53">616</cx:pt>
          <cx:pt idx="54">302</cx:pt>
        </cx:lvl>
      </cx:numDim>
    </cx:data>
  </cx:chartData>
  <cx:chart>
    <cx:plotArea>
      <cx:plotAreaRegion>
        <cx:series layoutId="boxWhisker" uniqueId="{1CE53155-228B-47E3-85C3-1675FF15F1CB}">
          <cx:tx>
            <cx:txData>
              <cx:f>'SUPERIOR PFT'!$A$1</cx:f>
              <cx:v>BL SUPERIOR PFT</cx:v>
            </cx:txData>
          </cx:tx>
          <cx:dataId val="0"/>
          <cx:layoutPr>
            <cx:visibility meanLine="0" meanMarker="1" nonoutliers="0" outliers="1"/>
            <cx:statistics quartileMethod="exclusive"/>
          </cx:layoutPr>
        </cx:series>
        <cx:series layoutId="boxWhisker" uniqueId="{4BB295AF-67C6-4707-A23B-4C2B3838FEC7}">
          <cx:tx>
            <cx:txData>
              <cx:f>'SUPERIOR PFT'!$B$1</cx:f>
              <cx:v>3 MONTH SUPERIOR PFT</cx:v>
            </cx:txData>
          </cx:tx>
          <cx:dataId val="1"/>
          <cx:layoutPr>
            <cx:visibility meanLine="0" meanMarker="1" nonoutliers="0" outliers="1"/>
            <cx:statistics quartileMethod="exclusive"/>
          </cx:layoutPr>
        </cx:series>
        <cx:series layoutId="boxWhisker" uniqueId="{8FFF5833-AA79-453E-A477-BADAB4B03DB0}">
          <cx:tx>
            <cx:txData>
              <cx:f>'SUPERIOR PFT'!$C$1</cx:f>
              <cx:v>6 MONTH SUPERIOR PFT</cx:v>
            </cx:txData>
          </cx:tx>
          <cx:dataId val="2"/>
          <cx:layoutPr>
            <cx:visibility meanLine="0" meanMarker="1" nonoutliers="0" outliers="1"/>
            <cx:statistics quartileMethod="exclusive"/>
          </cx:layoutPr>
        </cx:series>
      </cx:plotAreaRegion>
      <cx:axis id="0" hidden="1">
        <cx:catScaling gapWidth="1"/>
        <cx:title>
          <cx:tx>
            <cx:txData>
              <cx:v>PERIOD OF TREATMENT</cx:v>
            </cx:txData>
          </cx:tx>
          <cx:txPr>
            <a:bodyPr spcFirstLastPara="1" vertOverflow="ellipsis" horzOverflow="overflow" wrap="square" lIns="0" tIns="0" rIns="0" bIns="0" anchor="ctr" anchorCtr="1"/>
            <a:lstStyle/>
            <a:p>
              <a:pPr algn="ctr" rtl="0">
                <a:defRPr sz="1200">
                  <a:solidFill>
                    <a:sysClr val="windowText" lastClr="000000"/>
                  </a:solidFill>
                  <a:latin typeface="Arial" panose="020B0604020202020204" pitchFamily="34" charset="0"/>
                  <a:ea typeface="Arial" panose="020B0604020202020204" pitchFamily="34" charset="0"/>
                  <a:cs typeface="Arial" panose="020B0604020202020204" pitchFamily="34" charset="0"/>
                </a:defRPr>
              </a:pPr>
              <a:r>
                <a:rPr lang="en-US" sz="1200" b="0" i="0" u="none" strike="noStrike" baseline="0">
                  <a:solidFill>
                    <a:sysClr val="windowText" lastClr="000000"/>
                  </a:solidFill>
                  <a:latin typeface="Arial" panose="020B0604020202020204" pitchFamily="34" charset="0"/>
                  <a:cs typeface="Arial" panose="020B0604020202020204" pitchFamily="34" charset="0"/>
                </a:rPr>
                <a:t>PERIOD OF TREATMENT</a:t>
              </a:r>
            </a:p>
          </cx:txPr>
        </cx:title>
        <cx:tickLabels/>
        <cx:txPr>
          <a:bodyPr vertOverflow="overflow" horzOverflow="overflow" wrap="square" lIns="0" tIns="0" rIns="0" bIns="0"/>
          <a:lstStyle/>
          <a:p>
            <a:pPr algn="ctr" rtl="0">
              <a:defRPr sz="1200" b="0" i="0">
                <a:solidFill>
                  <a:sysClr val="windowText" lastClr="000000"/>
                </a:solidFill>
                <a:latin typeface="Arial" panose="020B0604020202020204" pitchFamily="34" charset="0"/>
                <a:ea typeface="Arial" panose="020B0604020202020204" pitchFamily="34" charset="0"/>
                <a:cs typeface="Arial" panose="020B0604020202020204" pitchFamily="34" charset="0"/>
              </a:defRPr>
            </a:pPr>
            <a:endParaRPr lang="en-ZA" sz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x:txPr>
      </cx:axis>
      <cx:axis id="1">
        <cx:valScaling/>
        <cx:title>
          <cx:tx>
            <cx:txData>
              <cx:v>MICRONS</cx:v>
            </cx:txData>
          </cx:tx>
          <cx:txPr>
            <a:bodyPr spcFirstLastPara="1" vertOverflow="ellipsis" horzOverflow="overflow" wrap="square" lIns="0" tIns="0" rIns="0" bIns="0" anchor="ctr" anchorCtr="1"/>
            <a:lstStyle/>
            <a:p>
              <a:pPr algn="ctr" rtl="0">
                <a:defRPr sz="1200">
                  <a:solidFill>
                    <a:sysClr val="windowText" lastClr="000000"/>
                  </a:solidFill>
                  <a:latin typeface="Arial" panose="020B0604020202020204" pitchFamily="34" charset="0"/>
                  <a:ea typeface="Arial" panose="020B0604020202020204" pitchFamily="34" charset="0"/>
                  <a:cs typeface="Arial" panose="020B0604020202020204" pitchFamily="34" charset="0"/>
                </a:defRPr>
              </a:pPr>
              <a:r>
                <a:rPr lang="en-US" sz="1200" b="0" i="0" u="none" strike="noStrike" baseline="0">
                  <a:solidFill>
                    <a:sysClr val="windowText" lastClr="000000"/>
                  </a:solidFill>
                  <a:latin typeface="Arial" panose="020B0604020202020204" pitchFamily="34" charset="0"/>
                  <a:cs typeface="Arial" panose="020B0604020202020204" pitchFamily="34" charset="0"/>
                </a:rPr>
                <a:t>MICRONS</a:t>
              </a:r>
            </a:p>
          </cx:txPr>
        </cx:title>
        <cx:majorGridlines/>
        <cx:tickLabels/>
        <cx:txPr>
          <a:bodyPr vertOverflow="overflow" horzOverflow="overflow" wrap="square" lIns="0" tIns="0" rIns="0" bIns="0"/>
          <a:lstStyle/>
          <a:p>
            <a:pPr algn="ctr" rtl="0">
              <a:defRPr sz="1200" b="0" i="0">
                <a:solidFill>
                  <a:sysClr val="windowText" lastClr="000000"/>
                </a:solidFill>
                <a:latin typeface="Arial" panose="020B0604020202020204" pitchFamily="34" charset="0"/>
                <a:ea typeface="Arial" panose="020B0604020202020204" pitchFamily="34" charset="0"/>
                <a:cs typeface="Arial" panose="020B0604020202020204" pitchFamily="34" charset="0"/>
              </a:defRPr>
            </a:pPr>
            <a:endParaRPr lang="en-ZA" sz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x:txPr>
      </cx:axis>
    </cx:plotArea>
    <cx:legend pos="t" align="ctr" overlay="0">
      <cx:txPr>
        <a:bodyPr vertOverflow="overflow" horzOverflow="overflow" wrap="square" lIns="0" tIns="0" rIns="0" bIns="0"/>
        <a:lstStyle/>
        <a:p>
          <a:pPr algn="ctr" rtl="0">
            <a:defRPr sz="1200" b="0" i="0">
              <a:solidFill>
                <a:sysClr val="windowText" lastClr="000000"/>
              </a:solidFill>
              <a:latin typeface="Arial" panose="020B0604020202020204" pitchFamily="34" charset="0"/>
              <a:ea typeface="Arial" panose="020B0604020202020204" pitchFamily="34" charset="0"/>
              <a:cs typeface="Arial" panose="020B0604020202020204" pitchFamily="34" charset="0"/>
            </a:defRPr>
          </a:pPr>
          <a:endParaRPr lang="en-ZA" sz="12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cx:txPr>
    </cx:legend>
  </cx:chart>
  <cx:clrMapOvr bg1="lt1" tx1="dk1" bg2="lt2" tx2="dk2" accent1="accent1" accent2="accent2" accent3="accent3" accent4="accent4" accent5="accent5" accent6="accent6" hlink="hlink" folHlink="folHlink"/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40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40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608DC-4D89-4781-BD11-5F581D197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Lufuno Mlaudzi</dc:creator>
  <cp:lastModifiedBy>Bartle, Claudia</cp:lastModifiedBy>
  <cp:revision>3</cp:revision>
  <dcterms:created xsi:type="dcterms:W3CDTF">2026-04-24T09:56:00Z</dcterms:created>
  <dcterms:modified xsi:type="dcterms:W3CDTF">2026-04-27T22:45:00Z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31be4-bb77-46d3-b866-62153466896a_Enabled">
    <vt:lpwstr>true</vt:lpwstr>
  </property>
  <property fmtid="{D5CDD505-2E9C-101B-9397-08002B2CF9AE}" pid="3" name="MSIP_Label_b0d31be4-bb77-46d3-b866-62153466896a_SetDate">
    <vt:lpwstr>2026-04-22T15:07:21Z</vt:lpwstr>
  </property>
  <property fmtid="{D5CDD505-2E9C-101B-9397-08002B2CF9AE}" pid="4" name="MSIP_Label_b0d31be4-bb77-46d3-b866-62153466896a_Method">
    <vt:lpwstr>Standard</vt:lpwstr>
  </property>
  <property fmtid="{D5CDD505-2E9C-101B-9397-08002B2CF9AE}" pid="5" name="MSIP_Label_b0d31be4-bb77-46d3-b866-62153466896a_Name">
    <vt:lpwstr>Public</vt:lpwstr>
  </property>
  <property fmtid="{D5CDD505-2E9C-101B-9397-08002B2CF9AE}" pid="6" name="MSIP_Label_b0d31be4-bb77-46d3-b866-62153466896a_SiteId">
    <vt:lpwstr>fa785acd-36ef-41bc-8a94-89841327e045</vt:lpwstr>
  </property>
  <property fmtid="{D5CDD505-2E9C-101B-9397-08002B2CF9AE}" pid="7" name="MSIP_Label_b0d31be4-bb77-46d3-b866-62153466896a_ActionId">
    <vt:lpwstr>c842500f-b9be-4187-8449-500cb425f10c</vt:lpwstr>
  </property>
  <property fmtid="{D5CDD505-2E9C-101B-9397-08002B2CF9AE}" pid="8" name="MSIP_Label_b0d31be4-bb77-46d3-b866-62153466896a_ContentBits">
    <vt:lpwstr>0</vt:lpwstr>
  </property>
  <property fmtid="{D5CDD505-2E9C-101B-9397-08002B2CF9AE}" pid="9" name="MSIP_Label_b0d31be4-bb77-46d3-b866-62153466896a_Tag">
    <vt:lpwstr>10, 3, 0, 1</vt:lpwstr>
  </property>
  <property fmtid="{D5CDD505-2E9C-101B-9397-08002B2CF9AE}" pid="10" name="GrammarlyDocumentId">
    <vt:lpwstr>568a9936-ba13-4625-822a-5f301a36c296</vt:lpwstr>
  </property>
  <property fmtid="{D5CDD505-2E9C-101B-9397-08002B2CF9AE}" pid="11" name="ClassificationContentMarkingFooterShapeIds">
    <vt:lpwstr>358c6274,39d13536,31eef29d</vt:lpwstr>
  </property>
  <property fmtid="{D5CDD505-2E9C-101B-9397-08002B2CF9AE}" pid="12" name="ClassificationContentMarkingFooterFontProps">
    <vt:lpwstr>#0078d7,9,Rockwell</vt:lpwstr>
  </property>
  <property fmtid="{D5CDD505-2E9C-101B-9397-08002B2CF9AE}" pid="13" name="ClassificationContentMarkingFooterText">
    <vt:lpwstr>Information Classification: General</vt:lpwstr>
  </property>
  <property fmtid="{D5CDD505-2E9C-101B-9397-08002B2CF9AE}" pid="14" name="MSIP_Label_2bbab825-a111-45e4-86a1-18cee0005896_Enabled">
    <vt:lpwstr>true</vt:lpwstr>
  </property>
  <property fmtid="{D5CDD505-2E9C-101B-9397-08002B2CF9AE}" pid="15" name="MSIP_Label_2bbab825-a111-45e4-86a1-18cee0005896_SetDate">
    <vt:lpwstr>2026-04-27T22:45:16Z</vt:lpwstr>
  </property>
  <property fmtid="{D5CDD505-2E9C-101B-9397-08002B2CF9AE}" pid="16" name="MSIP_Label_2bbab825-a111-45e4-86a1-18cee0005896_Method">
    <vt:lpwstr>Standard</vt:lpwstr>
  </property>
  <property fmtid="{D5CDD505-2E9C-101B-9397-08002B2CF9AE}" pid="17" name="MSIP_Label_2bbab825-a111-45e4-86a1-18cee0005896_Name">
    <vt:lpwstr>2bbab825-a111-45e4-86a1-18cee0005896</vt:lpwstr>
  </property>
  <property fmtid="{D5CDD505-2E9C-101B-9397-08002B2CF9AE}" pid="18" name="MSIP_Label_2bbab825-a111-45e4-86a1-18cee0005896_SiteId">
    <vt:lpwstr>2567d566-604c-408a-8a60-55d0dc9d9d6b</vt:lpwstr>
  </property>
  <property fmtid="{D5CDD505-2E9C-101B-9397-08002B2CF9AE}" pid="19" name="MSIP_Label_2bbab825-a111-45e4-86a1-18cee0005896_ActionId">
    <vt:lpwstr>234ce23c-6be9-4712-a670-69b10eda6885</vt:lpwstr>
  </property>
  <property fmtid="{D5CDD505-2E9C-101B-9397-08002B2CF9AE}" pid="20" name="MSIP_Label_2bbab825-a111-45e4-86a1-18cee0005896_ContentBits">
    <vt:lpwstr>2</vt:lpwstr>
  </property>
  <property fmtid="{D5CDD505-2E9C-101B-9397-08002B2CF9AE}" pid="21" name="MSIP_Label_2bbab825-a111-45e4-86a1-18cee0005896_Tag">
    <vt:lpwstr>10, 3, 0, 1</vt:lpwstr>
  </property>
</Properties>
</file>