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386D" w14:textId="3D7B0CE9" w:rsidR="00F71967" w:rsidRPr="00503DBA" w:rsidRDefault="00F71967" w:rsidP="00F71967">
      <w:pPr>
        <w:pStyle w:val="Title"/>
      </w:pPr>
      <w:r w:rsidRPr="00503DBA">
        <w:t>SUPPLEMENTA</w:t>
      </w:r>
      <w:r>
        <w:t>RY</w:t>
      </w:r>
      <w:r w:rsidRPr="00503DBA">
        <w:t xml:space="preserve"> ONLINE </w:t>
      </w:r>
      <w:r w:rsidR="00ED6B70">
        <w:t>MATERIAL</w:t>
      </w:r>
      <w:r w:rsidR="009237D5">
        <w:t xml:space="preserve"> 1</w:t>
      </w:r>
      <w:r>
        <w:br/>
      </w:r>
      <w:r w:rsidRPr="00503DBA">
        <w:t>FOR</w:t>
      </w:r>
    </w:p>
    <w:p w14:paraId="4F1C699D" w14:textId="77777777" w:rsidR="00F71967" w:rsidRDefault="00F71967" w:rsidP="00F71967">
      <w:pPr>
        <w:pStyle w:val="Title"/>
      </w:pPr>
      <w:r w:rsidRPr="00077F66">
        <w:t>Cost</w:t>
      </w:r>
      <w:r>
        <w:t>-</w:t>
      </w:r>
      <w:r w:rsidRPr="00077F66">
        <w:t xml:space="preserve">Effectiveness of Differential Target Multiplexed Spinal Cord Stimulation </w:t>
      </w:r>
      <w:r>
        <w:br/>
      </w:r>
      <w:r w:rsidRPr="00077F66">
        <w:t>from the Belgian</w:t>
      </w:r>
      <w:r>
        <w:t>-Payer</w:t>
      </w:r>
      <w:r w:rsidRPr="00077F66">
        <w:t xml:space="preserve"> Perspective</w:t>
      </w:r>
    </w:p>
    <w:p w14:paraId="100C98D6" w14:textId="77777777" w:rsidR="00F71967" w:rsidRDefault="00F71967" w:rsidP="00F71967"/>
    <w:bookmarkStart w:id="0" w:name="_Toc227850332" w:displacedByCustomXml="next"/>
    <w:sdt>
      <w:sdtPr>
        <w:rPr>
          <w:b w:val="0"/>
          <w:bCs w:val="0"/>
          <w:caps w:val="0"/>
        </w:rPr>
        <w:id w:val="-1616059108"/>
        <w:docPartObj>
          <w:docPartGallery w:val="Table of Contents"/>
          <w:docPartUnique/>
        </w:docPartObj>
      </w:sdtPr>
      <w:sdtEndPr>
        <w:rPr>
          <w:noProof/>
        </w:rPr>
      </w:sdtEndPr>
      <w:sdtContent>
        <w:p w14:paraId="1E79648D" w14:textId="77995172" w:rsidR="000937D6" w:rsidRDefault="000937D6">
          <w:pPr>
            <w:pStyle w:val="TOCHeading"/>
          </w:pPr>
          <w:r>
            <w:t>Table of Contents</w:t>
          </w:r>
          <w:bookmarkEnd w:id="0"/>
        </w:p>
        <w:p w14:paraId="51C49112" w14:textId="479CA011" w:rsidR="005F3B75" w:rsidRDefault="000937D6">
          <w:pPr>
            <w:pStyle w:val="TOC1"/>
            <w:tabs>
              <w:tab w:val="left" w:pos="440"/>
              <w:tab w:val="right" w:leader="dot" w:pos="9350"/>
            </w:tabs>
            <w:rPr>
              <w:rFonts w:asciiTheme="minorHAnsi" w:hAnsiTheme="minorHAnsi" w:cstheme="minorBidi"/>
              <w:b w:val="0"/>
              <w:bCs w:val="0"/>
              <w:noProof/>
              <w:kern w:val="2"/>
              <w:sz w:val="24"/>
              <w:szCs w:val="24"/>
              <w:lang w:val="it-IT" w:eastAsia="zh-CN" w:bidi="he-IL"/>
              <w14:ligatures w14:val="standardContextual"/>
            </w:rPr>
          </w:pPr>
          <w:r>
            <w:fldChar w:fldCharType="begin"/>
          </w:r>
          <w:r>
            <w:instrText xml:space="preserve"> TOC \o "1-3" \h \z \u </w:instrText>
          </w:r>
          <w:r>
            <w:fldChar w:fldCharType="separate"/>
          </w:r>
          <w:hyperlink w:anchor="_Toc227850332" w:history="1">
            <w:r w:rsidR="005F3B75" w:rsidRPr="000067F7">
              <w:rPr>
                <w:rStyle w:val="Hyperlink"/>
                <w:noProof/>
              </w:rPr>
              <w:t>1</w:t>
            </w:r>
            <w:r w:rsidR="005F3B75">
              <w:rPr>
                <w:rFonts w:asciiTheme="minorHAnsi" w:hAnsiTheme="minorHAnsi" w:cstheme="minorBidi"/>
                <w:b w:val="0"/>
                <w:bCs w:val="0"/>
                <w:noProof/>
                <w:kern w:val="2"/>
                <w:sz w:val="24"/>
                <w:szCs w:val="24"/>
                <w:lang w:val="it-IT" w:eastAsia="zh-CN" w:bidi="he-IL"/>
                <w14:ligatures w14:val="standardContextual"/>
              </w:rPr>
              <w:tab/>
            </w:r>
            <w:r w:rsidR="005F3B75" w:rsidRPr="000067F7">
              <w:rPr>
                <w:rStyle w:val="Hyperlink"/>
                <w:noProof/>
              </w:rPr>
              <w:t>Table of Contents</w:t>
            </w:r>
            <w:r w:rsidR="005F3B75">
              <w:rPr>
                <w:noProof/>
                <w:webHidden/>
              </w:rPr>
              <w:tab/>
            </w:r>
            <w:r w:rsidR="005F3B75">
              <w:rPr>
                <w:noProof/>
                <w:webHidden/>
              </w:rPr>
              <w:fldChar w:fldCharType="begin"/>
            </w:r>
            <w:r w:rsidR="005F3B75">
              <w:rPr>
                <w:noProof/>
                <w:webHidden/>
              </w:rPr>
              <w:instrText xml:space="preserve"> PAGEREF _Toc227850332 \h </w:instrText>
            </w:r>
            <w:r w:rsidR="005F3B75">
              <w:rPr>
                <w:noProof/>
                <w:webHidden/>
              </w:rPr>
            </w:r>
            <w:r w:rsidR="005F3B75">
              <w:rPr>
                <w:noProof/>
                <w:webHidden/>
              </w:rPr>
              <w:fldChar w:fldCharType="separate"/>
            </w:r>
            <w:r w:rsidR="00C85625">
              <w:rPr>
                <w:noProof/>
                <w:webHidden/>
              </w:rPr>
              <w:t>1</w:t>
            </w:r>
            <w:r w:rsidR="005F3B75">
              <w:rPr>
                <w:noProof/>
                <w:webHidden/>
              </w:rPr>
              <w:fldChar w:fldCharType="end"/>
            </w:r>
          </w:hyperlink>
        </w:p>
        <w:p w14:paraId="7CFE4643" w14:textId="1334FAA3" w:rsidR="005F3B75" w:rsidRDefault="005F3B75">
          <w:pPr>
            <w:pStyle w:val="TOC1"/>
            <w:tabs>
              <w:tab w:val="left" w:pos="440"/>
              <w:tab w:val="right" w:leader="dot" w:pos="9350"/>
            </w:tabs>
            <w:rPr>
              <w:rFonts w:asciiTheme="minorHAnsi" w:hAnsiTheme="minorHAnsi" w:cstheme="minorBidi"/>
              <w:b w:val="0"/>
              <w:bCs w:val="0"/>
              <w:noProof/>
              <w:kern w:val="2"/>
              <w:sz w:val="24"/>
              <w:szCs w:val="24"/>
              <w:lang w:val="it-IT" w:eastAsia="zh-CN" w:bidi="he-IL"/>
              <w14:ligatures w14:val="standardContextual"/>
            </w:rPr>
          </w:pPr>
          <w:hyperlink w:anchor="_Toc227850333" w:history="1">
            <w:r w:rsidRPr="000067F7">
              <w:rPr>
                <w:rStyle w:val="Hyperlink"/>
                <w:noProof/>
              </w:rPr>
              <w:t>1.</w:t>
            </w:r>
            <w:r>
              <w:rPr>
                <w:rFonts w:asciiTheme="minorHAnsi" w:hAnsiTheme="minorHAnsi" w:cstheme="minorBidi"/>
                <w:b w:val="0"/>
                <w:bCs w:val="0"/>
                <w:noProof/>
                <w:kern w:val="2"/>
                <w:sz w:val="24"/>
                <w:szCs w:val="24"/>
                <w:lang w:val="it-IT" w:eastAsia="zh-CN" w:bidi="he-IL"/>
                <w14:ligatures w14:val="standardContextual"/>
              </w:rPr>
              <w:tab/>
            </w:r>
            <w:r w:rsidRPr="000067F7">
              <w:rPr>
                <w:rStyle w:val="Hyperlink"/>
                <w:noProof/>
              </w:rPr>
              <w:t>Supplementary Model Inputs 1</w:t>
            </w:r>
            <w:r>
              <w:rPr>
                <w:noProof/>
                <w:webHidden/>
              </w:rPr>
              <w:tab/>
            </w:r>
            <w:r>
              <w:rPr>
                <w:noProof/>
                <w:webHidden/>
              </w:rPr>
              <w:fldChar w:fldCharType="begin"/>
            </w:r>
            <w:r>
              <w:rPr>
                <w:noProof/>
                <w:webHidden/>
              </w:rPr>
              <w:instrText xml:space="preserve"> PAGEREF _Toc227850333 \h </w:instrText>
            </w:r>
            <w:r>
              <w:rPr>
                <w:noProof/>
                <w:webHidden/>
              </w:rPr>
            </w:r>
            <w:r>
              <w:rPr>
                <w:noProof/>
                <w:webHidden/>
              </w:rPr>
              <w:fldChar w:fldCharType="separate"/>
            </w:r>
            <w:r w:rsidR="00C85625">
              <w:rPr>
                <w:noProof/>
                <w:webHidden/>
              </w:rPr>
              <w:t>2</w:t>
            </w:r>
            <w:r>
              <w:rPr>
                <w:noProof/>
                <w:webHidden/>
              </w:rPr>
              <w:fldChar w:fldCharType="end"/>
            </w:r>
          </w:hyperlink>
        </w:p>
        <w:p w14:paraId="41DA79AB" w14:textId="727FF370"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34" w:history="1">
            <w:r w:rsidRPr="000067F7">
              <w:rPr>
                <w:rStyle w:val="Hyperlink"/>
              </w:rPr>
              <w:t>1.1</w:t>
            </w:r>
            <w:r>
              <w:rPr>
                <w:rFonts w:asciiTheme="minorHAnsi" w:hAnsiTheme="minorHAnsi" w:cstheme="minorBidi"/>
                <w:iCs w:val="0"/>
                <w:kern w:val="2"/>
                <w:sz w:val="24"/>
                <w:szCs w:val="24"/>
                <w:lang w:val="it-IT" w:eastAsia="zh-CN" w:bidi="he-IL"/>
                <w14:ligatures w14:val="standardContextual"/>
              </w:rPr>
              <w:tab/>
            </w:r>
            <w:r w:rsidRPr="000067F7">
              <w:rPr>
                <w:rStyle w:val="Hyperlink"/>
              </w:rPr>
              <w:t>Patient demographics</w:t>
            </w:r>
            <w:r>
              <w:rPr>
                <w:webHidden/>
              </w:rPr>
              <w:tab/>
            </w:r>
            <w:r>
              <w:rPr>
                <w:webHidden/>
              </w:rPr>
              <w:fldChar w:fldCharType="begin"/>
            </w:r>
            <w:r>
              <w:rPr>
                <w:webHidden/>
              </w:rPr>
              <w:instrText xml:space="preserve"> PAGEREF _Toc227850334 \h </w:instrText>
            </w:r>
            <w:r>
              <w:rPr>
                <w:webHidden/>
              </w:rPr>
            </w:r>
            <w:r>
              <w:rPr>
                <w:webHidden/>
              </w:rPr>
              <w:fldChar w:fldCharType="separate"/>
            </w:r>
            <w:r w:rsidR="00C85625">
              <w:rPr>
                <w:webHidden/>
              </w:rPr>
              <w:t>2</w:t>
            </w:r>
            <w:r>
              <w:rPr>
                <w:webHidden/>
              </w:rPr>
              <w:fldChar w:fldCharType="end"/>
            </w:r>
          </w:hyperlink>
        </w:p>
        <w:p w14:paraId="757A5C60" w14:textId="31AB00AE" w:rsidR="005F3B75" w:rsidRDefault="005F3B75" w:rsidP="00155B65">
          <w:pPr>
            <w:pStyle w:val="TOC2"/>
            <w:tabs>
              <w:tab w:val="left" w:pos="880"/>
            </w:tabs>
            <w:spacing w:before="0" w:after="0"/>
            <w:rPr>
              <w:rStyle w:val="Hyperlink"/>
            </w:rPr>
          </w:pPr>
          <w:hyperlink w:anchor="_Toc227850335" w:history="1">
            <w:r w:rsidRPr="000067F7">
              <w:rPr>
                <w:rStyle w:val="Hyperlink"/>
              </w:rPr>
              <w:t>1.2</w:t>
            </w:r>
            <w:r>
              <w:rPr>
                <w:rFonts w:asciiTheme="minorHAnsi" w:hAnsiTheme="minorHAnsi" w:cstheme="minorBidi"/>
                <w:iCs w:val="0"/>
                <w:kern w:val="2"/>
                <w:sz w:val="24"/>
                <w:szCs w:val="24"/>
                <w:lang w:val="it-IT" w:eastAsia="zh-CN" w:bidi="he-IL"/>
                <w14:ligatures w14:val="standardContextual"/>
              </w:rPr>
              <w:tab/>
            </w:r>
            <w:r w:rsidRPr="000067F7">
              <w:rPr>
                <w:rStyle w:val="Hyperlink"/>
              </w:rPr>
              <w:t>Short-term efficacy</w:t>
            </w:r>
            <w:r>
              <w:rPr>
                <w:webHidden/>
              </w:rPr>
              <w:tab/>
            </w:r>
            <w:r>
              <w:rPr>
                <w:webHidden/>
              </w:rPr>
              <w:fldChar w:fldCharType="begin"/>
            </w:r>
            <w:r>
              <w:rPr>
                <w:webHidden/>
              </w:rPr>
              <w:instrText xml:space="preserve"> PAGEREF _Toc227850335 \h </w:instrText>
            </w:r>
            <w:r>
              <w:rPr>
                <w:webHidden/>
              </w:rPr>
            </w:r>
            <w:r>
              <w:rPr>
                <w:webHidden/>
              </w:rPr>
              <w:fldChar w:fldCharType="separate"/>
            </w:r>
            <w:r w:rsidR="00C85625">
              <w:rPr>
                <w:webHidden/>
              </w:rPr>
              <w:t>2</w:t>
            </w:r>
            <w:r>
              <w:rPr>
                <w:webHidden/>
              </w:rPr>
              <w:fldChar w:fldCharType="end"/>
            </w:r>
          </w:hyperlink>
        </w:p>
        <w:p w14:paraId="2E6F050E" w14:textId="19A92D2E" w:rsidR="00355C3F" w:rsidRPr="009237D5" w:rsidRDefault="00547DD1" w:rsidP="00566D04">
          <w:pPr>
            <w:spacing w:before="0" w:after="0"/>
            <w:ind w:left="720" w:firstLine="131"/>
            <w:rPr>
              <w:i/>
              <w:iCs/>
              <w:noProof/>
            </w:rPr>
          </w:pPr>
          <w:r w:rsidRPr="009237D5">
            <w:rPr>
              <w:i/>
              <w:iCs/>
              <w:noProof/>
            </w:rPr>
            <w:t>Table S1.</w:t>
          </w:r>
          <w:r w:rsidR="00E43C90" w:rsidRPr="009237D5">
            <w:rPr>
              <w:i/>
              <w:iCs/>
              <w:noProof/>
            </w:rPr>
            <w:t xml:space="preserve"> Efficacy probabilities used in model, decision tree phase</w:t>
          </w:r>
        </w:p>
        <w:p w14:paraId="7236C51C" w14:textId="0845E9C2"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36" w:history="1">
            <w:r w:rsidRPr="000067F7">
              <w:rPr>
                <w:rStyle w:val="Hyperlink"/>
              </w:rPr>
              <w:t>1.3</w:t>
            </w:r>
            <w:r>
              <w:rPr>
                <w:rFonts w:asciiTheme="minorHAnsi" w:hAnsiTheme="minorHAnsi" w:cstheme="minorBidi"/>
                <w:iCs w:val="0"/>
                <w:kern w:val="2"/>
                <w:sz w:val="24"/>
                <w:szCs w:val="24"/>
                <w:lang w:val="it-IT" w:eastAsia="zh-CN" w:bidi="he-IL"/>
                <w14:ligatures w14:val="standardContextual"/>
              </w:rPr>
              <w:tab/>
            </w:r>
            <w:r w:rsidRPr="000067F7">
              <w:rPr>
                <w:rStyle w:val="Hyperlink"/>
              </w:rPr>
              <w:t>Long-term efficacy</w:t>
            </w:r>
            <w:r>
              <w:rPr>
                <w:webHidden/>
              </w:rPr>
              <w:tab/>
            </w:r>
            <w:r>
              <w:rPr>
                <w:webHidden/>
              </w:rPr>
              <w:fldChar w:fldCharType="begin"/>
            </w:r>
            <w:r>
              <w:rPr>
                <w:webHidden/>
              </w:rPr>
              <w:instrText xml:space="preserve"> PAGEREF _Toc227850336 \h </w:instrText>
            </w:r>
            <w:r>
              <w:rPr>
                <w:webHidden/>
              </w:rPr>
            </w:r>
            <w:r>
              <w:rPr>
                <w:webHidden/>
              </w:rPr>
              <w:fldChar w:fldCharType="separate"/>
            </w:r>
            <w:r w:rsidR="00C85625">
              <w:rPr>
                <w:webHidden/>
              </w:rPr>
              <w:t>3</w:t>
            </w:r>
            <w:r>
              <w:rPr>
                <w:webHidden/>
              </w:rPr>
              <w:fldChar w:fldCharType="end"/>
            </w:r>
          </w:hyperlink>
        </w:p>
        <w:p w14:paraId="3A34B54A" w14:textId="7D256315"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37" w:history="1">
            <w:r w:rsidRPr="000067F7">
              <w:rPr>
                <w:rStyle w:val="Hyperlink"/>
              </w:rPr>
              <w:t>1.4</w:t>
            </w:r>
            <w:r>
              <w:rPr>
                <w:rFonts w:asciiTheme="minorHAnsi" w:hAnsiTheme="minorHAnsi" w:cstheme="minorBidi"/>
                <w:iCs w:val="0"/>
                <w:kern w:val="2"/>
                <w:sz w:val="24"/>
                <w:szCs w:val="24"/>
                <w:lang w:val="it-IT" w:eastAsia="zh-CN" w:bidi="he-IL"/>
                <w14:ligatures w14:val="standardContextual"/>
              </w:rPr>
              <w:tab/>
            </w:r>
            <w:r w:rsidRPr="000067F7">
              <w:rPr>
                <w:rStyle w:val="Hyperlink"/>
              </w:rPr>
              <w:t>SCS therapy discontinuation</w:t>
            </w:r>
            <w:r>
              <w:rPr>
                <w:webHidden/>
              </w:rPr>
              <w:tab/>
            </w:r>
            <w:r>
              <w:rPr>
                <w:webHidden/>
              </w:rPr>
              <w:fldChar w:fldCharType="begin"/>
            </w:r>
            <w:r>
              <w:rPr>
                <w:webHidden/>
              </w:rPr>
              <w:instrText xml:space="preserve"> PAGEREF _Toc227850337 \h </w:instrText>
            </w:r>
            <w:r>
              <w:rPr>
                <w:webHidden/>
              </w:rPr>
            </w:r>
            <w:r>
              <w:rPr>
                <w:webHidden/>
              </w:rPr>
              <w:fldChar w:fldCharType="separate"/>
            </w:r>
            <w:r w:rsidR="00C85625">
              <w:rPr>
                <w:webHidden/>
              </w:rPr>
              <w:t>3</w:t>
            </w:r>
            <w:r>
              <w:rPr>
                <w:webHidden/>
              </w:rPr>
              <w:fldChar w:fldCharType="end"/>
            </w:r>
          </w:hyperlink>
        </w:p>
        <w:p w14:paraId="131BA3F0" w14:textId="1E5711E5" w:rsidR="005F3B75" w:rsidRDefault="005F3B75" w:rsidP="00155B65">
          <w:pPr>
            <w:pStyle w:val="TOC2"/>
            <w:tabs>
              <w:tab w:val="left" w:pos="880"/>
            </w:tabs>
            <w:spacing w:before="0" w:after="0"/>
            <w:rPr>
              <w:rStyle w:val="Hyperlink"/>
            </w:rPr>
          </w:pPr>
          <w:hyperlink w:anchor="_Toc227850338" w:history="1">
            <w:r w:rsidRPr="000067F7">
              <w:rPr>
                <w:rStyle w:val="Hyperlink"/>
              </w:rPr>
              <w:t>1.5</w:t>
            </w:r>
            <w:r>
              <w:rPr>
                <w:rFonts w:asciiTheme="minorHAnsi" w:hAnsiTheme="minorHAnsi" w:cstheme="minorBidi"/>
                <w:iCs w:val="0"/>
                <w:kern w:val="2"/>
                <w:sz w:val="24"/>
                <w:szCs w:val="24"/>
                <w:lang w:val="it-IT" w:eastAsia="zh-CN" w:bidi="he-IL"/>
                <w14:ligatures w14:val="standardContextual"/>
              </w:rPr>
              <w:tab/>
            </w:r>
            <w:r w:rsidRPr="000067F7">
              <w:rPr>
                <w:rStyle w:val="Hyperlink"/>
              </w:rPr>
              <w:t>Adverse events</w:t>
            </w:r>
            <w:r>
              <w:rPr>
                <w:webHidden/>
              </w:rPr>
              <w:tab/>
            </w:r>
            <w:r>
              <w:rPr>
                <w:webHidden/>
              </w:rPr>
              <w:fldChar w:fldCharType="begin"/>
            </w:r>
            <w:r>
              <w:rPr>
                <w:webHidden/>
              </w:rPr>
              <w:instrText xml:space="preserve"> PAGEREF _Toc227850338 \h </w:instrText>
            </w:r>
            <w:r>
              <w:rPr>
                <w:webHidden/>
              </w:rPr>
            </w:r>
            <w:r>
              <w:rPr>
                <w:webHidden/>
              </w:rPr>
              <w:fldChar w:fldCharType="separate"/>
            </w:r>
            <w:r w:rsidR="00C85625">
              <w:rPr>
                <w:webHidden/>
              </w:rPr>
              <w:t>3</w:t>
            </w:r>
            <w:r>
              <w:rPr>
                <w:webHidden/>
              </w:rPr>
              <w:fldChar w:fldCharType="end"/>
            </w:r>
          </w:hyperlink>
        </w:p>
        <w:p w14:paraId="36F72E2E" w14:textId="6FE9A464" w:rsidR="00353DAE" w:rsidRPr="009237D5" w:rsidRDefault="004B3B1D" w:rsidP="00566D04">
          <w:pPr>
            <w:spacing w:before="0" w:after="0"/>
            <w:ind w:left="720" w:firstLine="131"/>
            <w:rPr>
              <w:i/>
              <w:iCs/>
              <w:noProof/>
            </w:rPr>
          </w:pPr>
          <w:r w:rsidRPr="009237D5">
            <w:rPr>
              <w:i/>
              <w:iCs/>
              <w:noProof/>
            </w:rPr>
            <w:t>Table S2</w:t>
          </w:r>
          <w:r w:rsidR="00E43C90" w:rsidRPr="009237D5">
            <w:rPr>
              <w:i/>
              <w:iCs/>
              <w:noProof/>
            </w:rPr>
            <w:t>. Adverse events occurring in first 24 months</w:t>
          </w:r>
        </w:p>
        <w:p w14:paraId="2A721486" w14:textId="78822A2A" w:rsidR="004B3B1D" w:rsidRPr="009237D5" w:rsidRDefault="004B3B1D" w:rsidP="00566D04">
          <w:pPr>
            <w:spacing w:before="0" w:after="0"/>
            <w:ind w:left="851"/>
            <w:rPr>
              <w:i/>
              <w:iCs/>
              <w:noProof/>
            </w:rPr>
          </w:pPr>
          <w:r w:rsidRPr="009237D5">
            <w:rPr>
              <w:i/>
              <w:iCs/>
              <w:noProof/>
            </w:rPr>
            <w:t>Table S3</w:t>
          </w:r>
          <w:r w:rsidR="00E43C90" w:rsidRPr="009237D5">
            <w:rPr>
              <w:i/>
              <w:iCs/>
              <w:noProof/>
            </w:rPr>
            <w:t>. Breakdown of adverse events and action taken in Medtronic Product Registry</w:t>
          </w:r>
        </w:p>
        <w:p w14:paraId="266CEFAD" w14:textId="0D563C03"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39" w:history="1">
            <w:r w:rsidRPr="000067F7">
              <w:rPr>
                <w:rStyle w:val="Hyperlink"/>
              </w:rPr>
              <w:t>1.6</w:t>
            </w:r>
            <w:r>
              <w:rPr>
                <w:rFonts w:asciiTheme="minorHAnsi" w:hAnsiTheme="minorHAnsi" w:cstheme="minorBidi"/>
                <w:iCs w:val="0"/>
                <w:kern w:val="2"/>
                <w:sz w:val="24"/>
                <w:szCs w:val="24"/>
                <w:lang w:val="it-IT" w:eastAsia="zh-CN" w:bidi="he-IL"/>
                <w14:ligatures w14:val="standardContextual"/>
              </w:rPr>
              <w:tab/>
            </w:r>
            <w:r w:rsidRPr="000067F7">
              <w:rPr>
                <w:rStyle w:val="Hyperlink"/>
              </w:rPr>
              <w:t>Device longevity</w:t>
            </w:r>
            <w:r>
              <w:rPr>
                <w:webHidden/>
              </w:rPr>
              <w:tab/>
            </w:r>
            <w:r>
              <w:rPr>
                <w:webHidden/>
              </w:rPr>
              <w:fldChar w:fldCharType="begin"/>
            </w:r>
            <w:r>
              <w:rPr>
                <w:webHidden/>
              </w:rPr>
              <w:instrText xml:space="preserve"> PAGEREF _Toc227850339 \h </w:instrText>
            </w:r>
            <w:r>
              <w:rPr>
                <w:webHidden/>
              </w:rPr>
            </w:r>
            <w:r>
              <w:rPr>
                <w:webHidden/>
              </w:rPr>
              <w:fldChar w:fldCharType="separate"/>
            </w:r>
            <w:r w:rsidR="00C85625">
              <w:rPr>
                <w:webHidden/>
              </w:rPr>
              <w:t>5</w:t>
            </w:r>
            <w:r>
              <w:rPr>
                <w:webHidden/>
              </w:rPr>
              <w:fldChar w:fldCharType="end"/>
            </w:r>
          </w:hyperlink>
        </w:p>
        <w:p w14:paraId="3C33903F" w14:textId="4048ECF2" w:rsidR="005F3B75" w:rsidRDefault="005F3B75" w:rsidP="00155B65">
          <w:pPr>
            <w:pStyle w:val="TOC2"/>
            <w:tabs>
              <w:tab w:val="left" w:pos="880"/>
            </w:tabs>
            <w:spacing w:before="0" w:after="0"/>
            <w:rPr>
              <w:rStyle w:val="Hyperlink"/>
            </w:rPr>
          </w:pPr>
          <w:hyperlink w:anchor="_Toc227850340" w:history="1">
            <w:r w:rsidRPr="000067F7">
              <w:rPr>
                <w:rStyle w:val="Hyperlink"/>
              </w:rPr>
              <w:t>1.7</w:t>
            </w:r>
            <w:r>
              <w:rPr>
                <w:rFonts w:asciiTheme="minorHAnsi" w:hAnsiTheme="minorHAnsi" w:cstheme="minorBidi"/>
                <w:iCs w:val="0"/>
                <w:kern w:val="2"/>
                <w:sz w:val="24"/>
                <w:szCs w:val="24"/>
                <w:lang w:val="it-IT" w:eastAsia="zh-CN" w:bidi="he-IL"/>
                <w14:ligatures w14:val="standardContextual"/>
              </w:rPr>
              <w:tab/>
            </w:r>
            <w:r w:rsidRPr="000067F7">
              <w:rPr>
                <w:rStyle w:val="Hyperlink"/>
              </w:rPr>
              <w:t>Quality of life</w:t>
            </w:r>
            <w:r>
              <w:rPr>
                <w:webHidden/>
              </w:rPr>
              <w:tab/>
            </w:r>
            <w:r>
              <w:rPr>
                <w:webHidden/>
              </w:rPr>
              <w:fldChar w:fldCharType="begin"/>
            </w:r>
            <w:r>
              <w:rPr>
                <w:webHidden/>
              </w:rPr>
              <w:instrText xml:space="preserve"> PAGEREF _Toc227850340 \h </w:instrText>
            </w:r>
            <w:r>
              <w:rPr>
                <w:webHidden/>
              </w:rPr>
            </w:r>
            <w:r>
              <w:rPr>
                <w:webHidden/>
              </w:rPr>
              <w:fldChar w:fldCharType="separate"/>
            </w:r>
            <w:r w:rsidR="00C85625">
              <w:rPr>
                <w:webHidden/>
              </w:rPr>
              <w:t>5</w:t>
            </w:r>
            <w:r>
              <w:rPr>
                <w:webHidden/>
              </w:rPr>
              <w:fldChar w:fldCharType="end"/>
            </w:r>
          </w:hyperlink>
        </w:p>
        <w:p w14:paraId="748B3CE8" w14:textId="63DB4D6A" w:rsidR="00E43C90" w:rsidRPr="00F623F6" w:rsidRDefault="00E43C90" w:rsidP="00566D04">
          <w:pPr>
            <w:spacing w:before="0" w:after="0"/>
            <w:ind w:left="720" w:firstLine="131"/>
            <w:rPr>
              <w:i/>
              <w:iCs/>
              <w:noProof/>
            </w:rPr>
          </w:pPr>
          <w:r w:rsidRPr="00F623F6">
            <w:rPr>
              <w:i/>
              <w:iCs/>
              <w:noProof/>
            </w:rPr>
            <w:t>Table S4.</w:t>
          </w:r>
          <w:r w:rsidR="00985711" w:rsidRPr="00F623F6">
            <w:rPr>
              <w:i/>
              <w:iCs/>
              <w:noProof/>
            </w:rPr>
            <w:t xml:space="preserve"> Utility weights by health state</w:t>
          </w:r>
        </w:p>
        <w:p w14:paraId="213196E8" w14:textId="48B6E00C"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41" w:history="1">
            <w:r w:rsidRPr="000067F7">
              <w:rPr>
                <w:rStyle w:val="Hyperlink"/>
              </w:rPr>
              <w:t>1.8</w:t>
            </w:r>
            <w:r>
              <w:rPr>
                <w:rFonts w:asciiTheme="minorHAnsi" w:hAnsiTheme="minorHAnsi" w:cstheme="minorBidi"/>
                <w:iCs w:val="0"/>
                <w:kern w:val="2"/>
                <w:sz w:val="24"/>
                <w:szCs w:val="24"/>
                <w:lang w:val="it-IT" w:eastAsia="zh-CN" w:bidi="he-IL"/>
                <w14:ligatures w14:val="standardContextual"/>
              </w:rPr>
              <w:tab/>
            </w:r>
            <w:r w:rsidRPr="000067F7">
              <w:rPr>
                <w:rStyle w:val="Hyperlink"/>
              </w:rPr>
              <w:t>Mortality</w:t>
            </w:r>
            <w:r>
              <w:rPr>
                <w:webHidden/>
              </w:rPr>
              <w:tab/>
            </w:r>
            <w:r>
              <w:rPr>
                <w:webHidden/>
              </w:rPr>
              <w:fldChar w:fldCharType="begin"/>
            </w:r>
            <w:r>
              <w:rPr>
                <w:webHidden/>
              </w:rPr>
              <w:instrText xml:space="preserve"> PAGEREF _Toc227850341 \h </w:instrText>
            </w:r>
            <w:r>
              <w:rPr>
                <w:webHidden/>
              </w:rPr>
            </w:r>
            <w:r>
              <w:rPr>
                <w:webHidden/>
              </w:rPr>
              <w:fldChar w:fldCharType="separate"/>
            </w:r>
            <w:r w:rsidR="00C85625">
              <w:rPr>
                <w:webHidden/>
              </w:rPr>
              <w:t>6</w:t>
            </w:r>
            <w:r>
              <w:rPr>
                <w:webHidden/>
              </w:rPr>
              <w:fldChar w:fldCharType="end"/>
            </w:r>
          </w:hyperlink>
        </w:p>
        <w:p w14:paraId="067709D7" w14:textId="2ABE07EC" w:rsidR="005F3B75" w:rsidRDefault="005F3B75" w:rsidP="00155B65">
          <w:pPr>
            <w:pStyle w:val="TOC2"/>
            <w:tabs>
              <w:tab w:val="left" w:pos="880"/>
            </w:tabs>
            <w:spacing w:before="0" w:after="0"/>
            <w:rPr>
              <w:rStyle w:val="Hyperlink"/>
            </w:rPr>
          </w:pPr>
          <w:hyperlink w:anchor="_Toc227850342" w:history="1">
            <w:r w:rsidRPr="000067F7">
              <w:rPr>
                <w:rStyle w:val="Hyperlink"/>
              </w:rPr>
              <w:t>1.9</w:t>
            </w:r>
            <w:r>
              <w:rPr>
                <w:rFonts w:asciiTheme="minorHAnsi" w:hAnsiTheme="minorHAnsi" w:cstheme="minorBidi"/>
                <w:iCs w:val="0"/>
                <w:kern w:val="2"/>
                <w:sz w:val="24"/>
                <w:szCs w:val="24"/>
                <w:lang w:val="it-IT" w:eastAsia="zh-CN" w:bidi="he-IL"/>
                <w14:ligatures w14:val="standardContextual"/>
              </w:rPr>
              <w:tab/>
            </w:r>
            <w:r w:rsidRPr="000067F7">
              <w:rPr>
                <w:rStyle w:val="Hyperlink"/>
              </w:rPr>
              <w:t>Unit costs and healthcare resource use</w:t>
            </w:r>
            <w:r>
              <w:rPr>
                <w:webHidden/>
              </w:rPr>
              <w:tab/>
            </w:r>
            <w:r>
              <w:rPr>
                <w:webHidden/>
              </w:rPr>
              <w:fldChar w:fldCharType="begin"/>
            </w:r>
            <w:r>
              <w:rPr>
                <w:webHidden/>
              </w:rPr>
              <w:instrText xml:space="preserve"> PAGEREF _Toc227850342 \h </w:instrText>
            </w:r>
            <w:r>
              <w:rPr>
                <w:webHidden/>
              </w:rPr>
            </w:r>
            <w:r>
              <w:rPr>
                <w:webHidden/>
              </w:rPr>
              <w:fldChar w:fldCharType="separate"/>
            </w:r>
            <w:r w:rsidR="00C85625">
              <w:rPr>
                <w:webHidden/>
              </w:rPr>
              <w:t>6</w:t>
            </w:r>
            <w:r>
              <w:rPr>
                <w:webHidden/>
              </w:rPr>
              <w:fldChar w:fldCharType="end"/>
            </w:r>
          </w:hyperlink>
        </w:p>
        <w:p w14:paraId="6FF7B40A" w14:textId="4911E0E4" w:rsidR="00E43C90" w:rsidRPr="009237D5" w:rsidRDefault="00E43C90" w:rsidP="00566D04">
          <w:pPr>
            <w:spacing w:before="0" w:after="0"/>
            <w:ind w:left="720" w:firstLine="131"/>
            <w:rPr>
              <w:i/>
              <w:iCs/>
              <w:noProof/>
            </w:rPr>
          </w:pPr>
          <w:r w:rsidRPr="009237D5">
            <w:rPr>
              <w:i/>
              <w:iCs/>
              <w:noProof/>
            </w:rPr>
            <w:t>Table S5</w:t>
          </w:r>
          <w:r w:rsidR="00985711" w:rsidRPr="009237D5">
            <w:rPr>
              <w:i/>
              <w:iCs/>
              <w:noProof/>
            </w:rPr>
            <w:t>. Healthcare resource use, by group</w:t>
          </w:r>
        </w:p>
        <w:p w14:paraId="52C6EC59" w14:textId="68F06E7F" w:rsidR="00E43C90" w:rsidRPr="009237D5" w:rsidRDefault="00E43C90" w:rsidP="00566D04">
          <w:pPr>
            <w:spacing w:before="0" w:after="0"/>
            <w:ind w:left="720" w:firstLine="131"/>
            <w:rPr>
              <w:i/>
              <w:iCs/>
              <w:noProof/>
            </w:rPr>
          </w:pPr>
          <w:r w:rsidRPr="009237D5">
            <w:rPr>
              <w:i/>
              <w:iCs/>
              <w:noProof/>
            </w:rPr>
            <w:t>Table S6</w:t>
          </w:r>
          <w:r w:rsidR="00985711" w:rsidRPr="009237D5">
            <w:rPr>
              <w:i/>
              <w:iCs/>
              <w:noProof/>
            </w:rPr>
            <w:t>. Unit costs used in model</w:t>
          </w:r>
        </w:p>
        <w:p w14:paraId="1FC1427E" w14:textId="5742C139" w:rsidR="005F3B75" w:rsidRDefault="005F3B75">
          <w:pPr>
            <w:pStyle w:val="TOC1"/>
            <w:tabs>
              <w:tab w:val="left" w:pos="440"/>
              <w:tab w:val="right" w:leader="dot" w:pos="9350"/>
            </w:tabs>
            <w:rPr>
              <w:rFonts w:asciiTheme="minorHAnsi" w:hAnsiTheme="minorHAnsi" w:cstheme="minorBidi"/>
              <w:b w:val="0"/>
              <w:bCs w:val="0"/>
              <w:noProof/>
              <w:kern w:val="2"/>
              <w:sz w:val="24"/>
              <w:szCs w:val="24"/>
              <w:lang w:val="it-IT" w:eastAsia="zh-CN" w:bidi="he-IL"/>
              <w14:ligatures w14:val="standardContextual"/>
            </w:rPr>
          </w:pPr>
          <w:hyperlink w:anchor="_Toc227850343" w:history="1">
            <w:r w:rsidRPr="000067F7">
              <w:rPr>
                <w:rStyle w:val="Hyperlink"/>
                <w:noProof/>
              </w:rPr>
              <w:t>2</w:t>
            </w:r>
            <w:r>
              <w:rPr>
                <w:rFonts w:asciiTheme="minorHAnsi" w:hAnsiTheme="minorHAnsi" w:cstheme="minorBidi"/>
                <w:b w:val="0"/>
                <w:bCs w:val="0"/>
                <w:noProof/>
                <w:kern w:val="2"/>
                <w:sz w:val="24"/>
                <w:szCs w:val="24"/>
                <w:lang w:val="it-IT" w:eastAsia="zh-CN" w:bidi="he-IL"/>
                <w14:ligatures w14:val="standardContextual"/>
              </w:rPr>
              <w:tab/>
            </w:r>
            <w:r w:rsidRPr="000067F7">
              <w:rPr>
                <w:rStyle w:val="Hyperlink"/>
                <w:noProof/>
              </w:rPr>
              <w:t>Supplementary Analytical Methods 1</w:t>
            </w:r>
            <w:r>
              <w:rPr>
                <w:noProof/>
                <w:webHidden/>
              </w:rPr>
              <w:tab/>
            </w:r>
            <w:r>
              <w:rPr>
                <w:noProof/>
                <w:webHidden/>
              </w:rPr>
              <w:fldChar w:fldCharType="begin"/>
            </w:r>
            <w:r>
              <w:rPr>
                <w:noProof/>
                <w:webHidden/>
              </w:rPr>
              <w:instrText xml:space="preserve"> PAGEREF _Toc227850343 \h </w:instrText>
            </w:r>
            <w:r>
              <w:rPr>
                <w:noProof/>
                <w:webHidden/>
              </w:rPr>
            </w:r>
            <w:r>
              <w:rPr>
                <w:noProof/>
                <w:webHidden/>
              </w:rPr>
              <w:fldChar w:fldCharType="separate"/>
            </w:r>
            <w:r w:rsidR="00C85625">
              <w:rPr>
                <w:noProof/>
                <w:webHidden/>
              </w:rPr>
              <w:t>13</w:t>
            </w:r>
            <w:r>
              <w:rPr>
                <w:noProof/>
                <w:webHidden/>
              </w:rPr>
              <w:fldChar w:fldCharType="end"/>
            </w:r>
          </w:hyperlink>
        </w:p>
        <w:p w14:paraId="542096E4" w14:textId="36FB9567"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44" w:history="1">
            <w:r w:rsidRPr="000067F7">
              <w:rPr>
                <w:rStyle w:val="Hyperlink"/>
              </w:rPr>
              <w:t>2.1</w:t>
            </w:r>
            <w:r>
              <w:rPr>
                <w:rFonts w:asciiTheme="minorHAnsi" w:hAnsiTheme="minorHAnsi" w:cstheme="minorBidi"/>
                <w:iCs w:val="0"/>
                <w:kern w:val="2"/>
                <w:sz w:val="24"/>
                <w:szCs w:val="24"/>
                <w:lang w:val="it-IT" w:eastAsia="zh-CN" w:bidi="he-IL"/>
                <w14:ligatures w14:val="standardContextual"/>
              </w:rPr>
              <w:tab/>
            </w:r>
            <w:r w:rsidRPr="000067F7">
              <w:rPr>
                <w:rStyle w:val="Hyperlink"/>
              </w:rPr>
              <w:t>One-way sensitivity analysis</w:t>
            </w:r>
            <w:r>
              <w:rPr>
                <w:webHidden/>
              </w:rPr>
              <w:tab/>
            </w:r>
            <w:r>
              <w:rPr>
                <w:webHidden/>
              </w:rPr>
              <w:fldChar w:fldCharType="begin"/>
            </w:r>
            <w:r>
              <w:rPr>
                <w:webHidden/>
              </w:rPr>
              <w:instrText xml:space="preserve"> PAGEREF _Toc227850344 \h </w:instrText>
            </w:r>
            <w:r>
              <w:rPr>
                <w:webHidden/>
              </w:rPr>
            </w:r>
            <w:r>
              <w:rPr>
                <w:webHidden/>
              </w:rPr>
              <w:fldChar w:fldCharType="separate"/>
            </w:r>
            <w:r w:rsidR="00C85625">
              <w:rPr>
                <w:webHidden/>
              </w:rPr>
              <w:t>13</w:t>
            </w:r>
            <w:r>
              <w:rPr>
                <w:webHidden/>
              </w:rPr>
              <w:fldChar w:fldCharType="end"/>
            </w:r>
          </w:hyperlink>
        </w:p>
        <w:p w14:paraId="01498EBC" w14:textId="6C9F6742" w:rsidR="005F3B75" w:rsidRDefault="005F3B75">
          <w:pPr>
            <w:pStyle w:val="TOC2"/>
            <w:tabs>
              <w:tab w:val="left" w:pos="880"/>
            </w:tabs>
            <w:rPr>
              <w:rFonts w:asciiTheme="minorHAnsi" w:hAnsiTheme="minorHAnsi" w:cstheme="minorBidi"/>
              <w:iCs w:val="0"/>
              <w:kern w:val="2"/>
              <w:sz w:val="24"/>
              <w:szCs w:val="24"/>
              <w:lang w:val="it-IT" w:eastAsia="zh-CN" w:bidi="he-IL"/>
              <w14:ligatures w14:val="standardContextual"/>
            </w:rPr>
          </w:pPr>
          <w:hyperlink w:anchor="_Toc227850345" w:history="1">
            <w:r w:rsidRPr="000067F7">
              <w:rPr>
                <w:rStyle w:val="Hyperlink"/>
              </w:rPr>
              <w:t>2.2</w:t>
            </w:r>
            <w:r>
              <w:rPr>
                <w:rFonts w:asciiTheme="minorHAnsi" w:hAnsiTheme="minorHAnsi" w:cstheme="minorBidi"/>
                <w:iCs w:val="0"/>
                <w:kern w:val="2"/>
                <w:sz w:val="24"/>
                <w:szCs w:val="24"/>
                <w:lang w:val="it-IT" w:eastAsia="zh-CN" w:bidi="he-IL"/>
                <w14:ligatures w14:val="standardContextual"/>
              </w:rPr>
              <w:tab/>
            </w:r>
            <w:r w:rsidRPr="000067F7">
              <w:rPr>
                <w:rStyle w:val="Hyperlink"/>
              </w:rPr>
              <w:t>Scenario analysis</w:t>
            </w:r>
            <w:r>
              <w:rPr>
                <w:webHidden/>
              </w:rPr>
              <w:tab/>
            </w:r>
            <w:r>
              <w:rPr>
                <w:webHidden/>
              </w:rPr>
              <w:fldChar w:fldCharType="begin"/>
            </w:r>
            <w:r>
              <w:rPr>
                <w:webHidden/>
              </w:rPr>
              <w:instrText xml:space="preserve"> PAGEREF _Toc227850345 \h </w:instrText>
            </w:r>
            <w:r>
              <w:rPr>
                <w:webHidden/>
              </w:rPr>
            </w:r>
            <w:r>
              <w:rPr>
                <w:webHidden/>
              </w:rPr>
              <w:fldChar w:fldCharType="separate"/>
            </w:r>
            <w:r w:rsidR="00C85625">
              <w:rPr>
                <w:webHidden/>
              </w:rPr>
              <w:t>13</w:t>
            </w:r>
            <w:r>
              <w:rPr>
                <w:webHidden/>
              </w:rPr>
              <w:fldChar w:fldCharType="end"/>
            </w:r>
          </w:hyperlink>
        </w:p>
        <w:p w14:paraId="7DF576F8" w14:textId="3A493CD2" w:rsidR="005F3B75" w:rsidRDefault="005F3B75" w:rsidP="00155B65">
          <w:pPr>
            <w:pStyle w:val="TOC2"/>
            <w:tabs>
              <w:tab w:val="left" w:pos="880"/>
            </w:tabs>
            <w:spacing w:before="0" w:after="0"/>
            <w:rPr>
              <w:rStyle w:val="Hyperlink"/>
            </w:rPr>
          </w:pPr>
          <w:hyperlink w:anchor="_Toc227850346" w:history="1">
            <w:r w:rsidRPr="000067F7">
              <w:rPr>
                <w:rStyle w:val="Hyperlink"/>
              </w:rPr>
              <w:t>2.3</w:t>
            </w:r>
            <w:r>
              <w:rPr>
                <w:rFonts w:asciiTheme="minorHAnsi" w:hAnsiTheme="minorHAnsi" w:cstheme="minorBidi"/>
                <w:iCs w:val="0"/>
                <w:kern w:val="2"/>
                <w:sz w:val="24"/>
                <w:szCs w:val="24"/>
                <w:lang w:val="it-IT" w:eastAsia="zh-CN" w:bidi="he-IL"/>
                <w14:ligatures w14:val="standardContextual"/>
              </w:rPr>
              <w:tab/>
            </w:r>
            <w:r w:rsidRPr="000067F7">
              <w:rPr>
                <w:rStyle w:val="Hyperlink"/>
              </w:rPr>
              <w:t>Probabilistic sensitivity analysis</w:t>
            </w:r>
            <w:r>
              <w:rPr>
                <w:webHidden/>
              </w:rPr>
              <w:tab/>
            </w:r>
            <w:r>
              <w:rPr>
                <w:webHidden/>
              </w:rPr>
              <w:fldChar w:fldCharType="begin"/>
            </w:r>
            <w:r>
              <w:rPr>
                <w:webHidden/>
              </w:rPr>
              <w:instrText xml:space="preserve"> PAGEREF _Toc227850346 \h </w:instrText>
            </w:r>
            <w:r>
              <w:rPr>
                <w:webHidden/>
              </w:rPr>
            </w:r>
            <w:r>
              <w:rPr>
                <w:webHidden/>
              </w:rPr>
              <w:fldChar w:fldCharType="separate"/>
            </w:r>
            <w:r w:rsidR="00C85625">
              <w:rPr>
                <w:webHidden/>
              </w:rPr>
              <w:t>13</w:t>
            </w:r>
            <w:r>
              <w:rPr>
                <w:webHidden/>
              </w:rPr>
              <w:fldChar w:fldCharType="end"/>
            </w:r>
          </w:hyperlink>
        </w:p>
        <w:p w14:paraId="7203AC9A" w14:textId="6FBE1C37" w:rsidR="00E43C90" w:rsidRPr="009237D5" w:rsidRDefault="00E43C90" w:rsidP="00566D04">
          <w:pPr>
            <w:spacing w:before="0" w:after="0"/>
            <w:ind w:left="720" w:firstLine="131"/>
            <w:rPr>
              <w:i/>
              <w:iCs/>
              <w:noProof/>
            </w:rPr>
          </w:pPr>
          <w:r w:rsidRPr="009237D5">
            <w:rPr>
              <w:i/>
              <w:iCs/>
              <w:noProof/>
            </w:rPr>
            <w:t>Table S7</w:t>
          </w:r>
          <w:r w:rsidR="00985711" w:rsidRPr="009237D5">
            <w:rPr>
              <w:i/>
              <w:iCs/>
              <w:noProof/>
            </w:rPr>
            <w:t xml:space="preserve">. </w:t>
          </w:r>
          <w:r w:rsidR="00155B65" w:rsidRPr="009237D5">
            <w:rPr>
              <w:i/>
              <w:iCs/>
              <w:noProof/>
            </w:rPr>
            <w:t>PSA distributional parameters</w:t>
          </w:r>
        </w:p>
        <w:p w14:paraId="4CE1FC88" w14:textId="26AF2938" w:rsidR="005F3B75" w:rsidRDefault="005F3B75">
          <w:pPr>
            <w:pStyle w:val="TOC1"/>
            <w:tabs>
              <w:tab w:val="left" w:pos="440"/>
              <w:tab w:val="right" w:leader="dot" w:pos="9350"/>
            </w:tabs>
            <w:rPr>
              <w:rFonts w:asciiTheme="minorHAnsi" w:hAnsiTheme="minorHAnsi" w:cstheme="minorBidi"/>
              <w:b w:val="0"/>
              <w:bCs w:val="0"/>
              <w:noProof/>
              <w:kern w:val="2"/>
              <w:sz w:val="24"/>
              <w:szCs w:val="24"/>
              <w:lang w:val="it-IT" w:eastAsia="zh-CN" w:bidi="he-IL"/>
              <w14:ligatures w14:val="standardContextual"/>
            </w:rPr>
          </w:pPr>
          <w:hyperlink w:anchor="_Toc227850347" w:history="1">
            <w:r w:rsidRPr="000067F7">
              <w:rPr>
                <w:rStyle w:val="Hyperlink"/>
                <w:noProof/>
              </w:rPr>
              <w:t>3</w:t>
            </w:r>
            <w:r>
              <w:rPr>
                <w:rFonts w:asciiTheme="minorHAnsi" w:hAnsiTheme="minorHAnsi" w:cstheme="minorBidi"/>
                <w:b w:val="0"/>
                <w:bCs w:val="0"/>
                <w:noProof/>
                <w:kern w:val="2"/>
                <w:sz w:val="24"/>
                <w:szCs w:val="24"/>
                <w:lang w:val="it-IT" w:eastAsia="zh-CN" w:bidi="he-IL"/>
                <w14:ligatures w14:val="standardContextual"/>
              </w:rPr>
              <w:tab/>
            </w:r>
            <w:r w:rsidRPr="000067F7">
              <w:rPr>
                <w:rStyle w:val="Hyperlink"/>
                <w:noProof/>
              </w:rPr>
              <w:t>Supplementary Material References 1</w:t>
            </w:r>
            <w:r>
              <w:rPr>
                <w:noProof/>
                <w:webHidden/>
              </w:rPr>
              <w:tab/>
            </w:r>
            <w:r>
              <w:rPr>
                <w:noProof/>
                <w:webHidden/>
              </w:rPr>
              <w:fldChar w:fldCharType="begin"/>
            </w:r>
            <w:r>
              <w:rPr>
                <w:noProof/>
                <w:webHidden/>
              </w:rPr>
              <w:instrText xml:space="preserve"> PAGEREF _Toc227850347 \h </w:instrText>
            </w:r>
            <w:r>
              <w:rPr>
                <w:noProof/>
                <w:webHidden/>
              </w:rPr>
            </w:r>
            <w:r>
              <w:rPr>
                <w:noProof/>
                <w:webHidden/>
              </w:rPr>
              <w:fldChar w:fldCharType="separate"/>
            </w:r>
            <w:r w:rsidR="00C85625">
              <w:rPr>
                <w:noProof/>
                <w:webHidden/>
              </w:rPr>
              <w:t>17</w:t>
            </w:r>
            <w:r>
              <w:rPr>
                <w:noProof/>
                <w:webHidden/>
              </w:rPr>
              <w:fldChar w:fldCharType="end"/>
            </w:r>
          </w:hyperlink>
        </w:p>
        <w:p w14:paraId="32133CB5" w14:textId="7BB205E6" w:rsidR="000937D6" w:rsidRDefault="000937D6">
          <w:r>
            <w:rPr>
              <w:b/>
              <w:bCs/>
              <w:noProof/>
            </w:rPr>
            <w:fldChar w:fldCharType="end"/>
          </w:r>
        </w:p>
      </w:sdtContent>
    </w:sdt>
    <w:p w14:paraId="0E13297A" w14:textId="7FE81E9D" w:rsidR="00E712CA" w:rsidRDefault="00E712CA">
      <w:pPr>
        <w:spacing w:before="0" w:after="0"/>
        <w:rPr>
          <w:sz w:val="20"/>
          <w:szCs w:val="20"/>
        </w:rPr>
      </w:pPr>
      <w:r>
        <w:rPr>
          <w:sz w:val="20"/>
          <w:szCs w:val="20"/>
        </w:rPr>
        <w:br w:type="page"/>
      </w:r>
    </w:p>
    <w:p w14:paraId="102AD99B" w14:textId="58A1C461" w:rsidR="00F71967" w:rsidRPr="00851097" w:rsidRDefault="005F3B75" w:rsidP="009A1111">
      <w:pPr>
        <w:pStyle w:val="Heading1"/>
        <w:numPr>
          <w:ilvl w:val="0"/>
          <w:numId w:val="18"/>
        </w:numPr>
      </w:pPr>
      <w:bookmarkStart w:id="1" w:name="_Toc197964048"/>
      <w:bookmarkStart w:id="2" w:name="_Toc227850333"/>
      <w:r>
        <w:rPr>
          <w:caps w:val="0"/>
        </w:rPr>
        <w:t xml:space="preserve">Supplementary </w:t>
      </w:r>
      <w:r w:rsidRPr="00851097">
        <w:rPr>
          <w:caps w:val="0"/>
        </w:rPr>
        <w:t>Model Inputs</w:t>
      </w:r>
      <w:bookmarkEnd w:id="1"/>
      <w:r>
        <w:rPr>
          <w:caps w:val="0"/>
        </w:rPr>
        <w:t xml:space="preserve"> 1</w:t>
      </w:r>
      <w:bookmarkEnd w:id="2"/>
    </w:p>
    <w:p w14:paraId="56EAD032" w14:textId="77777777" w:rsidR="00F71967" w:rsidRPr="00A45681" w:rsidRDefault="00F71967" w:rsidP="00405210">
      <w:pPr>
        <w:pStyle w:val="Heading2"/>
      </w:pPr>
      <w:bookmarkStart w:id="3" w:name="_Toc183525245"/>
      <w:bookmarkStart w:id="4" w:name="_Toc197964049"/>
      <w:bookmarkStart w:id="5" w:name="_Toc227850334"/>
      <w:r w:rsidRPr="00A45681">
        <w:t>Patient demographics</w:t>
      </w:r>
      <w:bookmarkEnd w:id="3"/>
      <w:bookmarkEnd w:id="4"/>
      <w:bookmarkEnd w:id="5"/>
    </w:p>
    <w:p w14:paraId="0941F38C" w14:textId="77777777" w:rsidR="00F71967" w:rsidRPr="00A45681" w:rsidRDefault="00F71967" w:rsidP="00F71967">
      <w:r>
        <w:t>M</w:t>
      </w:r>
      <w:r w:rsidRPr="00A45681">
        <w:t xml:space="preserve">odel </w:t>
      </w:r>
      <w:r>
        <w:t xml:space="preserve">patient </w:t>
      </w:r>
      <w:r w:rsidRPr="00A45681">
        <w:t xml:space="preserve">demographics included the mean age at baseline </w:t>
      </w:r>
      <w:r>
        <w:t xml:space="preserve">(56 years) </w:t>
      </w:r>
      <w:r w:rsidRPr="00A45681">
        <w:t>and the proportion of female patients</w:t>
      </w:r>
      <w:r>
        <w:t xml:space="preserve"> (53%)</w:t>
      </w:r>
      <w:r w:rsidRPr="00A45681">
        <w:t xml:space="preserve"> in the cohort as gathered during the </w:t>
      </w:r>
      <w:bookmarkStart w:id="6" w:name="_Toc183525246"/>
      <w:r>
        <w:t>K</w:t>
      </w:r>
      <w:r w:rsidRPr="00034153">
        <w:t>allewaard</w:t>
      </w:r>
      <w:r>
        <w:t xml:space="preserve"> randomized controlled trial (RCT).</w:t>
      </w:r>
      <w:r>
        <w:fldChar w:fldCharType="begin"/>
      </w:r>
      <w:r>
        <w:instrText>ADDIN BEC{Kallewaard et al., 2024 #168327}</w:instrText>
      </w:r>
      <w:r>
        <w:fldChar w:fldCharType="separate"/>
      </w:r>
      <w:r>
        <w:rPr>
          <w:vertAlign w:val="superscript"/>
        </w:rPr>
        <w:t>1</w:t>
      </w:r>
      <w:r>
        <w:fldChar w:fldCharType="end"/>
      </w:r>
      <w:bookmarkEnd w:id="6"/>
    </w:p>
    <w:p w14:paraId="4228EC1E" w14:textId="77777777" w:rsidR="00F71967" w:rsidRPr="00BB576B" w:rsidRDefault="00F71967" w:rsidP="009C4B2C">
      <w:pPr>
        <w:pStyle w:val="Heading2"/>
      </w:pPr>
      <w:bookmarkStart w:id="7" w:name="_Toc183525247"/>
      <w:bookmarkStart w:id="8" w:name="_Toc197964050"/>
      <w:bookmarkStart w:id="9" w:name="_Toc227850335"/>
      <w:r w:rsidRPr="00BB576B">
        <w:t>Short-term efficacy</w:t>
      </w:r>
      <w:bookmarkEnd w:id="7"/>
      <w:bookmarkEnd w:id="8"/>
      <w:bookmarkEnd w:id="9"/>
    </w:p>
    <w:p w14:paraId="36F725D2" w14:textId="57F375BD" w:rsidR="00F71967" w:rsidRDefault="00F71967" w:rsidP="00F71967">
      <w:r w:rsidRPr="00F71256">
        <w:t>Short-term efficacy data for both treatment arms were taken from the Kallewaard RCT and are summarized in Table S1.</w:t>
      </w:r>
      <w:r>
        <w:fldChar w:fldCharType="begin"/>
      </w:r>
      <w:r>
        <w:instrText>ADDIN BEC{Kallewaard et al., 2024 #168327}</w:instrText>
      </w:r>
      <w:r>
        <w:fldChar w:fldCharType="separate"/>
      </w:r>
      <w:r>
        <w:rPr>
          <w:vertAlign w:val="superscript"/>
        </w:rPr>
        <w:t>1</w:t>
      </w:r>
      <w:r>
        <w:fldChar w:fldCharType="end"/>
      </w:r>
      <w:r>
        <w:t xml:space="preserve"> </w:t>
      </w:r>
      <w:r w:rsidRPr="00F71256">
        <w:t xml:space="preserve">Efficacy data were available for the DTM-SCS arm through 24-months. However, after the optional cross-over designed into the trial, only 5 participants remained in the </w:t>
      </w:r>
      <w:r w:rsidR="005E2C3B">
        <w:t>conventional</w:t>
      </w:r>
      <w:r>
        <w:t xml:space="preserve"> medical management (</w:t>
      </w:r>
      <w:r w:rsidRPr="00F71256">
        <w:t>CMM</w:t>
      </w:r>
      <w:r>
        <w:t>)</w:t>
      </w:r>
      <w:r w:rsidRPr="00F71256">
        <w:t xml:space="preserve"> arm beyond </w:t>
      </w:r>
      <w:proofErr w:type="gramStart"/>
      <w:r w:rsidRPr="00F71256">
        <w:t>6-months</w:t>
      </w:r>
      <w:proofErr w:type="gramEnd"/>
      <w:r w:rsidRPr="00F71256">
        <w:t>. Therefore, the present study modeled the RCT’s modified intent-to-treat population and assumed that the 6-month efficacy data for the CMM group remained constant throughout the 24-month decision-tree phase.</w:t>
      </w:r>
    </w:p>
    <w:p w14:paraId="4272CAD9" w14:textId="77777777" w:rsidR="00F71967" w:rsidRDefault="00F71967" w:rsidP="00F71967">
      <w:r>
        <w:t>During the</w:t>
      </w:r>
      <w:r w:rsidRPr="00034153">
        <w:t xml:space="preserve"> Kallewaard</w:t>
      </w:r>
      <w:r>
        <w:t xml:space="preserve"> RCT, </w:t>
      </w:r>
      <w:r w:rsidRPr="00A45681">
        <w:t>94.1% of DTM</w:t>
      </w:r>
      <w:r>
        <w:t>-SCS</w:t>
      </w:r>
      <w:r w:rsidRPr="00A45681">
        <w:t xml:space="preserve"> patients had a successful trial period, but only 92.2% </w:t>
      </w:r>
      <w:r>
        <w:t>received an</w:t>
      </w:r>
      <w:r w:rsidRPr="00A45681">
        <w:t xml:space="preserve"> implanted</w:t>
      </w:r>
      <w:r>
        <w:t xml:space="preserve"> device</w:t>
      </w:r>
      <w:r w:rsidRPr="00A45681">
        <w:t>.</w:t>
      </w:r>
      <w:r>
        <w:fldChar w:fldCharType="begin"/>
      </w:r>
      <w:r>
        <w:instrText>ADDIN BEC{Kallewaard et al., 2024 #168327}</w:instrText>
      </w:r>
      <w:r>
        <w:fldChar w:fldCharType="separate"/>
      </w:r>
      <w:r>
        <w:rPr>
          <w:vertAlign w:val="superscript"/>
        </w:rPr>
        <w:t>1</w:t>
      </w:r>
      <w:r>
        <w:fldChar w:fldCharType="end"/>
      </w:r>
      <w:r>
        <w:t xml:space="preserve"> In the </w:t>
      </w:r>
      <w:r w:rsidRPr="00A45681">
        <w:t>base</w:t>
      </w:r>
      <w:r>
        <w:t>-</w:t>
      </w:r>
      <w:r w:rsidRPr="00A45681">
        <w:t>case model</w:t>
      </w:r>
      <w:r>
        <w:t xml:space="preserve"> of the current study</w:t>
      </w:r>
      <w:r w:rsidRPr="00A45681">
        <w:t xml:space="preserve">, </w:t>
      </w:r>
      <w:r>
        <w:t>it was</w:t>
      </w:r>
      <w:r w:rsidRPr="00A45681">
        <w:t xml:space="preserve"> assumed that </w:t>
      </w:r>
      <w:r>
        <w:t xml:space="preserve">100% of </w:t>
      </w:r>
      <w:r w:rsidRPr="00A45681">
        <w:t>patients</w:t>
      </w:r>
      <w:r>
        <w:t xml:space="preserve"> with a successful received a device</w:t>
      </w:r>
      <w:r w:rsidRPr="00A45681">
        <w:t xml:space="preserve"> implant.</w:t>
      </w:r>
      <w:r>
        <w:t xml:space="preserve"> The actual, lower rate of implantation was used for a scenario analysis.</w:t>
      </w:r>
    </w:p>
    <w:p w14:paraId="48DCAD57" w14:textId="77777777" w:rsidR="00F71967" w:rsidRPr="00A45681" w:rsidRDefault="00F71967" w:rsidP="00F71967">
      <w:r>
        <w:t xml:space="preserve">At the end of the 24-month follow-up period of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r>
        <w:t xml:space="preserve"> </w:t>
      </w:r>
      <w:r w:rsidRPr="00A45681">
        <w:t xml:space="preserve">88% of </w:t>
      </w:r>
      <w:r>
        <w:t>DTM-SCS</w:t>
      </w:r>
      <w:r w:rsidRPr="00A45681">
        <w:t xml:space="preserve"> patients </w:t>
      </w:r>
      <w:r>
        <w:t xml:space="preserve">had </w:t>
      </w:r>
      <w:r w:rsidRPr="00A45681">
        <w:t xml:space="preserve">achieved optimal pain relief and 65% </w:t>
      </w:r>
      <w:r>
        <w:t xml:space="preserve">had achieved </w:t>
      </w:r>
      <w:r w:rsidRPr="00A45681">
        <w:t>profound</w:t>
      </w:r>
      <w:r>
        <w:t xml:space="preserve"> relief</w:t>
      </w:r>
      <w:r w:rsidRPr="00A45681">
        <w:t xml:space="preserve"> (</w:t>
      </w:r>
      <w:r>
        <w:t>defined as</w:t>
      </w:r>
      <w:r w:rsidRPr="00A45681">
        <w:t xml:space="preserve"> &gt;</w:t>
      </w:r>
      <w:r>
        <w:t xml:space="preserve"> </w:t>
      </w:r>
      <w:r w:rsidRPr="00A45681">
        <w:t xml:space="preserve">79% reduction in </w:t>
      </w:r>
      <w:r>
        <w:t>visual analog score [</w:t>
      </w:r>
      <w:r w:rsidRPr="00A45681">
        <w:t>VAS</w:t>
      </w:r>
      <w:r>
        <w:t>]</w:t>
      </w:r>
      <w:r w:rsidRPr="00A45681">
        <w:t xml:space="preserve">). </w:t>
      </w:r>
      <w:r>
        <w:t>At</w:t>
      </w:r>
      <w:r w:rsidRPr="00A45681">
        <w:t xml:space="preserve"> the 6-month endpoint</w:t>
      </w:r>
      <w:r>
        <w:t xml:space="preserve">, </w:t>
      </w:r>
      <w:r w:rsidRPr="00A45681">
        <w:t xml:space="preserve">3.6% of CMM patients had </w:t>
      </w:r>
      <w:r>
        <w:t xml:space="preserve">achieved </w:t>
      </w:r>
      <w:r w:rsidRPr="00A45681">
        <w:t>optimal pain relief</w:t>
      </w:r>
      <w:r>
        <w:t xml:space="preserve"> </w:t>
      </w:r>
      <w:r w:rsidRPr="00A45681">
        <w:t xml:space="preserve">and none had </w:t>
      </w:r>
      <w:r>
        <w:t xml:space="preserve">achieved </w:t>
      </w:r>
      <w:r w:rsidRPr="00A45681">
        <w:t>profound pain relief.</w:t>
      </w:r>
      <w:bookmarkStart w:id="10" w:name="_Ref114220677"/>
    </w:p>
    <w:bookmarkEnd w:id="10"/>
    <w:p w14:paraId="087AD388" w14:textId="17687034" w:rsidR="00FE1847" w:rsidRPr="009A1111" w:rsidRDefault="00FE1847" w:rsidP="009A1111">
      <w:pPr>
        <w:pStyle w:val="TableText"/>
        <w:rPr>
          <w:b/>
          <w:bCs/>
        </w:rPr>
      </w:pPr>
      <w:r w:rsidRPr="009A1111">
        <w:rPr>
          <w:b/>
          <w:bCs/>
        </w:rPr>
        <w:t xml:space="preserve">Table </w:t>
      </w:r>
      <w:r w:rsidR="004744BC" w:rsidRPr="009A1111">
        <w:rPr>
          <w:b/>
          <w:bCs/>
        </w:rPr>
        <w:t>S</w:t>
      </w:r>
      <w:r w:rsidRPr="009A1111">
        <w:rPr>
          <w:b/>
          <w:bCs/>
        </w:rPr>
        <w:fldChar w:fldCharType="begin"/>
      </w:r>
      <w:r w:rsidRPr="009A1111">
        <w:rPr>
          <w:b/>
          <w:bCs/>
        </w:rPr>
        <w:instrText xml:space="preserve"> SEQ Table \* ARABIC </w:instrText>
      </w:r>
      <w:r w:rsidRPr="009A1111">
        <w:rPr>
          <w:b/>
          <w:bCs/>
        </w:rPr>
        <w:fldChar w:fldCharType="separate"/>
      </w:r>
      <w:r w:rsidRPr="009A1111">
        <w:rPr>
          <w:b/>
          <w:bCs/>
          <w:noProof/>
        </w:rPr>
        <w:t>1</w:t>
      </w:r>
      <w:r w:rsidRPr="009A1111">
        <w:rPr>
          <w:b/>
          <w:bCs/>
        </w:rPr>
        <w:fldChar w:fldCharType="end"/>
      </w:r>
      <w:r w:rsidRPr="009A1111">
        <w:rPr>
          <w:b/>
          <w:bCs/>
          <w:noProof/>
        </w:rPr>
        <w:t>. Efficacy probabilities used in model, decision tree phase</w:t>
      </w:r>
    </w:p>
    <w:tbl>
      <w:tblPr>
        <w:tblStyle w:val="GridTable1Light"/>
        <w:tblW w:w="0" w:type="auto"/>
        <w:tblLook w:val="04A0" w:firstRow="1" w:lastRow="0" w:firstColumn="1" w:lastColumn="0" w:noHBand="0" w:noVBand="1"/>
      </w:tblPr>
      <w:tblGrid>
        <w:gridCol w:w="3325"/>
        <w:gridCol w:w="1170"/>
        <w:gridCol w:w="4855"/>
      </w:tblGrid>
      <w:tr w:rsidR="00F71967" w:rsidRPr="00A45681" w14:paraId="19113661"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25" w:type="dxa"/>
            <w:hideMark/>
          </w:tcPr>
          <w:p w14:paraId="7EC41820" w14:textId="77777777" w:rsidR="00F71967" w:rsidRPr="00A45681" w:rsidRDefault="00F71967">
            <w:pPr>
              <w:pStyle w:val="TableText"/>
              <w:keepNext/>
              <w:rPr>
                <w:b w:val="0"/>
                <w:bCs w:val="0"/>
              </w:rPr>
            </w:pPr>
            <w:r w:rsidRPr="00A45681">
              <w:t>Parameter</w:t>
            </w:r>
          </w:p>
        </w:tc>
        <w:tc>
          <w:tcPr>
            <w:tcW w:w="1170" w:type="dxa"/>
            <w:hideMark/>
          </w:tcPr>
          <w:p w14:paraId="43DE8AA5"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Value</w:t>
            </w:r>
          </w:p>
        </w:tc>
        <w:tc>
          <w:tcPr>
            <w:tcW w:w="4855" w:type="dxa"/>
            <w:hideMark/>
          </w:tcPr>
          <w:p w14:paraId="4B79C1EB"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Comment(s)</w:t>
            </w:r>
          </w:p>
        </w:tc>
      </w:tr>
      <w:tr w:rsidR="00F71967" w:rsidRPr="00A45681" w14:paraId="452E7601"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445FF131" w14:textId="77777777" w:rsidR="00F71967" w:rsidRPr="00A45681" w:rsidRDefault="00F71967">
            <w:pPr>
              <w:pStyle w:val="TableText"/>
            </w:pPr>
            <w:r w:rsidRPr="00A45681">
              <w:t>Test stimulation phase success</w:t>
            </w:r>
            <w:r>
              <w:t xml:space="preserve">, </w:t>
            </w:r>
            <w:r w:rsidRPr="00A45681">
              <w:t>DTM-SCS group</w:t>
            </w:r>
          </w:p>
        </w:tc>
        <w:tc>
          <w:tcPr>
            <w:tcW w:w="1170" w:type="dxa"/>
            <w:hideMark/>
          </w:tcPr>
          <w:p w14:paraId="2FB4C95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94.1%</w:t>
            </w:r>
          </w:p>
        </w:tc>
        <w:tc>
          <w:tcPr>
            <w:tcW w:w="4855" w:type="dxa"/>
            <w:hideMark/>
          </w:tcPr>
          <w:p w14:paraId="459D78C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Use in base</w:t>
            </w:r>
            <w:r>
              <w:t>-</w:t>
            </w:r>
            <w:r w:rsidRPr="00A45681">
              <w:t>case analyses</w:t>
            </w:r>
          </w:p>
        </w:tc>
      </w:tr>
      <w:tr w:rsidR="00F71967" w:rsidRPr="00A45681" w14:paraId="2B2A3C5A"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2271E1CD" w14:textId="77777777" w:rsidR="00F71967" w:rsidRPr="00A45681" w:rsidRDefault="00F71967">
            <w:pPr>
              <w:pStyle w:val="TableText"/>
            </w:pPr>
            <w:r w:rsidRPr="00A45681">
              <w:t>Full system implant rate</w:t>
            </w:r>
            <w:r>
              <w:t xml:space="preserve">, </w:t>
            </w:r>
            <w:r w:rsidRPr="00A45681">
              <w:t>DTM-SCS group</w:t>
            </w:r>
          </w:p>
        </w:tc>
        <w:tc>
          <w:tcPr>
            <w:tcW w:w="1170" w:type="dxa"/>
            <w:hideMark/>
          </w:tcPr>
          <w:p w14:paraId="05F03C5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92.2%</w:t>
            </w:r>
          </w:p>
        </w:tc>
        <w:tc>
          <w:tcPr>
            <w:tcW w:w="4855" w:type="dxa"/>
            <w:hideMark/>
          </w:tcPr>
          <w:p w14:paraId="6C48427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Used in scenario analysis, Proportion of patients who began the trial stimulation phase who then underwent full system implant</w:t>
            </w:r>
          </w:p>
        </w:tc>
      </w:tr>
      <w:tr w:rsidR="00F71967" w:rsidRPr="00A45681" w14:paraId="51C9DFFB"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0E5A04DE" w14:textId="77777777" w:rsidR="00F71967" w:rsidRPr="00A45681" w:rsidRDefault="00F71967">
            <w:pPr>
              <w:pStyle w:val="TableText"/>
            </w:pPr>
            <w:r w:rsidRPr="00A45681">
              <w:t>Optimal pain relief at 24m</w:t>
            </w:r>
            <w:r>
              <w:t xml:space="preserve">, </w:t>
            </w:r>
            <w:r w:rsidRPr="00A45681">
              <w:t>DTM-SCS</w:t>
            </w:r>
          </w:p>
        </w:tc>
        <w:tc>
          <w:tcPr>
            <w:tcW w:w="1170" w:type="dxa"/>
            <w:hideMark/>
          </w:tcPr>
          <w:p w14:paraId="2E7966A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88.4%</w:t>
            </w:r>
          </w:p>
        </w:tc>
        <w:tc>
          <w:tcPr>
            <w:tcW w:w="4855" w:type="dxa"/>
            <w:hideMark/>
          </w:tcPr>
          <w:p w14:paraId="026402B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Used in base-case analysis. As a % of patients undergoing full system implant</w:t>
            </w:r>
          </w:p>
        </w:tc>
      </w:tr>
      <w:tr w:rsidR="00F71967" w:rsidRPr="00A45681" w14:paraId="2FAEC888"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48A2796D" w14:textId="77777777" w:rsidR="00F71967" w:rsidRPr="00A45681" w:rsidRDefault="00F71967">
            <w:pPr>
              <w:pStyle w:val="TableText"/>
            </w:pPr>
            <w:r w:rsidRPr="00A45681">
              <w:t>Optimal pain relief at 6m</w:t>
            </w:r>
            <w:r>
              <w:t xml:space="preserve">, </w:t>
            </w:r>
            <w:r w:rsidRPr="00A45681">
              <w:t>CMM</w:t>
            </w:r>
          </w:p>
        </w:tc>
        <w:tc>
          <w:tcPr>
            <w:tcW w:w="1170" w:type="dxa"/>
            <w:hideMark/>
          </w:tcPr>
          <w:p w14:paraId="1C1921E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3.6%</w:t>
            </w:r>
          </w:p>
        </w:tc>
        <w:tc>
          <w:tcPr>
            <w:tcW w:w="4855" w:type="dxa"/>
            <w:hideMark/>
          </w:tcPr>
          <w:p w14:paraId="0B35F2C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Used in base-case analysis</w:t>
            </w:r>
          </w:p>
        </w:tc>
      </w:tr>
      <w:tr w:rsidR="00F71967" w:rsidRPr="00A45681" w14:paraId="2D5111EF"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5F4FCAE4" w14:textId="77777777" w:rsidR="00F71967" w:rsidRPr="00A45681" w:rsidRDefault="00F71967">
            <w:pPr>
              <w:pStyle w:val="TableText"/>
            </w:pPr>
            <w:r w:rsidRPr="00A45681">
              <w:t>Profound pain relief at 24m</w:t>
            </w:r>
            <w:r>
              <w:t xml:space="preserve">, </w:t>
            </w:r>
            <w:r w:rsidRPr="00A45681">
              <w:t xml:space="preserve">DTM-SCS </w:t>
            </w:r>
            <w:r w:rsidRPr="00A45681">
              <w:rPr>
                <w:vertAlign w:val="superscript"/>
              </w:rPr>
              <w:t>*</w:t>
            </w:r>
          </w:p>
        </w:tc>
        <w:tc>
          <w:tcPr>
            <w:tcW w:w="1170" w:type="dxa"/>
            <w:hideMark/>
          </w:tcPr>
          <w:p w14:paraId="1327839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60.</w:t>
            </w:r>
            <w:r>
              <w:t>1</w:t>
            </w:r>
            <w:r w:rsidRPr="00A45681">
              <w:t>%</w:t>
            </w:r>
          </w:p>
        </w:tc>
        <w:tc>
          <w:tcPr>
            <w:tcW w:w="4855" w:type="dxa"/>
            <w:hideMark/>
          </w:tcPr>
          <w:p w14:paraId="6DF00DD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Used only in scenario analysis</w:t>
            </w:r>
          </w:p>
        </w:tc>
      </w:tr>
      <w:tr w:rsidR="00F71967" w:rsidRPr="00A45681" w14:paraId="41840AC5" w14:textId="77777777">
        <w:trPr>
          <w:trHeight w:val="864"/>
        </w:trPr>
        <w:tc>
          <w:tcPr>
            <w:cnfStyle w:val="001000000000" w:firstRow="0" w:lastRow="0" w:firstColumn="1" w:lastColumn="0" w:oddVBand="0" w:evenVBand="0" w:oddHBand="0" w:evenHBand="0" w:firstRowFirstColumn="0" w:firstRowLastColumn="0" w:lastRowFirstColumn="0" w:lastRowLastColumn="0"/>
            <w:tcW w:w="3325" w:type="dxa"/>
            <w:hideMark/>
          </w:tcPr>
          <w:p w14:paraId="1A29C349" w14:textId="77777777" w:rsidR="00F71967" w:rsidRPr="00A45681" w:rsidRDefault="00F71967">
            <w:pPr>
              <w:pStyle w:val="TableText"/>
              <w:keepNext/>
            </w:pPr>
            <w:r w:rsidRPr="00A45681">
              <w:t>Profound pain relief at 6m</w:t>
            </w:r>
            <w:r>
              <w:t xml:space="preserve">, </w:t>
            </w:r>
            <w:r w:rsidRPr="00A45681">
              <w:t>CMM</w:t>
            </w:r>
          </w:p>
        </w:tc>
        <w:tc>
          <w:tcPr>
            <w:tcW w:w="1170" w:type="dxa"/>
            <w:hideMark/>
          </w:tcPr>
          <w:p w14:paraId="4F35899B"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0</w:t>
            </w:r>
            <w:r>
              <w:t>.0</w:t>
            </w:r>
            <w:r w:rsidRPr="00A45681">
              <w:t>%</w:t>
            </w:r>
          </w:p>
        </w:tc>
        <w:tc>
          <w:tcPr>
            <w:tcW w:w="4855" w:type="dxa"/>
            <w:hideMark/>
          </w:tcPr>
          <w:p w14:paraId="53ECE117" w14:textId="77777777" w:rsidR="00F71967" w:rsidRPr="00A45681" w:rsidRDefault="00F71967" w:rsidP="00D86162">
            <w:pPr>
              <w:pStyle w:val="TableText"/>
              <w:keepNext/>
              <w:cnfStyle w:val="000000000000" w:firstRow="0" w:lastRow="0" w:firstColumn="0" w:lastColumn="0" w:oddVBand="0" w:evenVBand="0" w:oddHBand="0" w:evenHBand="0" w:firstRowFirstColumn="0" w:firstRowLastColumn="0" w:lastRowFirstColumn="0" w:lastRowLastColumn="0"/>
            </w:pPr>
            <w:r w:rsidRPr="00A45681">
              <w:t>Used only in scenario analysis</w:t>
            </w:r>
          </w:p>
        </w:tc>
      </w:tr>
    </w:tbl>
    <w:p w14:paraId="019DF220" w14:textId="77777777" w:rsidR="00F71967" w:rsidRPr="009A1111" w:rsidRDefault="00F71967" w:rsidP="00F71967">
      <w:pPr>
        <w:pStyle w:val="Tablefooter"/>
        <w:rPr>
          <w:i w:val="0"/>
          <w:iCs w:val="0"/>
        </w:rPr>
      </w:pPr>
      <w:proofErr w:type="gramStart"/>
      <w:r w:rsidRPr="004C1784">
        <w:rPr>
          <w:lang w:val="fr-FR"/>
        </w:rPr>
        <w:t>Source:</w:t>
      </w:r>
      <w:proofErr w:type="gramEnd"/>
      <w:r w:rsidRPr="004C1784">
        <w:rPr>
          <w:lang w:val="fr-FR"/>
        </w:rPr>
        <w:t xml:space="preserve"> Kallewaard JW, Billet B, Van Paesschen R et al. </w:t>
      </w:r>
      <w:r w:rsidRPr="00C15839">
        <w:t xml:space="preserve">European randomized controlled trial evaluating differential target multiplexed spinal cord stimulation and conventional medical management in subjects with persistent back pain ineligible for spine surgery: 24-month results. </w:t>
      </w:r>
      <w:proofErr w:type="spellStart"/>
      <w:r w:rsidRPr="00C15839">
        <w:t>Eur</w:t>
      </w:r>
      <w:proofErr w:type="spellEnd"/>
      <w:r w:rsidRPr="00C15839">
        <w:t xml:space="preserve"> J Pain. </w:t>
      </w:r>
      <w:proofErr w:type="gramStart"/>
      <w:r w:rsidRPr="00C15839">
        <w:t>2024;28:1745</w:t>
      </w:r>
      <w:proofErr w:type="gramEnd"/>
      <w:r w:rsidRPr="00C15839">
        <w:t>-1761.</w:t>
      </w:r>
    </w:p>
    <w:p w14:paraId="235E5ED6" w14:textId="77777777" w:rsidR="00F71967" w:rsidRPr="009A1111" w:rsidRDefault="00F71967" w:rsidP="00F71967">
      <w:pPr>
        <w:pStyle w:val="Heading2"/>
      </w:pPr>
      <w:bookmarkStart w:id="11" w:name="_Toc183525248"/>
      <w:bookmarkStart w:id="12" w:name="_Toc197964052"/>
      <w:bookmarkStart w:id="13" w:name="_Toc227850336"/>
      <w:r w:rsidRPr="00291D8B">
        <w:t>Long-term efficacy</w:t>
      </w:r>
      <w:bookmarkEnd w:id="11"/>
      <w:bookmarkEnd w:id="12"/>
      <w:bookmarkEnd w:id="13"/>
    </w:p>
    <w:p w14:paraId="76690DD5" w14:textId="77777777" w:rsidR="00F71967" w:rsidRPr="002D5C8B" w:rsidRDefault="00F71967" w:rsidP="00F71967">
      <w:r w:rsidRPr="002D5C8B">
        <w:t xml:space="preserve">Consistent with the </w:t>
      </w:r>
      <w:r>
        <w:t xml:space="preserve">2010 NHS </w:t>
      </w:r>
      <w:r w:rsidRPr="002D5C8B">
        <w:t>mode</w:t>
      </w:r>
      <w:r>
        <w:t>l</w:t>
      </w:r>
      <w:r w:rsidRPr="002D5C8B">
        <w:t>,</w:t>
      </w:r>
      <w:r>
        <w:fldChar w:fldCharType="begin"/>
      </w:r>
      <w:r>
        <w:instrText>ADDIN BEC{Taylor et al., 2010 #16059}</w:instrText>
      </w:r>
      <w:r>
        <w:fldChar w:fldCharType="separate"/>
      </w:r>
      <w:r>
        <w:rPr>
          <w:vertAlign w:val="superscript"/>
        </w:rPr>
        <w:t>2</w:t>
      </w:r>
      <w:r>
        <w:fldChar w:fldCharType="end"/>
      </w:r>
      <w:r w:rsidRPr="002D5C8B">
        <w:t xml:space="preserve"> the </w:t>
      </w:r>
      <w:r>
        <w:t xml:space="preserve">current </w:t>
      </w:r>
      <w:r w:rsidRPr="002D5C8B">
        <w:t xml:space="preserve">model did not allow patients to transition between the optimal and sub-optimal pain relief states beyond the end of the </w:t>
      </w:r>
      <w:r>
        <w:t xml:space="preserve">24-month </w:t>
      </w:r>
      <w:r w:rsidRPr="002D5C8B">
        <w:t>decision</w:t>
      </w:r>
      <w:r>
        <w:t>-</w:t>
      </w:r>
      <w:r w:rsidRPr="002D5C8B">
        <w:t>tree phase. This assumption was applied in both treatment groups.</w:t>
      </w:r>
    </w:p>
    <w:p w14:paraId="3744A4C5" w14:textId="77777777" w:rsidR="00F71967" w:rsidRPr="002D5C8B" w:rsidRDefault="00F71967" w:rsidP="00F71967">
      <w:pPr>
        <w:pStyle w:val="Heading2"/>
      </w:pPr>
      <w:bookmarkStart w:id="14" w:name="_Toc183525249"/>
      <w:bookmarkStart w:id="15" w:name="_Toc197964053"/>
      <w:bookmarkStart w:id="16" w:name="_Toc227850337"/>
      <w:r>
        <w:t>SCS</w:t>
      </w:r>
      <w:r w:rsidRPr="002D5C8B">
        <w:t xml:space="preserve"> therapy discontinuation</w:t>
      </w:r>
      <w:bookmarkEnd w:id="14"/>
      <w:bookmarkEnd w:id="15"/>
      <w:bookmarkEnd w:id="16"/>
    </w:p>
    <w:p w14:paraId="5F71E983" w14:textId="77777777" w:rsidR="00F71967" w:rsidRPr="00A45681" w:rsidRDefault="00F71967" w:rsidP="00F71967">
      <w:r w:rsidRPr="00A45681">
        <w:t>Discontinuation from</w:t>
      </w:r>
      <w:r>
        <w:t xml:space="preserve"> DTM-SCS</w:t>
      </w:r>
      <w:r w:rsidRPr="00A45681">
        <w:t xml:space="preserve"> therapy was modeled as an ongoing risk, with separate data used during the decision</w:t>
      </w:r>
      <w:r>
        <w:t>-</w:t>
      </w:r>
      <w:r w:rsidRPr="00A45681">
        <w:t xml:space="preserve">tree and Markov phases. In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r w:rsidRPr="00A45681">
        <w:t xml:space="preserve"> 15.7% of implanted patients discontinued therapy within the first 24 months. Beyond 24 months, data from a European</w:t>
      </w:r>
      <w:r>
        <w:t>,</w:t>
      </w:r>
      <w:r w:rsidRPr="00A45681">
        <w:t xml:space="preserve"> retrospective chart</w:t>
      </w:r>
      <w:r>
        <w:t xml:space="preserve"> </w:t>
      </w:r>
      <w:r w:rsidRPr="00A45681">
        <w:t>review were used to calculate a per-cycle (per 3 months) probability of device explant, which was held constant for the remainder of the model horizon.</w:t>
      </w:r>
      <w:r>
        <w:fldChar w:fldCharType="begin"/>
      </w:r>
      <w:r>
        <w:instrText>ADDIN BEC{Van Buyten et al., 2017 #7700}</w:instrText>
      </w:r>
      <w:r>
        <w:fldChar w:fldCharType="separate"/>
      </w:r>
      <w:r>
        <w:rPr>
          <w:vertAlign w:val="superscript"/>
        </w:rPr>
        <w:t>3</w:t>
      </w:r>
      <w:r>
        <w:fldChar w:fldCharType="end"/>
      </w:r>
      <w:r w:rsidRPr="00A45681">
        <w:t xml:space="preserve"> Th</w:t>
      </w:r>
      <w:r>
        <w:t xml:space="preserve">at </w:t>
      </w:r>
      <w:r w:rsidRPr="00A45681">
        <w:t>study reported explants in various ways, and to avoid double</w:t>
      </w:r>
      <w:r>
        <w:t xml:space="preserve"> </w:t>
      </w:r>
      <w:r w:rsidRPr="00A45681">
        <w:t>counting explants due to battery depletion</w:t>
      </w:r>
      <w:r>
        <w:t xml:space="preserve">, </w:t>
      </w:r>
      <w:r w:rsidRPr="00A45681">
        <w:t>which are handled separately in the model</w:t>
      </w:r>
      <w:r>
        <w:t xml:space="preserve">, </w:t>
      </w:r>
      <w:r w:rsidRPr="00A45681">
        <w:t>we used a subset of the results which concerned unanticipated explants due to inadequate pain relief as the basis for permanent therapy withdrawals.</w:t>
      </w:r>
    </w:p>
    <w:p w14:paraId="30183F87" w14:textId="77777777" w:rsidR="00F71967" w:rsidRPr="00A45681" w:rsidRDefault="00F71967" w:rsidP="00F71967">
      <w:r w:rsidRPr="00A45681">
        <w:t>The cumulative annual probabilities reported on the Kaplan-Meier curve between years 2 and 5 were converted into 3-month probabilities, and the average 3-month probability was calculated. This resulted in a probability of 0.85% per 3</w:t>
      </w:r>
      <w:r>
        <w:t>-</w:t>
      </w:r>
      <w:r w:rsidRPr="00A45681">
        <w:t>month</w:t>
      </w:r>
      <w:r>
        <w:t xml:space="preserve"> cycle</w:t>
      </w:r>
      <w:r w:rsidRPr="00A45681">
        <w:t xml:space="preserve">, which was applied in all cycles to patients in the DTM-SCS group. </w:t>
      </w:r>
      <w:r>
        <w:t xml:space="preserve">After </w:t>
      </w:r>
      <w:r w:rsidRPr="00A45681">
        <w:t>withdrawal, patients were assumed to receive CMM, with equivalent outcomes and costs as those originally receiving CMM alone. Thus, 3.6% of patients who withdr</w:t>
      </w:r>
      <w:r>
        <w:t>e</w:t>
      </w:r>
      <w:r w:rsidRPr="00A45681">
        <w:t>w were assumed to achieve optimal pain relief</w:t>
      </w:r>
      <w:r>
        <w:t>.</w:t>
      </w:r>
    </w:p>
    <w:p w14:paraId="2D49D7F7" w14:textId="77777777" w:rsidR="00F71967" w:rsidRPr="002D5C8B" w:rsidRDefault="00F71967" w:rsidP="00F71967">
      <w:pPr>
        <w:pStyle w:val="Heading2"/>
      </w:pPr>
      <w:bookmarkStart w:id="17" w:name="_Toc183525250"/>
      <w:bookmarkStart w:id="18" w:name="_Toc197964054"/>
      <w:bookmarkStart w:id="19" w:name="_Toc227850338"/>
      <w:r w:rsidRPr="002D5C8B">
        <w:t xml:space="preserve">Adverse </w:t>
      </w:r>
      <w:r>
        <w:t>e</w:t>
      </w:r>
      <w:r w:rsidRPr="002D5C8B">
        <w:t>vents</w:t>
      </w:r>
      <w:bookmarkEnd w:id="17"/>
      <w:bookmarkEnd w:id="18"/>
      <w:bookmarkEnd w:id="19"/>
    </w:p>
    <w:p w14:paraId="04EEE1DF" w14:textId="77777777" w:rsidR="00F71967" w:rsidRDefault="00F71967" w:rsidP="00F71967">
      <w:r w:rsidRPr="00A45681">
        <w:t xml:space="preserve">Adverse events occurring in the first 24 months of the model were based on data from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r>
        <w:t xml:space="preserve"> In that study,</w:t>
      </w:r>
      <w:r w:rsidRPr="00A45681">
        <w:t xml:space="preserve"> 16 out of 51 (29.1%) of the DTM-SCS patients had 28 treatment- or procedure-related adverse events, of which 21 required treatment. Seven of </w:t>
      </w:r>
      <w:r>
        <w:t>the</w:t>
      </w:r>
      <w:r w:rsidRPr="00A45681">
        <w:t xml:space="preserve"> </w:t>
      </w:r>
      <w:r>
        <w:t>21</w:t>
      </w:r>
      <w:r w:rsidRPr="00A45681">
        <w:t xml:space="preserve"> events were classed as mild by study adjudication, </w:t>
      </w:r>
      <w:r>
        <w:t>11</w:t>
      </w:r>
      <w:r w:rsidRPr="00A45681">
        <w:t xml:space="preserve"> were classified as moderate, and </w:t>
      </w:r>
      <w:r>
        <w:t>3</w:t>
      </w:r>
      <w:r w:rsidRPr="00A45681">
        <w:t xml:space="preserve"> were considered severe</w:t>
      </w:r>
      <w:r>
        <w:t xml:space="preserve"> (Table S2)</w:t>
      </w:r>
      <w:r w:rsidRPr="00A45681">
        <w:t>.</w:t>
      </w:r>
    </w:p>
    <w:p w14:paraId="5B5BD1E5" w14:textId="77777777" w:rsidR="00F71967" w:rsidRPr="00AD0CA3" w:rsidRDefault="00F71967" w:rsidP="00F71967">
      <w:pPr>
        <w:rPr>
          <w:vertAlign w:val="superscript"/>
        </w:rPr>
      </w:pPr>
      <w:r w:rsidRPr="00A45681">
        <w:t xml:space="preserve">No adverse events were modeled in the CMM group, consistent with the </w:t>
      </w:r>
      <w:r>
        <w:t xml:space="preserve">2010 NHS </w:t>
      </w:r>
      <w:r w:rsidRPr="002D5C8B">
        <w:t>mode</w:t>
      </w:r>
      <w:r>
        <w:t>l</w:t>
      </w:r>
      <w:r w:rsidRPr="00A45681">
        <w:t>,</w:t>
      </w:r>
      <w:r>
        <w:fldChar w:fldCharType="begin"/>
      </w:r>
      <w:r>
        <w:instrText>ADDIN BEC{Taylor et al., 2010 #16059}</w:instrText>
      </w:r>
      <w:r>
        <w:fldChar w:fldCharType="separate"/>
      </w:r>
      <w:r>
        <w:rPr>
          <w:vertAlign w:val="superscript"/>
        </w:rPr>
        <w:t>2</w:t>
      </w:r>
      <w:r>
        <w:fldChar w:fldCharType="end"/>
      </w:r>
      <w:r w:rsidRPr="002D5C8B">
        <w:t xml:space="preserve"> </w:t>
      </w:r>
      <w:r w:rsidRPr="00A45681">
        <w:t xml:space="preserve">and data gathered during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bookmarkStart w:id="20" w:name="_Ref114145926"/>
    </w:p>
    <w:p w14:paraId="6C902CA2" w14:textId="77777777" w:rsidR="00F71967" w:rsidRPr="009A1111" w:rsidRDefault="00F71967" w:rsidP="009A1111">
      <w:pPr>
        <w:pStyle w:val="TableText"/>
        <w:rPr>
          <w:b/>
          <w:bCs/>
        </w:rPr>
      </w:pPr>
      <w:bookmarkStart w:id="21" w:name="_Toc197964055"/>
      <w:r w:rsidRPr="009A1111">
        <w:rPr>
          <w:b/>
          <w:bCs/>
        </w:rPr>
        <w:t>Table S</w:t>
      </w:r>
      <w:bookmarkEnd w:id="20"/>
      <w:r w:rsidRPr="009A1111">
        <w:rPr>
          <w:b/>
          <w:bCs/>
        </w:rPr>
        <w:t>2. Adverse events occurring in first 24 months*</w:t>
      </w:r>
      <w:bookmarkEnd w:id="21"/>
    </w:p>
    <w:tbl>
      <w:tblPr>
        <w:tblStyle w:val="GridTable1Light"/>
        <w:tblW w:w="5000" w:type="pct"/>
        <w:tblLook w:val="04A0" w:firstRow="1" w:lastRow="0" w:firstColumn="1" w:lastColumn="0" w:noHBand="0" w:noVBand="1"/>
      </w:tblPr>
      <w:tblGrid>
        <w:gridCol w:w="4405"/>
        <w:gridCol w:w="1530"/>
        <w:gridCol w:w="3415"/>
      </w:tblGrid>
      <w:tr w:rsidR="00F71967" w:rsidRPr="00A45681" w14:paraId="0DB3C978"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720D3903" w14:textId="77777777" w:rsidR="00F71967" w:rsidRPr="00A45681" w:rsidRDefault="00F71967">
            <w:pPr>
              <w:pStyle w:val="TableText"/>
              <w:keepNext/>
              <w:rPr>
                <w:b w:val="0"/>
                <w:bCs w:val="0"/>
              </w:rPr>
            </w:pPr>
            <w:r w:rsidRPr="00A45681">
              <w:t>Event description</w:t>
            </w:r>
          </w:p>
        </w:tc>
        <w:tc>
          <w:tcPr>
            <w:tcW w:w="818" w:type="pct"/>
            <w:noWrap/>
            <w:hideMark/>
          </w:tcPr>
          <w:p w14:paraId="0051132B"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Severity</w:t>
            </w:r>
            <w:r w:rsidRPr="00B914E4">
              <w:rPr>
                <w:vertAlign w:val="superscript"/>
              </w:rPr>
              <w:t>†</w:t>
            </w:r>
          </w:p>
        </w:tc>
        <w:tc>
          <w:tcPr>
            <w:tcW w:w="1826" w:type="pct"/>
            <w:noWrap/>
            <w:hideMark/>
          </w:tcPr>
          <w:p w14:paraId="4158FB77"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Action</w:t>
            </w:r>
          </w:p>
        </w:tc>
      </w:tr>
      <w:tr w:rsidR="00F71967" w:rsidRPr="00A45681" w14:paraId="043AA5EE"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hideMark/>
          </w:tcPr>
          <w:p w14:paraId="4544BC29" w14:textId="77777777" w:rsidR="00F71967" w:rsidRPr="00A45681" w:rsidRDefault="00F71967">
            <w:pPr>
              <w:pStyle w:val="TableText"/>
            </w:pPr>
            <w:r w:rsidRPr="00A45681">
              <w:t xml:space="preserve">Liquor leakage after revision epidural leads </w:t>
            </w:r>
          </w:p>
        </w:tc>
        <w:tc>
          <w:tcPr>
            <w:tcW w:w="818" w:type="pct"/>
            <w:noWrap/>
            <w:hideMark/>
          </w:tcPr>
          <w:p w14:paraId="78F35A3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2AD9E53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Other medical intervention</w:t>
            </w:r>
          </w:p>
        </w:tc>
      </w:tr>
      <w:tr w:rsidR="00F71967" w:rsidRPr="00A45681" w14:paraId="58624BF2"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58FC4B1D" w14:textId="77777777" w:rsidR="00F71967" w:rsidRPr="00A45681" w:rsidRDefault="00F71967">
            <w:pPr>
              <w:pStyle w:val="TableText"/>
            </w:pPr>
            <w:r w:rsidRPr="00A45681">
              <w:t>Post-</w:t>
            </w:r>
            <w:proofErr w:type="spellStart"/>
            <w:r w:rsidRPr="00A45681">
              <w:t>punctional</w:t>
            </w:r>
            <w:proofErr w:type="spellEnd"/>
            <w:r w:rsidRPr="00A45681">
              <w:t xml:space="preserve"> headache</w:t>
            </w:r>
          </w:p>
        </w:tc>
        <w:tc>
          <w:tcPr>
            <w:tcW w:w="818" w:type="pct"/>
            <w:noWrap/>
            <w:hideMark/>
          </w:tcPr>
          <w:p w14:paraId="61DA857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173E9EE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Other medical intervention</w:t>
            </w:r>
          </w:p>
        </w:tc>
      </w:tr>
      <w:tr w:rsidR="00F71967" w:rsidRPr="00A45681" w14:paraId="76DF4403"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4E0868D1" w14:textId="77777777" w:rsidR="00F71967" w:rsidRPr="00A45681" w:rsidRDefault="00F71967">
            <w:pPr>
              <w:pStyle w:val="TableText"/>
            </w:pPr>
            <w:r w:rsidRPr="00A45681">
              <w:t>Lead and IPG infection</w:t>
            </w:r>
          </w:p>
        </w:tc>
        <w:tc>
          <w:tcPr>
            <w:tcW w:w="818" w:type="pct"/>
            <w:noWrap/>
            <w:hideMark/>
          </w:tcPr>
          <w:p w14:paraId="33A9F4F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1A2775C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Explant and medication</w:t>
            </w:r>
          </w:p>
        </w:tc>
      </w:tr>
      <w:tr w:rsidR="00F71967" w:rsidRPr="00A45681" w14:paraId="539DF8BA"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6E4121AC" w14:textId="77777777" w:rsidR="00F71967" w:rsidRPr="00A45681" w:rsidRDefault="00F71967">
            <w:pPr>
              <w:pStyle w:val="TableText"/>
            </w:pPr>
            <w:r w:rsidRPr="00A45681">
              <w:t>Pocket pain</w:t>
            </w:r>
          </w:p>
        </w:tc>
        <w:tc>
          <w:tcPr>
            <w:tcW w:w="818" w:type="pct"/>
            <w:noWrap/>
            <w:hideMark/>
          </w:tcPr>
          <w:p w14:paraId="53B5A39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7A52C00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Surgery and medication</w:t>
            </w:r>
          </w:p>
        </w:tc>
      </w:tr>
      <w:tr w:rsidR="00F71967" w:rsidRPr="00A45681" w14:paraId="73B7253B"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6E5BE124" w14:textId="77777777" w:rsidR="00F71967" w:rsidRPr="00A45681" w:rsidRDefault="00F71967">
            <w:pPr>
              <w:pStyle w:val="TableText"/>
            </w:pPr>
            <w:r w:rsidRPr="00A45681">
              <w:t>Pocket pain</w:t>
            </w:r>
          </w:p>
        </w:tc>
        <w:tc>
          <w:tcPr>
            <w:tcW w:w="818" w:type="pct"/>
            <w:noWrap/>
            <w:hideMark/>
          </w:tcPr>
          <w:p w14:paraId="55D91FA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05A05A5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43BA05C3"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541C2FE9" w14:textId="77777777" w:rsidR="00F71967" w:rsidRPr="00A45681" w:rsidRDefault="00F71967">
            <w:pPr>
              <w:pStyle w:val="TableText"/>
            </w:pPr>
            <w:r w:rsidRPr="00A45681">
              <w:t>Pocket pain</w:t>
            </w:r>
          </w:p>
        </w:tc>
        <w:tc>
          <w:tcPr>
            <w:tcW w:w="818" w:type="pct"/>
            <w:noWrap/>
            <w:hideMark/>
          </w:tcPr>
          <w:p w14:paraId="5866D1A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7B854BC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Surgery</w:t>
            </w:r>
          </w:p>
        </w:tc>
      </w:tr>
      <w:tr w:rsidR="00F71967" w:rsidRPr="00A45681" w14:paraId="23589796"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527BE148" w14:textId="77777777" w:rsidR="00F71967" w:rsidRPr="00A45681" w:rsidRDefault="00F71967">
            <w:pPr>
              <w:pStyle w:val="TableText"/>
            </w:pPr>
            <w:r w:rsidRPr="00A45681">
              <w:t>Pain at surgery site</w:t>
            </w:r>
          </w:p>
        </w:tc>
        <w:tc>
          <w:tcPr>
            <w:tcW w:w="818" w:type="pct"/>
            <w:noWrap/>
            <w:hideMark/>
          </w:tcPr>
          <w:p w14:paraId="757E600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0C3689F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3307C683"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18BC25D1" w14:textId="77777777" w:rsidR="00F71967" w:rsidRPr="00A45681" w:rsidRDefault="00F71967">
            <w:pPr>
              <w:pStyle w:val="TableText"/>
            </w:pPr>
            <w:r w:rsidRPr="00A45681">
              <w:t>Pain at surgery site</w:t>
            </w:r>
          </w:p>
        </w:tc>
        <w:tc>
          <w:tcPr>
            <w:tcW w:w="818" w:type="pct"/>
            <w:noWrap/>
            <w:hideMark/>
          </w:tcPr>
          <w:p w14:paraId="050391F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Serious</w:t>
            </w:r>
          </w:p>
        </w:tc>
        <w:tc>
          <w:tcPr>
            <w:tcW w:w="1826" w:type="pct"/>
            <w:noWrap/>
            <w:hideMark/>
          </w:tcPr>
          <w:p w14:paraId="7503EF7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Surgery, explant</w:t>
            </w:r>
          </w:p>
        </w:tc>
      </w:tr>
      <w:tr w:rsidR="00F71967" w:rsidRPr="00A45681" w14:paraId="0200D15A"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4C574E4E" w14:textId="77777777" w:rsidR="00F71967" w:rsidRPr="00A45681" w:rsidRDefault="00F71967">
            <w:pPr>
              <w:pStyle w:val="TableText"/>
            </w:pPr>
            <w:r w:rsidRPr="00A45681">
              <w:t>Surgical site infection</w:t>
            </w:r>
          </w:p>
        </w:tc>
        <w:tc>
          <w:tcPr>
            <w:tcW w:w="818" w:type="pct"/>
            <w:noWrap/>
            <w:hideMark/>
          </w:tcPr>
          <w:p w14:paraId="4C63E17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2ECCCDD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4AE9D7C4"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746C17EC" w14:textId="77777777" w:rsidR="00F71967" w:rsidRPr="00A45681" w:rsidRDefault="00F71967">
            <w:pPr>
              <w:pStyle w:val="TableText"/>
            </w:pPr>
            <w:r w:rsidRPr="00A45681">
              <w:t>Lead migration</w:t>
            </w:r>
          </w:p>
        </w:tc>
        <w:tc>
          <w:tcPr>
            <w:tcW w:w="818" w:type="pct"/>
            <w:noWrap/>
            <w:hideMark/>
          </w:tcPr>
          <w:p w14:paraId="71DEBB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Serious</w:t>
            </w:r>
          </w:p>
        </w:tc>
        <w:tc>
          <w:tcPr>
            <w:tcW w:w="1826" w:type="pct"/>
            <w:noWrap/>
            <w:hideMark/>
          </w:tcPr>
          <w:p w14:paraId="08D4130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Surgery</w:t>
            </w:r>
          </w:p>
        </w:tc>
      </w:tr>
      <w:tr w:rsidR="00F71967" w:rsidRPr="00A45681" w14:paraId="7062AE23"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08076235" w14:textId="77777777" w:rsidR="00F71967" w:rsidRPr="00A45681" w:rsidRDefault="00F71967">
            <w:pPr>
              <w:pStyle w:val="TableText"/>
            </w:pPr>
            <w:r w:rsidRPr="00A45681">
              <w:t>Increase in back pain</w:t>
            </w:r>
          </w:p>
        </w:tc>
        <w:tc>
          <w:tcPr>
            <w:tcW w:w="818" w:type="pct"/>
            <w:noWrap/>
            <w:hideMark/>
          </w:tcPr>
          <w:p w14:paraId="1E4F433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61D2D5D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788C21C6"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14BF596C" w14:textId="77777777" w:rsidR="00F71967" w:rsidRPr="00A45681" w:rsidRDefault="00F71967">
            <w:pPr>
              <w:pStyle w:val="TableText"/>
            </w:pPr>
            <w:r w:rsidRPr="00A45681">
              <w:t>Wound pain</w:t>
            </w:r>
          </w:p>
        </w:tc>
        <w:tc>
          <w:tcPr>
            <w:tcW w:w="818" w:type="pct"/>
            <w:noWrap/>
            <w:hideMark/>
          </w:tcPr>
          <w:p w14:paraId="0BD63C8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34DC0A8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1FC062E8"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32F88F22" w14:textId="77777777" w:rsidR="00F71967" w:rsidRPr="00A45681" w:rsidRDefault="00F71967">
            <w:pPr>
              <w:pStyle w:val="TableText"/>
            </w:pPr>
            <w:r w:rsidRPr="00A45681">
              <w:t>Pocket pain</w:t>
            </w:r>
          </w:p>
        </w:tc>
        <w:tc>
          <w:tcPr>
            <w:tcW w:w="818" w:type="pct"/>
            <w:noWrap/>
            <w:hideMark/>
          </w:tcPr>
          <w:p w14:paraId="0497DBE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50DBEA8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094826E2"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329F246A" w14:textId="77777777" w:rsidR="00F71967" w:rsidRPr="00A45681" w:rsidRDefault="00F71967">
            <w:pPr>
              <w:pStyle w:val="TableText"/>
            </w:pPr>
            <w:r w:rsidRPr="00A45681">
              <w:t>Headache</w:t>
            </w:r>
          </w:p>
        </w:tc>
        <w:tc>
          <w:tcPr>
            <w:tcW w:w="818" w:type="pct"/>
            <w:noWrap/>
            <w:hideMark/>
          </w:tcPr>
          <w:p w14:paraId="1E44D0F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5110B6F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Other medical intervention</w:t>
            </w:r>
          </w:p>
        </w:tc>
      </w:tr>
      <w:tr w:rsidR="00F71967" w:rsidRPr="00A45681" w14:paraId="0CB6B22D"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300856F6" w14:textId="77777777" w:rsidR="00F71967" w:rsidRPr="00A45681" w:rsidRDefault="00F71967">
            <w:pPr>
              <w:pStyle w:val="TableText"/>
            </w:pPr>
            <w:r w:rsidRPr="00A45681">
              <w:t>Infection</w:t>
            </w:r>
          </w:p>
        </w:tc>
        <w:tc>
          <w:tcPr>
            <w:tcW w:w="818" w:type="pct"/>
            <w:noWrap/>
            <w:hideMark/>
          </w:tcPr>
          <w:p w14:paraId="4AFCF14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64C24AA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26140264"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57DE2317" w14:textId="77777777" w:rsidR="00F71967" w:rsidRPr="00A45681" w:rsidRDefault="00F71967">
            <w:pPr>
              <w:pStyle w:val="TableText"/>
            </w:pPr>
            <w:r w:rsidRPr="00A45681">
              <w:t>Poor wound healing</w:t>
            </w:r>
          </w:p>
        </w:tc>
        <w:tc>
          <w:tcPr>
            <w:tcW w:w="818" w:type="pct"/>
            <w:noWrap/>
            <w:hideMark/>
          </w:tcPr>
          <w:p w14:paraId="7FF512C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Severe</w:t>
            </w:r>
          </w:p>
        </w:tc>
        <w:tc>
          <w:tcPr>
            <w:tcW w:w="1826" w:type="pct"/>
            <w:noWrap/>
            <w:hideMark/>
          </w:tcPr>
          <w:p w14:paraId="77DE4BE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Surgery</w:t>
            </w:r>
          </w:p>
        </w:tc>
      </w:tr>
      <w:tr w:rsidR="00F71967" w:rsidRPr="00A45681" w14:paraId="427B6875"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68AC85D3" w14:textId="77777777" w:rsidR="00F71967" w:rsidRPr="00A45681" w:rsidRDefault="00F71967">
            <w:pPr>
              <w:pStyle w:val="TableText"/>
            </w:pPr>
            <w:r w:rsidRPr="00A45681">
              <w:t>Infection</w:t>
            </w:r>
          </w:p>
        </w:tc>
        <w:tc>
          <w:tcPr>
            <w:tcW w:w="818" w:type="pct"/>
            <w:noWrap/>
            <w:hideMark/>
          </w:tcPr>
          <w:p w14:paraId="3D96E52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60E168B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 surgery</w:t>
            </w:r>
          </w:p>
        </w:tc>
      </w:tr>
      <w:tr w:rsidR="00F71967" w:rsidRPr="00A45681" w14:paraId="32A20E8C"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136335E3" w14:textId="77777777" w:rsidR="00F71967" w:rsidRPr="00A45681" w:rsidRDefault="00F71967">
            <w:pPr>
              <w:pStyle w:val="TableText"/>
            </w:pPr>
            <w:r w:rsidRPr="00A45681">
              <w:t>Wound pain</w:t>
            </w:r>
          </w:p>
        </w:tc>
        <w:tc>
          <w:tcPr>
            <w:tcW w:w="818" w:type="pct"/>
            <w:noWrap/>
            <w:hideMark/>
          </w:tcPr>
          <w:p w14:paraId="6016EFB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6AF7772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7691D4C8"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0E14D75F" w14:textId="77777777" w:rsidR="00F71967" w:rsidRPr="00A45681" w:rsidRDefault="00F71967">
            <w:pPr>
              <w:pStyle w:val="TableText"/>
            </w:pPr>
            <w:r w:rsidRPr="00A45681">
              <w:t>Wound infection</w:t>
            </w:r>
          </w:p>
        </w:tc>
        <w:tc>
          <w:tcPr>
            <w:tcW w:w="818" w:type="pct"/>
            <w:noWrap/>
            <w:hideMark/>
          </w:tcPr>
          <w:p w14:paraId="5097081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4D1D42A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 explant</w:t>
            </w:r>
          </w:p>
        </w:tc>
      </w:tr>
      <w:tr w:rsidR="00F71967" w:rsidRPr="00A45681" w14:paraId="430ECED2"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539CE2A2" w14:textId="77777777" w:rsidR="00F71967" w:rsidRPr="00A45681" w:rsidRDefault="00F71967">
            <w:pPr>
              <w:pStyle w:val="TableText"/>
            </w:pPr>
            <w:r w:rsidRPr="00A45681">
              <w:t>Pocket infection</w:t>
            </w:r>
          </w:p>
        </w:tc>
        <w:tc>
          <w:tcPr>
            <w:tcW w:w="818" w:type="pct"/>
            <w:noWrap/>
            <w:hideMark/>
          </w:tcPr>
          <w:p w14:paraId="44AF42E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Mild</w:t>
            </w:r>
          </w:p>
        </w:tc>
        <w:tc>
          <w:tcPr>
            <w:tcW w:w="1826" w:type="pct"/>
            <w:noWrap/>
            <w:hideMark/>
          </w:tcPr>
          <w:p w14:paraId="12A79BC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Medication</w:t>
            </w:r>
          </w:p>
        </w:tc>
      </w:tr>
      <w:tr w:rsidR="00F71967" w:rsidRPr="00A45681" w14:paraId="2D7F2486" w14:textId="77777777">
        <w:trPr>
          <w:trHeight w:val="432"/>
        </w:trPr>
        <w:tc>
          <w:tcPr>
            <w:cnfStyle w:val="001000000000" w:firstRow="0" w:lastRow="0" w:firstColumn="1" w:lastColumn="0" w:oddVBand="0" w:evenVBand="0" w:oddHBand="0" w:evenHBand="0" w:firstRowFirstColumn="0" w:firstRowLastColumn="0" w:lastRowFirstColumn="0" w:lastRowLastColumn="0"/>
            <w:tcW w:w="2356" w:type="pct"/>
            <w:noWrap/>
            <w:hideMark/>
          </w:tcPr>
          <w:p w14:paraId="2A211F5D" w14:textId="77777777" w:rsidR="00F71967" w:rsidRPr="00A45681" w:rsidRDefault="00F71967">
            <w:pPr>
              <w:pStyle w:val="TableText"/>
              <w:keepNext/>
            </w:pPr>
            <w:r w:rsidRPr="00A45681">
              <w:t>Pocket infection</w:t>
            </w:r>
          </w:p>
        </w:tc>
        <w:tc>
          <w:tcPr>
            <w:tcW w:w="818" w:type="pct"/>
            <w:noWrap/>
            <w:hideMark/>
          </w:tcPr>
          <w:p w14:paraId="53BCFACA"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Moderate</w:t>
            </w:r>
          </w:p>
        </w:tc>
        <w:tc>
          <w:tcPr>
            <w:tcW w:w="1826" w:type="pct"/>
            <w:noWrap/>
            <w:hideMark/>
          </w:tcPr>
          <w:p w14:paraId="13EE0694"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Surgery</w:t>
            </w:r>
          </w:p>
        </w:tc>
      </w:tr>
    </w:tbl>
    <w:p w14:paraId="01A8EA79" w14:textId="77777777" w:rsidR="00F71967" w:rsidRPr="00A45681" w:rsidRDefault="00F71967" w:rsidP="00F71967">
      <w:pPr>
        <w:pStyle w:val="Tablefooter"/>
      </w:pPr>
      <w:r w:rsidRPr="004C1784">
        <w:rPr>
          <w:lang w:val="fr-FR"/>
        </w:rPr>
        <w:t>*</w:t>
      </w:r>
      <w:proofErr w:type="gramStart"/>
      <w:r w:rsidRPr="004C1784">
        <w:rPr>
          <w:lang w:val="fr-FR"/>
        </w:rPr>
        <w:t>Source:</w:t>
      </w:r>
      <w:proofErr w:type="gramEnd"/>
      <w:r w:rsidRPr="004C1784">
        <w:rPr>
          <w:lang w:val="fr-FR"/>
        </w:rPr>
        <w:t xml:space="preserve"> Kallewaard JW, Billet B, Van Paesschen R et al. </w:t>
      </w:r>
      <w:r w:rsidRPr="00C15839">
        <w:t xml:space="preserve">European randomized controlled trial evaluating differential target multiplexed spinal cord stimulation and conventional medical management in subjects with persistent back pain ineligible for spine surgery: 24-month results. </w:t>
      </w:r>
      <w:proofErr w:type="spellStart"/>
      <w:r w:rsidRPr="00C15839">
        <w:t>Eur</w:t>
      </w:r>
      <w:proofErr w:type="spellEnd"/>
      <w:r w:rsidRPr="00C15839">
        <w:t xml:space="preserve"> J Pain. </w:t>
      </w:r>
      <w:proofErr w:type="gramStart"/>
      <w:r w:rsidRPr="00C15839">
        <w:t>2024;28:1745</w:t>
      </w:r>
      <w:proofErr w:type="gramEnd"/>
      <w:r w:rsidRPr="00C15839">
        <w:t>-1761.</w:t>
      </w:r>
    </w:p>
    <w:p w14:paraId="4837C380" w14:textId="77777777" w:rsidR="00F71967" w:rsidRDefault="00F71967" w:rsidP="00F71967">
      <w:pPr>
        <w:pStyle w:val="Tablefooter"/>
      </w:pPr>
      <w:r w:rsidRPr="00B914E4">
        <w:rPr>
          <w:vertAlign w:val="superscript"/>
        </w:rPr>
        <w:t>†</w:t>
      </w:r>
      <w:r>
        <w:t>Per t</w:t>
      </w:r>
      <w:r w:rsidRPr="00A45681">
        <w:t>he study protocol</w:t>
      </w:r>
      <w:r>
        <w:t xml:space="preserve">, </w:t>
      </w:r>
      <w:r w:rsidRPr="00A45681">
        <w:t>severe adverse events</w:t>
      </w:r>
      <w:r>
        <w:t xml:space="preserve"> were classified</w:t>
      </w:r>
      <w:r w:rsidRPr="00A45681">
        <w:t xml:space="preserve"> as those that either lead to death, </w:t>
      </w:r>
      <w:r>
        <w:t>were</w:t>
      </w:r>
      <w:r w:rsidRPr="00A45681">
        <w:t xml:space="preserve"> potentially life threatening, risk</w:t>
      </w:r>
      <w:r>
        <w:t>ed</w:t>
      </w:r>
      <w:r w:rsidRPr="00A45681">
        <w:t xml:space="preserve"> permanent impairment, require</w:t>
      </w:r>
      <w:r>
        <w:t>d</w:t>
      </w:r>
      <w:r w:rsidRPr="00A45681">
        <w:t xml:space="preserve"> an inpatient hospital stay, or pose</w:t>
      </w:r>
      <w:r>
        <w:t>d</w:t>
      </w:r>
      <w:r w:rsidRPr="00A45681">
        <w:t xml:space="preserve"> risk of fetal death, distress, or injury.</w:t>
      </w:r>
    </w:p>
    <w:p w14:paraId="1E53F166" w14:textId="77777777" w:rsidR="00F71967" w:rsidRPr="00A45681" w:rsidRDefault="00F71967" w:rsidP="00F71967">
      <w:r w:rsidRPr="00A45681">
        <w:t>The rate of long-term complication</w:t>
      </w:r>
      <w:r>
        <w:t>s</w:t>
      </w:r>
      <w:r w:rsidRPr="00A45681">
        <w:t xml:space="preserve"> </w:t>
      </w:r>
      <w:r>
        <w:t>in patients implanted with DTM-SCS</w:t>
      </w:r>
      <w:r w:rsidRPr="00A45681">
        <w:t xml:space="preserve"> was derived from the most recent Medtronic Product Surveillance Registry report,</w:t>
      </w:r>
      <w:r>
        <w:fldChar w:fldCharType="begin"/>
      </w:r>
      <w:r>
        <w:instrText>ADDIN BEC{Medtronic Plc., 30 March 2020. #275383}</w:instrText>
      </w:r>
      <w:r>
        <w:fldChar w:fldCharType="separate"/>
      </w:r>
      <w:r>
        <w:rPr>
          <w:vertAlign w:val="superscript"/>
        </w:rPr>
        <w:t>4</w:t>
      </w:r>
      <w:r>
        <w:fldChar w:fldCharType="end"/>
      </w:r>
      <w:r w:rsidRPr="00A45681">
        <w:t xml:space="preserve"> which provides event frequencies across several categories </w:t>
      </w:r>
      <w:r>
        <w:t>(</w:t>
      </w:r>
      <w:r w:rsidRPr="00A45681">
        <w:t>lead migration, lead fracture and device malfunction</w:t>
      </w:r>
      <w:r>
        <w:t>),</w:t>
      </w:r>
      <w:r w:rsidRPr="00A45681">
        <w:t xml:space="preserve"> </w:t>
      </w:r>
      <w:r>
        <w:t>as well as</w:t>
      </w:r>
      <w:r w:rsidRPr="00A45681">
        <w:t xml:space="preserve"> the action/treatment required (surgical intervention, re-programming, or no action). </w:t>
      </w:r>
      <w:bookmarkStart w:id="22" w:name="_Ref114145973"/>
      <w:r w:rsidRPr="00F71256">
        <w:t>The breakdown of these events is shown in Table S3. A 3-month probability of 3.2% was derived from these data and applied to the DTM-SCS treatment group during the Markov phase of the model.</w:t>
      </w:r>
    </w:p>
    <w:p w14:paraId="1560AA94" w14:textId="77777777" w:rsidR="00F71967" w:rsidRPr="009A1111" w:rsidRDefault="00F71967" w:rsidP="009A1111">
      <w:pPr>
        <w:pStyle w:val="TableText"/>
        <w:rPr>
          <w:b/>
          <w:bCs/>
        </w:rPr>
      </w:pPr>
      <w:bookmarkStart w:id="23" w:name="_Toc197964056"/>
      <w:r w:rsidRPr="009A1111">
        <w:rPr>
          <w:b/>
          <w:bCs/>
        </w:rPr>
        <w:t>Table S</w:t>
      </w:r>
      <w:bookmarkEnd w:id="22"/>
      <w:r w:rsidRPr="009A1111">
        <w:rPr>
          <w:b/>
          <w:bCs/>
        </w:rPr>
        <w:t>3. Breakdown of adverse events and action taken in Medtronic Product Registry</w:t>
      </w:r>
      <w:bookmarkEnd w:id="23"/>
    </w:p>
    <w:tbl>
      <w:tblPr>
        <w:tblStyle w:val="GridTable1Light"/>
        <w:tblW w:w="0" w:type="auto"/>
        <w:tblLayout w:type="fixed"/>
        <w:tblLook w:val="04A0" w:firstRow="1" w:lastRow="0" w:firstColumn="1" w:lastColumn="0" w:noHBand="0" w:noVBand="1"/>
      </w:tblPr>
      <w:tblGrid>
        <w:gridCol w:w="2245"/>
        <w:gridCol w:w="1530"/>
        <w:gridCol w:w="1530"/>
        <w:gridCol w:w="1350"/>
        <w:gridCol w:w="1440"/>
        <w:gridCol w:w="1255"/>
      </w:tblGrid>
      <w:tr w:rsidR="00F71967" w:rsidRPr="00A45681" w14:paraId="3F4D50A7"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45" w:type="dxa"/>
            <w:hideMark/>
          </w:tcPr>
          <w:p w14:paraId="387C9F0C" w14:textId="77777777" w:rsidR="00F71967" w:rsidRPr="00A45681" w:rsidRDefault="00F71967">
            <w:pPr>
              <w:pStyle w:val="TableText"/>
              <w:keepNext/>
              <w:rPr>
                <w:b w:val="0"/>
                <w:bCs w:val="0"/>
              </w:rPr>
            </w:pPr>
            <w:r w:rsidRPr="00A45681">
              <w:t>Event category</w:t>
            </w:r>
          </w:p>
        </w:tc>
        <w:tc>
          <w:tcPr>
            <w:tcW w:w="1530" w:type="dxa"/>
            <w:hideMark/>
          </w:tcPr>
          <w:p w14:paraId="1FEE5A71"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Surgical intervention</w:t>
            </w:r>
          </w:p>
        </w:tc>
        <w:tc>
          <w:tcPr>
            <w:tcW w:w="1530" w:type="dxa"/>
            <w:hideMark/>
          </w:tcPr>
          <w:p w14:paraId="161054AE"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Re-programming</w:t>
            </w:r>
          </w:p>
        </w:tc>
        <w:tc>
          <w:tcPr>
            <w:tcW w:w="1350" w:type="dxa"/>
            <w:hideMark/>
          </w:tcPr>
          <w:p w14:paraId="0B8D5076"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Therapy suspension</w:t>
            </w:r>
          </w:p>
        </w:tc>
        <w:tc>
          <w:tcPr>
            <w:tcW w:w="1440" w:type="dxa"/>
            <w:hideMark/>
          </w:tcPr>
          <w:p w14:paraId="475469A7"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Medical/non-surgical intervention</w:t>
            </w:r>
          </w:p>
        </w:tc>
        <w:tc>
          <w:tcPr>
            <w:tcW w:w="1255" w:type="dxa"/>
            <w:hideMark/>
          </w:tcPr>
          <w:p w14:paraId="0C65FAA5"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b w:val="0"/>
                <w:bCs w:val="0"/>
              </w:rPr>
            </w:pPr>
            <w:r w:rsidRPr="00A45681">
              <w:t>No action</w:t>
            </w:r>
          </w:p>
        </w:tc>
      </w:tr>
      <w:tr w:rsidR="00F71967" w:rsidRPr="00A45681" w14:paraId="2A6DD97F"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141BDFCD" w14:textId="77777777" w:rsidR="00F71967" w:rsidRPr="00A45681" w:rsidRDefault="00F71967">
            <w:pPr>
              <w:pStyle w:val="TableText"/>
              <w:rPr>
                <w:lang w:eastAsia="zh-CN" w:bidi="he-IL"/>
              </w:rPr>
            </w:pPr>
            <w:r w:rsidRPr="00A45681">
              <w:rPr>
                <w:lang w:bidi="he-IL"/>
              </w:rPr>
              <w:t>Lead migration / dislodgement</w:t>
            </w:r>
          </w:p>
        </w:tc>
        <w:tc>
          <w:tcPr>
            <w:tcW w:w="1530" w:type="dxa"/>
            <w:noWrap/>
            <w:hideMark/>
          </w:tcPr>
          <w:p w14:paraId="0C6579B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77.2%</w:t>
            </w:r>
          </w:p>
        </w:tc>
        <w:tc>
          <w:tcPr>
            <w:tcW w:w="1530" w:type="dxa"/>
            <w:hideMark/>
          </w:tcPr>
          <w:p w14:paraId="2BFC1F5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11.7%</w:t>
            </w:r>
          </w:p>
        </w:tc>
        <w:tc>
          <w:tcPr>
            <w:tcW w:w="1350" w:type="dxa"/>
            <w:hideMark/>
          </w:tcPr>
          <w:p w14:paraId="024AA0E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2.5%</w:t>
            </w:r>
          </w:p>
        </w:tc>
        <w:tc>
          <w:tcPr>
            <w:tcW w:w="1440" w:type="dxa"/>
            <w:noWrap/>
            <w:hideMark/>
          </w:tcPr>
          <w:p w14:paraId="040C5B8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1.9%</w:t>
            </w:r>
          </w:p>
        </w:tc>
        <w:tc>
          <w:tcPr>
            <w:tcW w:w="1255" w:type="dxa"/>
            <w:hideMark/>
          </w:tcPr>
          <w:p w14:paraId="6920CD3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6.7%</w:t>
            </w:r>
          </w:p>
        </w:tc>
      </w:tr>
      <w:tr w:rsidR="00F71967" w:rsidRPr="00A45681" w14:paraId="2BC73653"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533DAE82" w14:textId="77777777" w:rsidR="00F71967" w:rsidRPr="00A45681" w:rsidRDefault="00F71967">
            <w:pPr>
              <w:pStyle w:val="TableText"/>
              <w:rPr>
                <w:lang w:eastAsia="zh-CN" w:bidi="he-IL"/>
              </w:rPr>
            </w:pPr>
            <w:r w:rsidRPr="00A45681">
              <w:rPr>
                <w:lang w:bidi="he-IL"/>
              </w:rPr>
              <w:t>High impedance</w:t>
            </w:r>
          </w:p>
        </w:tc>
        <w:tc>
          <w:tcPr>
            <w:tcW w:w="1530" w:type="dxa"/>
            <w:noWrap/>
            <w:hideMark/>
          </w:tcPr>
          <w:p w14:paraId="005C951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25.1%</w:t>
            </w:r>
          </w:p>
        </w:tc>
        <w:tc>
          <w:tcPr>
            <w:tcW w:w="1530" w:type="dxa"/>
            <w:hideMark/>
          </w:tcPr>
          <w:p w14:paraId="7AD10B8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46.3%</w:t>
            </w:r>
          </w:p>
        </w:tc>
        <w:tc>
          <w:tcPr>
            <w:tcW w:w="1350" w:type="dxa"/>
            <w:hideMark/>
          </w:tcPr>
          <w:p w14:paraId="40B3B79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1.8%</w:t>
            </w:r>
          </w:p>
        </w:tc>
        <w:tc>
          <w:tcPr>
            <w:tcW w:w="1440" w:type="dxa"/>
            <w:noWrap/>
            <w:hideMark/>
          </w:tcPr>
          <w:p w14:paraId="4996446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1.8%</w:t>
            </w:r>
          </w:p>
        </w:tc>
        <w:tc>
          <w:tcPr>
            <w:tcW w:w="1255" w:type="dxa"/>
            <w:hideMark/>
          </w:tcPr>
          <w:p w14:paraId="24CB715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25.1%</w:t>
            </w:r>
          </w:p>
        </w:tc>
      </w:tr>
      <w:tr w:rsidR="00F71967" w:rsidRPr="00A45681" w14:paraId="4B702FC5"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147BD856" w14:textId="77777777" w:rsidR="00F71967" w:rsidRPr="00A45681" w:rsidRDefault="00F71967">
            <w:pPr>
              <w:pStyle w:val="TableText"/>
              <w:rPr>
                <w:lang w:eastAsia="zh-CN" w:bidi="he-IL"/>
              </w:rPr>
            </w:pPr>
            <w:r w:rsidRPr="00A45681">
              <w:rPr>
                <w:lang w:bidi="he-IL"/>
              </w:rPr>
              <w:t>Lead fracture</w:t>
            </w:r>
          </w:p>
        </w:tc>
        <w:tc>
          <w:tcPr>
            <w:tcW w:w="1530" w:type="dxa"/>
            <w:noWrap/>
            <w:hideMark/>
          </w:tcPr>
          <w:p w14:paraId="6E2707F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97.8%</w:t>
            </w:r>
          </w:p>
        </w:tc>
        <w:tc>
          <w:tcPr>
            <w:tcW w:w="1530" w:type="dxa"/>
            <w:hideMark/>
          </w:tcPr>
          <w:p w14:paraId="6A69C62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0.0%</w:t>
            </w:r>
          </w:p>
        </w:tc>
        <w:tc>
          <w:tcPr>
            <w:tcW w:w="1350" w:type="dxa"/>
            <w:hideMark/>
          </w:tcPr>
          <w:p w14:paraId="76E3B92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2.2%</w:t>
            </w:r>
          </w:p>
        </w:tc>
        <w:tc>
          <w:tcPr>
            <w:tcW w:w="1440" w:type="dxa"/>
            <w:noWrap/>
            <w:hideMark/>
          </w:tcPr>
          <w:p w14:paraId="194412F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0.0%</w:t>
            </w:r>
          </w:p>
        </w:tc>
        <w:tc>
          <w:tcPr>
            <w:tcW w:w="1255" w:type="dxa"/>
            <w:hideMark/>
          </w:tcPr>
          <w:p w14:paraId="6397A3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0.0%</w:t>
            </w:r>
          </w:p>
        </w:tc>
      </w:tr>
      <w:tr w:rsidR="00F71967" w:rsidRPr="00A45681" w14:paraId="1376A3B9"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29E56A51" w14:textId="77777777" w:rsidR="00F71967" w:rsidRPr="00A45681" w:rsidRDefault="00F71967">
            <w:pPr>
              <w:pStyle w:val="TableText"/>
              <w:rPr>
                <w:lang w:eastAsia="zh-CN" w:bidi="he-IL"/>
              </w:rPr>
            </w:pPr>
            <w:r w:rsidRPr="00A45681">
              <w:rPr>
                <w:lang w:bidi="he-IL"/>
              </w:rPr>
              <w:t>Neurostimulator unable to recharge</w:t>
            </w:r>
          </w:p>
        </w:tc>
        <w:tc>
          <w:tcPr>
            <w:tcW w:w="1530" w:type="dxa"/>
            <w:noWrap/>
            <w:hideMark/>
          </w:tcPr>
          <w:p w14:paraId="612C5F6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35.2%</w:t>
            </w:r>
          </w:p>
        </w:tc>
        <w:tc>
          <w:tcPr>
            <w:tcW w:w="1530" w:type="dxa"/>
            <w:hideMark/>
          </w:tcPr>
          <w:p w14:paraId="7E557C5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4.4%</w:t>
            </w:r>
          </w:p>
        </w:tc>
        <w:tc>
          <w:tcPr>
            <w:tcW w:w="1350" w:type="dxa"/>
            <w:hideMark/>
          </w:tcPr>
          <w:p w14:paraId="308FE1B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3.3%</w:t>
            </w:r>
          </w:p>
        </w:tc>
        <w:tc>
          <w:tcPr>
            <w:tcW w:w="1440" w:type="dxa"/>
            <w:noWrap/>
            <w:hideMark/>
          </w:tcPr>
          <w:p w14:paraId="1AD3B1C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50.5%</w:t>
            </w:r>
          </w:p>
        </w:tc>
        <w:tc>
          <w:tcPr>
            <w:tcW w:w="1255" w:type="dxa"/>
            <w:hideMark/>
          </w:tcPr>
          <w:p w14:paraId="4657056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6.6%</w:t>
            </w:r>
          </w:p>
        </w:tc>
      </w:tr>
      <w:tr w:rsidR="00F71967" w:rsidRPr="00A45681" w14:paraId="0BF11679"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4973B43E" w14:textId="77777777" w:rsidR="00F71967" w:rsidRPr="00A45681" w:rsidRDefault="00F71967">
            <w:pPr>
              <w:pStyle w:val="TableText"/>
              <w:rPr>
                <w:lang w:eastAsia="zh-CN" w:bidi="he-IL"/>
              </w:rPr>
            </w:pPr>
            <w:r w:rsidRPr="00A45681">
              <w:rPr>
                <w:lang w:bidi="he-IL"/>
              </w:rPr>
              <w:t>Device malfunction</w:t>
            </w:r>
          </w:p>
        </w:tc>
        <w:tc>
          <w:tcPr>
            <w:tcW w:w="1530" w:type="dxa"/>
            <w:noWrap/>
            <w:hideMark/>
          </w:tcPr>
          <w:p w14:paraId="76D685A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20.5%</w:t>
            </w:r>
          </w:p>
        </w:tc>
        <w:tc>
          <w:tcPr>
            <w:tcW w:w="1530" w:type="dxa"/>
            <w:hideMark/>
          </w:tcPr>
          <w:p w14:paraId="1ED2AE1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7.2%</w:t>
            </w:r>
          </w:p>
        </w:tc>
        <w:tc>
          <w:tcPr>
            <w:tcW w:w="1350" w:type="dxa"/>
            <w:hideMark/>
          </w:tcPr>
          <w:p w14:paraId="136E62D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3.6%</w:t>
            </w:r>
          </w:p>
        </w:tc>
        <w:tc>
          <w:tcPr>
            <w:tcW w:w="1440" w:type="dxa"/>
            <w:noWrap/>
            <w:hideMark/>
          </w:tcPr>
          <w:p w14:paraId="0CD2461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60.2%</w:t>
            </w:r>
          </w:p>
        </w:tc>
        <w:tc>
          <w:tcPr>
            <w:tcW w:w="1255" w:type="dxa"/>
            <w:hideMark/>
          </w:tcPr>
          <w:p w14:paraId="79D8C45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8.4%</w:t>
            </w:r>
          </w:p>
        </w:tc>
      </w:tr>
      <w:tr w:rsidR="00F71967" w:rsidRPr="00A45681" w14:paraId="66277FC1" w14:textId="77777777">
        <w:trPr>
          <w:trHeight w:val="432"/>
        </w:trPr>
        <w:tc>
          <w:tcPr>
            <w:cnfStyle w:val="001000000000" w:firstRow="0" w:lastRow="0" w:firstColumn="1" w:lastColumn="0" w:oddVBand="0" w:evenVBand="0" w:oddHBand="0" w:evenHBand="0" w:firstRowFirstColumn="0" w:firstRowLastColumn="0" w:lastRowFirstColumn="0" w:lastRowLastColumn="0"/>
            <w:tcW w:w="2245" w:type="dxa"/>
            <w:noWrap/>
            <w:hideMark/>
          </w:tcPr>
          <w:p w14:paraId="3AF7E3C5" w14:textId="77777777" w:rsidR="00F71967" w:rsidRPr="00A45681" w:rsidRDefault="00F71967">
            <w:pPr>
              <w:pStyle w:val="TableText"/>
              <w:keepNext/>
              <w:rPr>
                <w:lang w:eastAsia="zh-CN" w:bidi="he-IL"/>
              </w:rPr>
            </w:pPr>
            <w:r w:rsidRPr="00A45681">
              <w:rPr>
                <w:lang w:bidi="he-IL"/>
              </w:rPr>
              <w:t>Other</w:t>
            </w:r>
          </w:p>
        </w:tc>
        <w:tc>
          <w:tcPr>
            <w:tcW w:w="1530" w:type="dxa"/>
            <w:noWrap/>
            <w:hideMark/>
          </w:tcPr>
          <w:p w14:paraId="52E9BECD"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51.9%</w:t>
            </w:r>
          </w:p>
        </w:tc>
        <w:tc>
          <w:tcPr>
            <w:tcW w:w="1530" w:type="dxa"/>
            <w:hideMark/>
          </w:tcPr>
          <w:p w14:paraId="6C49AE30"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15.2%</w:t>
            </w:r>
          </w:p>
        </w:tc>
        <w:tc>
          <w:tcPr>
            <w:tcW w:w="1350" w:type="dxa"/>
            <w:hideMark/>
          </w:tcPr>
          <w:p w14:paraId="61AC60F8"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3.0%</w:t>
            </w:r>
          </w:p>
        </w:tc>
        <w:tc>
          <w:tcPr>
            <w:tcW w:w="1440" w:type="dxa"/>
            <w:noWrap/>
            <w:hideMark/>
          </w:tcPr>
          <w:p w14:paraId="2D10FBC3"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18.6%</w:t>
            </w:r>
          </w:p>
        </w:tc>
        <w:tc>
          <w:tcPr>
            <w:tcW w:w="1255" w:type="dxa"/>
            <w:hideMark/>
          </w:tcPr>
          <w:p w14:paraId="7F97305E"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rPr>
                <w:lang w:eastAsia="zh-CN" w:bidi="he-IL"/>
              </w:rPr>
            </w:pPr>
            <w:r w:rsidRPr="00A45681">
              <w:rPr>
                <w:lang w:bidi="he-IL"/>
              </w:rPr>
              <w:t>11.4%</w:t>
            </w:r>
          </w:p>
        </w:tc>
      </w:tr>
    </w:tbl>
    <w:p w14:paraId="145D07D3" w14:textId="77777777" w:rsidR="00F71967" w:rsidRPr="00A45681" w:rsidRDefault="00F71967" w:rsidP="00F71967">
      <w:pPr>
        <w:pStyle w:val="Tablefooter"/>
        <w:spacing w:after="360"/>
      </w:pPr>
      <w:r w:rsidRPr="00A45681">
        <w:t>Source: Medtronic Product Surveillance Report, 202</w:t>
      </w:r>
      <w:r>
        <w:t>1</w:t>
      </w:r>
    </w:p>
    <w:p w14:paraId="5001F508" w14:textId="77777777" w:rsidR="00F71967" w:rsidRPr="00A45681" w:rsidRDefault="00F71967" w:rsidP="00F71967">
      <w:pPr>
        <w:pStyle w:val="Heading2"/>
      </w:pPr>
      <w:bookmarkStart w:id="24" w:name="_Toc183525251"/>
      <w:bookmarkStart w:id="25" w:name="_Toc197964057"/>
      <w:bookmarkStart w:id="26" w:name="_Toc227850339"/>
      <w:r w:rsidRPr="00A45681">
        <w:t xml:space="preserve">Device </w:t>
      </w:r>
      <w:r>
        <w:t>l</w:t>
      </w:r>
      <w:r w:rsidRPr="00A45681">
        <w:t>ongevity</w:t>
      </w:r>
      <w:bookmarkEnd w:id="24"/>
      <w:bookmarkEnd w:id="25"/>
      <w:bookmarkEnd w:id="26"/>
    </w:p>
    <w:p w14:paraId="76220367" w14:textId="77777777" w:rsidR="00F71967" w:rsidRPr="00A45681" w:rsidRDefault="00F71967" w:rsidP="00F71967">
      <w:r w:rsidRPr="00A45681">
        <w:t xml:space="preserve">DTM-SCS devices use the </w:t>
      </w:r>
      <w:proofErr w:type="spellStart"/>
      <w:r w:rsidRPr="00A45681">
        <w:t>Intellis</w:t>
      </w:r>
      <w:r w:rsidRPr="00A45681">
        <w:rPr>
          <w:vertAlign w:val="superscript"/>
        </w:rPr>
        <w:t>TM</w:t>
      </w:r>
      <w:proofErr w:type="spellEnd"/>
      <w:r w:rsidRPr="00A45681">
        <w:t xml:space="preserve"> platform. A longevity of 9 years was applied such that all patients remaining on therapy would </w:t>
      </w:r>
      <w:r w:rsidRPr="00B56982">
        <w:t>undergo device replacement at 9-year intervals.</w:t>
      </w:r>
      <w:r>
        <w:fldChar w:fldCharType="begin"/>
      </w:r>
      <w:r>
        <w:instrText>ADDIN BEC{Medtronic Plc. #33041}</w:instrText>
      </w:r>
      <w:r>
        <w:fldChar w:fldCharType="separate"/>
      </w:r>
      <w:r>
        <w:rPr>
          <w:vertAlign w:val="superscript"/>
        </w:rPr>
        <w:t>5</w:t>
      </w:r>
      <w:r>
        <w:fldChar w:fldCharType="end"/>
      </w:r>
      <w:r w:rsidRPr="00B56982">
        <w:t xml:space="preserve"> DTM-SCS </w:t>
      </w:r>
      <w:r>
        <w:t>device warranty conditions (9 years in</w:t>
      </w:r>
      <w:r w:rsidRPr="00B56982">
        <w:t xml:space="preserve"> Belgi</w:t>
      </w:r>
      <w:r>
        <w:t>um)</w:t>
      </w:r>
      <w:r w:rsidRPr="00B56982">
        <w:t xml:space="preserve"> were </w:t>
      </w:r>
      <w:r>
        <w:t>included in</w:t>
      </w:r>
      <w:r w:rsidRPr="00B56982">
        <w:t xml:space="preserve"> the model. Alternative longevity assumptions were explored in sensitivity analysis.</w:t>
      </w:r>
    </w:p>
    <w:p w14:paraId="11E97BE9" w14:textId="77777777" w:rsidR="00F71967" w:rsidRPr="00A45681" w:rsidRDefault="00F71967" w:rsidP="00F71967">
      <w:pPr>
        <w:pStyle w:val="Heading2"/>
      </w:pPr>
      <w:bookmarkStart w:id="27" w:name="_Toc183525252"/>
      <w:bookmarkStart w:id="28" w:name="_Toc197964058"/>
      <w:bookmarkStart w:id="29" w:name="_Toc227850340"/>
      <w:r w:rsidRPr="00A45681">
        <w:t>Quality of life</w:t>
      </w:r>
      <w:bookmarkEnd w:id="27"/>
      <w:bookmarkEnd w:id="28"/>
      <w:bookmarkEnd w:id="29"/>
    </w:p>
    <w:p w14:paraId="454345ED" w14:textId="77777777" w:rsidR="00F71967" w:rsidRDefault="00F71967" w:rsidP="00F71967">
      <w:r w:rsidRPr="00A45681">
        <w:t xml:space="preserve">A key element of the model is the relationship between pain relief and quality of life. Consistent with the </w:t>
      </w:r>
      <w:r>
        <w:t xml:space="preserve">2010 NHS </w:t>
      </w:r>
      <w:r w:rsidRPr="002D5C8B">
        <w:t>mode</w:t>
      </w:r>
      <w:r>
        <w:t>l</w:t>
      </w:r>
      <w:r w:rsidRPr="00A45681">
        <w:t>,</w:t>
      </w:r>
      <w:r>
        <w:fldChar w:fldCharType="begin"/>
      </w:r>
      <w:r>
        <w:instrText>ADDIN BEC{Taylor et al., 2010 #16059}</w:instrText>
      </w:r>
      <w:r>
        <w:fldChar w:fldCharType="separate"/>
      </w:r>
      <w:r>
        <w:rPr>
          <w:vertAlign w:val="superscript"/>
        </w:rPr>
        <w:t>2</w:t>
      </w:r>
      <w:r>
        <w:fldChar w:fldCharType="end"/>
      </w:r>
      <w:r w:rsidRPr="00A45681">
        <w:t xml:space="preserve"> utility weights were applied to each health state to reflect varying quality of life</w:t>
      </w:r>
      <w:r>
        <w:t xml:space="preserve"> (Table S4)</w:t>
      </w:r>
      <w:r w:rsidRPr="00A45681">
        <w:t xml:space="preserve">, with the proportion of patients with optimal and sub-optimal pain relief in each group driving </w:t>
      </w:r>
      <w:r>
        <w:t>quality-adjusted life-year (</w:t>
      </w:r>
      <w:r w:rsidRPr="00A45681">
        <w:t>QALY</w:t>
      </w:r>
      <w:r>
        <w:t>)</w:t>
      </w:r>
      <w:r w:rsidRPr="00A45681">
        <w:t xml:space="preserve"> differences over the duration of the model. These utility weights were all based on EQ-5D-5L data collected during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r>
        <w:t xml:space="preserve"> </w:t>
      </w:r>
      <w:r w:rsidRPr="00A45681">
        <w:t>for which Belgian preference weights were applied.</w:t>
      </w:r>
    </w:p>
    <w:p w14:paraId="40DE7C59" w14:textId="77777777" w:rsidR="00F71967" w:rsidRPr="00A45681" w:rsidRDefault="00F71967" w:rsidP="00F71967">
      <w:r w:rsidRPr="00A45681">
        <w:t>Separate utility weights were applied for the ‘optimal pain relief’ for patients with and without complications</w:t>
      </w:r>
      <w:r>
        <w:t>. No</w:t>
      </w:r>
      <w:r w:rsidRPr="00A45681">
        <w:t xml:space="preserve"> differentiation was made </w:t>
      </w:r>
      <w:r>
        <w:t xml:space="preserve">for </w:t>
      </w:r>
      <w:r w:rsidRPr="00A45681">
        <w:t>the ‘sub-optimal pain relief’ state. Although the base-case model used the probabilities of optimal pain relief as the main efficacy data, the model also included an option to consider ‘profound’ pain relief (&gt;</w:t>
      </w:r>
      <w:r>
        <w:t xml:space="preserve"> </w:t>
      </w:r>
      <w:r w:rsidRPr="00A45681">
        <w:t>80% reduction in VAS).</w:t>
      </w:r>
      <w:bookmarkStart w:id="30" w:name="_Ref114145993"/>
    </w:p>
    <w:p w14:paraId="325547B6" w14:textId="77777777" w:rsidR="00F71967" w:rsidRPr="009A1111" w:rsidRDefault="00F71967" w:rsidP="009A1111">
      <w:pPr>
        <w:pStyle w:val="TableText"/>
        <w:rPr>
          <w:b/>
          <w:bCs/>
        </w:rPr>
      </w:pPr>
      <w:bookmarkStart w:id="31" w:name="_Toc197964059"/>
      <w:r w:rsidRPr="009A1111">
        <w:rPr>
          <w:b/>
          <w:bCs/>
        </w:rPr>
        <w:t>Table S</w:t>
      </w:r>
      <w:bookmarkEnd w:id="30"/>
      <w:r w:rsidRPr="009A1111">
        <w:rPr>
          <w:b/>
          <w:bCs/>
        </w:rPr>
        <w:t>4. Utility weights by health state</w:t>
      </w:r>
      <w:bookmarkEnd w:id="31"/>
    </w:p>
    <w:tbl>
      <w:tblPr>
        <w:tblStyle w:val="GridTable1Light"/>
        <w:tblW w:w="5000" w:type="pct"/>
        <w:tblLook w:val="04A0" w:firstRow="1" w:lastRow="0" w:firstColumn="1" w:lastColumn="0" w:noHBand="0" w:noVBand="1"/>
      </w:tblPr>
      <w:tblGrid>
        <w:gridCol w:w="3076"/>
        <w:gridCol w:w="1236"/>
        <w:gridCol w:w="5038"/>
      </w:tblGrid>
      <w:tr w:rsidR="00F71967" w:rsidRPr="007D489F" w14:paraId="3B61B172"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45" w:type="pct"/>
            <w:hideMark/>
          </w:tcPr>
          <w:p w14:paraId="0CACE1BE" w14:textId="77777777" w:rsidR="00F71967" w:rsidRPr="007D489F" w:rsidRDefault="00F71967">
            <w:pPr>
              <w:pStyle w:val="TableText"/>
              <w:keepNext/>
            </w:pPr>
            <w:r w:rsidRPr="007D489F">
              <w:t>Health state</w:t>
            </w:r>
          </w:p>
        </w:tc>
        <w:tc>
          <w:tcPr>
            <w:tcW w:w="661" w:type="pct"/>
            <w:hideMark/>
          </w:tcPr>
          <w:p w14:paraId="5F5CFA95" w14:textId="77777777" w:rsidR="00F71967" w:rsidRPr="007D489F"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7D489F">
              <w:t>Utility weight</w:t>
            </w:r>
          </w:p>
        </w:tc>
        <w:tc>
          <w:tcPr>
            <w:tcW w:w="2694" w:type="pct"/>
            <w:hideMark/>
          </w:tcPr>
          <w:p w14:paraId="0D0607B0" w14:textId="77777777" w:rsidR="00F71967" w:rsidRPr="007D489F"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7D489F">
              <w:t>Comment(s)</w:t>
            </w:r>
          </w:p>
        </w:tc>
      </w:tr>
      <w:tr w:rsidR="00F71967" w:rsidRPr="007D489F" w14:paraId="6798F8F6"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hideMark/>
          </w:tcPr>
          <w:p w14:paraId="2DE13955" w14:textId="77777777" w:rsidR="00F71967" w:rsidRPr="007D489F" w:rsidRDefault="00F71967">
            <w:pPr>
              <w:pStyle w:val="TableText"/>
            </w:pPr>
            <w:bookmarkStart w:id="32" w:name="_Hlk183457458"/>
            <w:r w:rsidRPr="007D489F">
              <w:t>Optimal pain relief</w:t>
            </w:r>
            <w:r>
              <w:t xml:space="preserve">, </w:t>
            </w:r>
            <w:r w:rsidRPr="007D489F">
              <w:t>no complications</w:t>
            </w:r>
          </w:p>
        </w:tc>
        <w:tc>
          <w:tcPr>
            <w:tcW w:w="661" w:type="pct"/>
            <w:hideMark/>
          </w:tcPr>
          <w:p w14:paraId="34614054"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0.74</w:t>
            </w:r>
          </w:p>
        </w:tc>
        <w:tc>
          <w:tcPr>
            <w:tcW w:w="2694" w:type="pct"/>
          </w:tcPr>
          <w:p w14:paraId="11EDB72D"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p>
        </w:tc>
      </w:tr>
      <w:bookmarkEnd w:id="32"/>
      <w:tr w:rsidR="00F71967" w:rsidRPr="007D489F" w14:paraId="3921B59C"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hideMark/>
          </w:tcPr>
          <w:p w14:paraId="7293D75F" w14:textId="77777777" w:rsidR="00F71967" w:rsidRPr="007D489F" w:rsidRDefault="00F71967">
            <w:pPr>
              <w:pStyle w:val="TableText"/>
            </w:pPr>
            <w:r w:rsidRPr="007D489F">
              <w:t>Optimal pain relief</w:t>
            </w:r>
            <w:r>
              <w:t xml:space="preserve">, </w:t>
            </w:r>
            <w:r w:rsidRPr="007D489F">
              <w:t>with complications</w:t>
            </w:r>
          </w:p>
        </w:tc>
        <w:tc>
          <w:tcPr>
            <w:tcW w:w="661" w:type="pct"/>
            <w:hideMark/>
          </w:tcPr>
          <w:p w14:paraId="2CBA47D5"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0.69</w:t>
            </w:r>
          </w:p>
        </w:tc>
        <w:tc>
          <w:tcPr>
            <w:tcW w:w="2694" w:type="pct"/>
            <w:hideMark/>
          </w:tcPr>
          <w:p w14:paraId="016274A6"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Applied for one cycle to patients experiencing an adverse event</w:t>
            </w:r>
          </w:p>
        </w:tc>
      </w:tr>
      <w:tr w:rsidR="00F71967" w:rsidRPr="007D489F" w14:paraId="1AA9B48D"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hideMark/>
          </w:tcPr>
          <w:p w14:paraId="5D40E914" w14:textId="77777777" w:rsidR="00F71967" w:rsidRPr="007D489F" w:rsidRDefault="00F71967">
            <w:pPr>
              <w:pStyle w:val="TableText"/>
            </w:pPr>
            <w:r w:rsidRPr="007D489F">
              <w:t>Sub-optimal pain relief</w:t>
            </w:r>
          </w:p>
        </w:tc>
        <w:tc>
          <w:tcPr>
            <w:tcW w:w="661" w:type="pct"/>
            <w:hideMark/>
          </w:tcPr>
          <w:p w14:paraId="1E3A8D8B"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0.54</w:t>
            </w:r>
          </w:p>
        </w:tc>
        <w:tc>
          <w:tcPr>
            <w:tcW w:w="2694" w:type="pct"/>
          </w:tcPr>
          <w:p w14:paraId="4754C8D7"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p>
        </w:tc>
      </w:tr>
      <w:tr w:rsidR="00F71967" w:rsidRPr="007D489F" w14:paraId="38BBC892"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hideMark/>
          </w:tcPr>
          <w:p w14:paraId="7B8053E5" w14:textId="77777777" w:rsidR="00F71967" w:rsidRPr="007D489F" w:rsidRDefault="00F71967">
            <w:pPr>
              <w:pStyle w:val="TableText"/>
            </w:pPr>
            <w:r w:rsidRPr="007D489F">
              <w:t>No pain relief</w:t>
            </w:r>
          </w:p>
        </w:tc>
        <w:tc>
          <w:tcPr>
            <w:tcW w:w="661" w:type="pct"/>
            <w:hideMark/>
          </w:tcPr>
          <w:p w14:paraId="051F6DC2"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0.40</w:t>
            </w:r>
          </w:p>
        </w:tc>
        <w:tc>
          <w:tcPr>
            <w:tcW w:w="2694" w:type="pct"/>
            <w:hideMark/>
          </w:tcPr>
          <w:p w14:paraId="21C25ECE"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Applied for one model cycle at the time of</w:t>
            </w:r>
            <w:r>
              <w:t xml:space="preserve"> DTM-SCS</w:t>
            </w:r>
            <w:r w:rsidRPr="007D489F">
              <w:t xml:space="preserve"> withdrawal/</w:t>
            </w:r>
            <w:proofErr w:type="spellStart"/>
            <w:r w:rsidRPr="007D489F">
              <w:t>explantation</w:t>
            </w:r>
            <w:proofErr w:type="spellEnd"/>
          </w:p>
        </w:tc>
      </w:tr>
      <w:tr w:rsidR="00F71967" w:rsidRPr="007D489F" w14:paraId="49148715"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tcPr>
          <w:p w14:paraId="170A6AAC" w14:textId="77777777" w:rsidR="00F71967" w:rsidRPr="007D489F" w:rsidRDefault="00F71967">
            <w:pPr>
              <w:pStyle w:val="TableText"/>
            </w:pPr>
            <w:r w:rsidRPr="007D489F">
              <w:t>Profound pain relief- no complications</w:t>
            </w:r>
          </w:p>
        </w:tc>
        <w:tc>
          <w:tcPr>
            <w:tcW w:w="661" w:type="pct"/>
          </w:tcPr>
          <w:p w14:paraId="05AB15F7"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0.78</w:t>
            </w:r>
          </w:p>
        </w:tc>
        <w:tc>
          <w:tcPr>
            <w:tcW w:w="2694" w:type="pct"/>
          </w:tcPr>
          <w:p w14:paraId="0F76512B"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Only for scenario analysis</w:t>
            </w:r>
          </w:p>
        </w:tc>
      </w:tr>
      <w:tr w:rsidR="00F71967" w:rsidRPr="007D489F" w14:paraId="6A2BF8DD"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tcPr>
          <w:p w14:paraId="338F0DC4" w14:textId="77777777" w:rsidR="00F71967" w:rsidRPr="007D489F" w:rsidRDefault="00F71967">
            <w:pPr>
              <w:pStyle w:val="TableText"/>
            </w:pPr>
            <w:r w:rsidRPr="007D489F">
              <w:t>Profound pain relief- with complications</w:t>
            </w:r>
          </w:p>
        </w:tc>
        <w:tc>
          <w:tcPr>
            <w:tcW w:w="661" w:type="pct"/>
          </w:tcPr>
          <w:p w14:paraId="120FE994"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0.74</w:t>
            </w:r>
          </w:p>
        </w:tc>
        <w:tc>
          <w:tcPr>
            <w:tcW w:w="2694" w:type="pct"/>
          </w:tcPr>
          <w:p w14:paraId="07809049" w14:textId="77777777" w:rsidR="00F71967" w:rsidRPr="007D489F" w:rsidRDefault="00F71967">
            <w:pPr>
              <w:pStyle w:val="TableText"/>
              <w:cnfStyle w:val="000000000000" w:firstRow="0" w:lastRow="0" w:firstColumn="0" w:lastColumn="0" w:oddVBand="0" w:evenVBand="0" w:oddHBand="0" w:evenHBand="0" w:firstRowFirstColumn="0" w:firstRowLastColumn="0" w:lastRowFirstColumn="0" w:lastRowLastColumn="0"/>
            </w:pPr>
            <w:r w:rsidRPr="007D489F">
              <w:t>Only for scenario analysis</w:t>
            </w:r>
          </w:p>
        </w:tc>
      </w:tr>
      <w:tr w:rsidR="00F71967" w:rsidRPr="007D489F" w14:paraId="1398C9DF" w14:textId="77777777">
        <w:trPr>
          <w:trHeight w:val="576"/>
        </w:trPr>
        <w:tc>
          <w:tcPr>
            <w:cnfStyle w:val="001000000000" w:firstRow="0" w:lastRow="0" w:firstColumn="1" w:lastColumn="0" w:oddVBand="0" w:evenVBand="0" w:oddHBand="0" w:evenHBand="0" w:firstRowFirstColumn="0" w:firstRowLastColumn="0" w:lastRowFirstColumn="0" w:lastRowLastColumn="0"/>
            <w:tcW w:w="1645" w:type="pct"/>
          </w:tcPr>
          <w:p w14:paraId="33F726E7" w14:textId="77777777" w:rsidR="00F71967" w:rsidRPr="007D489F" w:rsidRDefault="00F71967">
            <w:pPr>
              <w:pStyle w:val="TableText"/>
              <w:keepNext/>
            </w:pPr>
            <w:r w:rsidRPr="007D489F">
              <w:t>Suboptimal pain relief (&lt;80%)</w:t>
            </w:r>
          </w:p>
        </w:tc>
        <w:tc>
          <w:tcPr>
            <w:tcW w:w="661" w:type="pct"/>
          </w:tcPr>
          <w:p w14:paraId="2B9C45FC" w14:textId="77777777" w:rsidR="00F71967" w:rsidRPr="007D489F"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7D489F">
              <w:t>0.64</w:t>
            </w:r>
          </w:p>
        </w:tc>
        <w:tc>
          <w:tcPr>
            <w:tcW w:w="2694" w:type="pct"/>
          </w:tcPr>
          <w:p w14:paraId="253594C3" w14:textId="77777777" w:rsidR="00F71967" w:rsidRPr="007D489F"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7D489F">
              <w:t>Only for scenario analysis</w:t>
            </w:r>
          </w:p>
        </w:tc>
      </w:tr>
    </w:tbl>
    <w:p w14:paraId="678518FF" w14:textId="77777777" w:rsidR="00F71967" w:rsidRPr="00A45681" w:rsidRDefault="00F71967" w:rsidP="00F71967">
      <w:pPr>
        <w:pStyle w:val="Tablefooter"/>
      </w:pPr>
      <w:proofErr w:type="gramStart"/>
      <w:r w:rsidRPr="004C1784">
        <w:rPr>
          <w:lang w:val="fr-FR"/>
        </w:rPr>
        <w:t>Source:</w:t>
      </w:r>
      <w:proofErr w:type="gramEnd"/>
      <w:r w:rsidRPr="004C1784">
        <w:rPr>
          <w:lang w:val="fr-FR"/>
        </w:rPr>
        <w:t xml:space="preserve"> Kallewaard JW, Billet B, Van Paesschen R et al. </w:t>
      </w:r>
      <w:r w:rsidRPr="00A45681">
        <w:t xml:space="preserve">European randomized controlled trial evaluating differential target multiplexed spinal cord stimulation and conventional medical management in subjects with persistent back pain ineligible for spine surgery: 24-month results. </w:t>
      </w:r>
      <w:proofErr w:type="spellStart"/>
      <w:r w:rsidRPr="00A45681">
        <w:t>Eur</w:t>
      </w:r>
      <w:proofErr w:type="spellEnd"/>
      <w:r w:rsidRPr="00A45681">
        <w:t xml:space="preserve"> J Pain. </w:t>
      </w:r>
      <w:proofErr w:type="gramStart"/>
      <w:r w:rsidRPr="00A45681">
        <w:t>2024;28:1745</w:t>
      </w:r>
      <w:proofErr w:type="gramEnd"/>
      <w:r w:rsidRPr="00A45681">
        <w:t>-1761.</w:t>
      </w:r>
    </w:p>
    <w:p w14:paraId="781CD62F" w14:textId="77777777" w:rsidR="00F71967" w:rsidRPr="00A45681" w:rsidRDefault="00F71967" w:rsidP="00F71967">
      <w:pPr>
        <w:pStyle w:val="Heading2"/>
      </w:pPr>
      <w:bookmarkStart w:id="33" w:name="_Toc183525253"/>
      <w:bookmarkStart w:id="34" w:name="_Toc197964060"/>
      <w:bookmarkStart w:id="35" w:name="_Toc227850341"/>
      <w:r w:rsidRPr="00A45681">
        <w:t>Mortality</w:t>
      </w:r>
      <w:bookmarkEnd w:id="33"/>
      <w:bookmarkEnd w:id="34"/>
      <w:bookmarkEnd w:id="35"/>
    </w:p>
    <w:p w14:paraId="0551CA54" w14:textId="77777777" w:rsidR="00F71967" w:rsidRPr="00A45681" w:rsidRDefault="00F71967" w:rsidP="00F71967">
      <w:r w:rsidRPr="00A45681">
        <w:t>Patient mortality was modeled based on the Belgian 2023 life expectancy tables,</w:t>
      </w:r>
      <w:r>
        <w:fldChar w:fldCharType="begin"/>
      </w:r>
      <w:r>
        <w:instrText>ADDIN BEC{STATBEL #250836}</w:instrText>
      </w:r>
      <w:r>
        <w:fldChar w:fldCharType="separate"/>
      </w:r>
      <w:r>
        <w:rPr>
          <w:vertAlign w:val="superscript"/>
        </w:rPr>
        <w:t>6</w:t>
      </w:r>
      <w:r>
        <w:fldChar w:fldCharType="end"/>
      </w:r>
      <w:r w:rsidRPr="00A45681">
        <w:t xml:space="preserve"> matched for the age and gender of the model population. No differential mortality rates were applied according to level of pain relief achieved</w:t>
      </w:r>
      <w:r>
        <w:t xml:space="preserve">, and </w:t>
      </w:r>
      <w:r w:rsidRPr="00A45681">
        <w:t>mortality was assumed to be equivalent in both treatment groups.</w:t>
      </w:r>
    </w:p>
    <w:p w14:paraId="2DCBB8BB" w14:textId="77777777" w:rsidR="00F71967" w:rsidRPr="00A45681" w:rsidRDefault="00F71967" w:rsidP="00F71967">
      <w:pPr>
        <w:pStyle w:val="Heading2"/>
      </w:pPr>
      <w:bookmarkStart w:id="36" w:name="_Toc183525254"/>
      <w:bookmarkStart w:id="37" w:name="_Toc197964061"/>
      <w:bookmarkStart w:id="38" w:name="_Toc227850342"/>
      <w:r w:rsidRPr="00A45681">
        <w:t>Unit costs and healthcare resource use</w:t>
      </w:r>
      <w:bookmarkEnd w:id="36"/>
      <w:bookmarkEnd w:id="37"/>
      <w:bookmarkEnd w:id="38"/>
    </w:p>
    <w:p w14:paraId="7B7AAAF5" w14:textId="77777777" w:rsidR="00F71967" w:rsidRDefault="00F71967" w:rsidP="00F71967">
      <w:r w:rsidRPr="00A45681">
        <w:t>The model captured a range of costs to reflect different elements of care for patients in each treatment group. The main cost categories were:</w:t>
      </w:r>
    </w:p>
    <w:p w14:paraId="2BFD6EB8" w14:textId="77777777" w:rsidR="00F71967" w:rsidRDefault="00F71967" w:rsidP="00F71967">
      <w:pPr>
        <w:pStyle w:val="ListParagraph"/>
        <w:numPr>
          <w:ilvl w:val="0"/>
          <w:numId w:val="15"/>
        </w:numPr>
      </w:pPr>
      <w:r w:rsidRPr="00A45681">
        <w:t>Device acquisition and implantation (both for trial stimulation and full implant</w:t>
      </w:r>
      <w:r>
        <w:t>)</w:t>
      </w:r>
    </w:p>
    <w:p w14:paraId="348D4A1B" w14:textId="77777777" w:rsidR="00F71967" w:rsidRDefault="00F71967" w:rsidP="00F71967">
      <w:pPr>
        <w:pStyle w:val="ListParagraph"/>
        <w:numPr>
          <w:ilvl w:val="0"/>
          <w:numId w:val="15"/>
        </w:numPr>
      </w:pPr>
      <w:r w:rsidRPr="00A45681">
        <w:t>Device replacement due to battery depletion</w:t>
      </w:r>
    </w:p>
    <w:p w14:paraId="2B60CFAB" w14:textId="77777777" w:rsidR="00F71967" w:rsidRDefault="00F71967" w:rsidP="00F71967">
      <w:pPr>
        <w:pStyle w:val="ListParagraph"/>
        <w:numPr>
          <w:ilvl w:val="0"/>
          <w:numId w:val="15"/>
        </w:numPr>
      </w:pPr>
      <w:r w:rsidRPr="00A45681">
        <w:t>Adverse event management</w:t>
      </w:r>
    </w:p>
    <w:p w14:paraId="3C0B8F24" w14:textId="77777777" w:rsidR="00F71967" w:rsidRDefault="00F71967" w:rsidP="00F71967">
      <w:pPr>
        <w:pStyle w:val="ListParagraph"/>
        <w:numPr>
          <w:ilvl w:val="0"/>
          <w:numId w:val="15"/>
        </w:numPr>
      </w:pPr>
      <w:r w:rsidRPr="00A45681">
        <w:t>Pain medication</w:t>
      </w:r>
    </w:p>
    <w:p w14:paraId="227F1E83" w14:textId="77777777" w:rsidR="00F71967" w:rsidRDefault="00F71967" w:rsidP="00F71967">
      <w:pPr>
        <w:pStyle w:val="ListParagraph"/>
        <w:numPr>
          <w:ilvl w:val="0"/>
          <w:numId w:val="15"/>
        </w:numPr>
      </w:pPr>
      <w:r w:rsidRPr="00A45681">
        <w:t>Non-drug therapy (e.g., nerve blocks, physiotherapy)</w:t>
      </w:r>
    </w:p>
    <w:p w14:paraId="01C2578B" w14:textId="77777777" w:rsidR="00F71967" w:rsidRDefault="00F71967" w:rsidP="00F71967">
      <w:pPr>
        <w:pStyle w:val="ListParagraph"/>
        <w:numPr>
          <w:ilvl w:val="0"/>
          <w:numId w:val="15"/>
        </w:numPr>
      </w:pPr>
      <w:r>
        <w:t>T</w:t>
      </w:r>
      <w:r w:rsidRPr="00A45681">
        <w:t>reatment withdrawal</w:t>
      </w:r>
    </w:p>
    <w:p w14:paraId="17A51BB5" w14:textId="77777777" w:rsidR="00F71967" w:rsidRPr="00A45681" w:rsidRDefault="00F71967" w:rsidP="00F71967">
      <w:r w:rsidRPr="00A45681">
        <w:t xml:space="preserve">Unit costs were taken from a range of sources, including the Belgian APR-DRGs and RIZIV honoraria for procedures, hospitalizations, device re-programming, </w:t>
      </w:r>
      <w:r>
        <w:t>healthcare resource use</w:t>
      </w:r>
      <w:r w:rsidRPr="00A45681">
        <w:t>, and adverse event management,</w:t>
      </w:r>
      <w:r>
        <w:fldChar w:fldCharType="begin"/>
      </w:r>
      <w:r>
        <w:instrText>ADDIN BEC{eTCT #179863; National Institute for Sickness and Disability Insurance (Belgium) #35403}</w:instrText>
      </w:r>
      <w:r>
        <w:fldChar w:fldCharType="separate"/>
      </w:r>
      <w:r>
        <w:rPr>
          <w:vertAlign w:val="superscript"/>
        </w:rPr>
        <w:t>7, 8</w:t>
      </w:r>
      <w:r>
        <w:fldChar w:fldCharType="end"/>
      </w:r>
      <w:r w:rsidRPr="00A45681">
        <w:t xml:space="preserve"> and RIZIV list prices for all components of the device kit.</w:t>
      </w:r>
      <w:r>
        <w:fldChar w:fldCharType="begin"/>
      </w:r>
      <w:r>
        <w:instrText>ADDIN BEC{National Institute for Sickness and Disability Insurance (Belgium) #77697}</w:instrText>
      </w:r>
      <w:r>
        <w:fldChar w:fldCharType="separate"/>
      </w:r>
      <w:r>
        <w:rPr>
          <w:vertAlign w:val="superscript"/>
        </w:rPr>
        <w:t>9</w:t>
      </w:r>
      <w:r>
        <w:fldChar w:fldCharType="end"/>
      </w:r>
      <w:r>
        <w:t xml:space="preserve"> </w:t>
      </w:r>
      <w:r w:rsidRPr="00A45681">
        <w:t>The model exclude</w:t>
      </w:r>
      <w:r>
        <w:t>d</w:t>
      </w:r>
      <w:r w:rsidRPr="00A45681">
        <w:t xml:space="preserve"> costs associated with repeat spine surgery</w:t>
      </w:r>
      <w:r>
        <w:t xml:space="preserve"> </w:t>
      </w:r>
      <w:r w:rsidRPr="00A45681">
        <w:t>because PSPS-T1 patients are assumed to be ineligible for surgery.</w:t>
      </w:r>
    </w:p>
    <w:p w14:paraId="3424A8AD" w14:textId="77777777" w:rsidR="00F71967" w:rsidRDefault="00F71967" w:rsidP="00F71967">
      <w:r w:rsidRPr="00A45681">
        <w:t xml:space="preserve">All patients in the DTM-SCS </w:t>
      </w:r>
      <w:r>
        <w:t>cohort</w:t>
      </w:r>
      <w:r w:rsidRPr="00A45681">
        <w:t xml:space="preserve"> were assigned the cost of a trial implantation (</w:t>
      </w:r>
      <w:r>
        <w:t xml:space="preserve">€ </w:t>
      </w:r>
      <w:r w:rsidRPr="00A45681">
        <w:t>3152) plus the cost of leads (</w:t>
      </w:r>
      <w:r>
        <w:t xml:space="preserve">€ </w:t>
      </w:r>
      <w:r w:rsidRPr="00A45681">
        <w:t>10</w:t>
      </w:r>
      <w:r>
        <w:t>90</w:t>
      </w:r>
      <w:r w:rsidRPr="00A45681">
        <w:t>). The cost of the external trial battery was not included individually</w:t>
      </w:r>
      <w:r>
        <w:t>,</w:t>
      </w:r>
      <w:r w:rsidRPr="00A45681">
        <w:t xml:space="preserve"> as it is a part of the hospital</w:t>
      </w:r>
      <w:r>
        <w:t>’s</w:t>
      </w:r>
      <w:r w:rsidRPr="00A45681">
        <w:t xml:space="preserve"> lump</w:t>
      </w:r>
      <w:r>
        <w:t>-</w:t>
      </w:r>
      <w:r w:rsidRPr="00A45681">
        <w:t>sum</w:t>
      </w:r>
      <w:r>
        <w:t xml:space="preserve"> cost</w:t>
      </w:r>
      <w:r w:rsidRPr="00A45681">
        <w:t>.</w:t>
      </w:r>
    </w:p>
    <w:p w14:paraId="7D67CEFC" w14:textId="77777777" w:rsidR="00F71967" w:rsidRDefault="00F71967" w:rsidP="00F71967">
      <w:r>
        <w:t>For</w:t>
      </w:r>
      <w:r w:rsidRPr="00A45681">
        <w:t xml:space="preserve"> patients proceeding to a full implant</w:t>
      </w:r>
      <w:r>
        <w:t xml:space="preserve">, the </w:t>
      </w:r>
      <w:r w:rsidRPr="00A45681">
        <w:t xml:space="preserve">trial procedure </w:t>
      </w:r>
      <w:r>
        <w:t>was</w:t>
      </w:r>
      <w:r w:rsidRPr="00A45681">
        <w:t xml:space="preserve"> followed by a second procedure (</w:t>
      </w:r>
      <w:r>
        <w:t xml:space="preserve">€ </w:t>
      </w:r>
      <w:r w:rsidRPr="00A45681">
        <w:t xml:space="preserve">1462) plus full device kit cost based on the </w:t>
      </w:r>
      <w:proofErr w:type="spellStart"/>
      <w:r w:rsidRPr="00A45681">
        <w:t>Intellis</w:t>
      </w:r>
      <w:proofErr w:type="spellEnd"/>
      <w:r w:rsidRPr="00A45681">
        <w:t xml:space="preserve"> system</w:t>
      </w:r>
      <w:r>
        <w:t>.</w:t>
      </w:r>
      <w:r w:rsidRPr="00A45681">
        <w:t xml:space="preserve"> Notably, the clinical authors on this paper advised that, in Belgium, the same leads used for the trial are also used in the permanent implant. Therefore, the costs of leads were only included in the trial implantation in the case of a successful trial.</w:t>
      </w:r>
    </w:p>
    <w:p w14:paraId="127C8718" w14:textId="77777777" w:rsidR="00F71967" w:rsidRPr="00A45681" w:rsidRDefault="00F71967" w:rsidP="00F71967">
      <w:r w:rsidRPr="00A45681">
        <w:t xml:space="preserve">A separate cost was applied for </w:t>
      </w:r>
      <w:proofErr w:type="spellStart"/>
      <w:r w:rsidRPr="00A45681">
        <w:t>explantation</w:t>
      </w:r>
      <w:proofErr w:type="spellEnd"/>
      <w:r w:rsidRPr="00A45681">
        <w:t xml:space="preserve"> of the test electrode (</w:t>
      </w:r>
      <w:r>
        <w:t xml:space="preserve">€ </w:t>
      </w:r>
      <w:r w:rsidRPr="00A45681">
        <w:t xml:space="preserve">1462) in case of inadequate pain relief during the trial implant phase. </w:t>
      </w:r>
      <w:r>
        <w:t>D</w:t>
      </w:r>
      <w:r w:rsidRPr="00A45681">
        <w:t>evice</w:t>
      </w:r>
      <w:r>
        <w:t>-</w:t>
      </w:r>
      <w:r w:rsidRPr="00A45681">
        <w:t>replacement procedure</w:t>
      </w:r>
      <w:r>
        <w:t>s and DTM-SCS</w:t>
      </w:r>
      <w:r w:rsidRPr="00A45681">
        <w:t xml:space="preserve"> withdrawal </w:t>
      </w:r>
      <w:r>
        <w:t>procedures were</w:t>
      </w:r>
      <w:r w:rsidRPr="00A45681">
        <w:t xml:space="preserve"> assigned a cost of </w:t>
      </w:r>
      <w:r>
        <w:t xml:space="preserve">€ </w:t>
      </w:r>
      <w:r w:rsidRPr="00A45681">
        <w:t xml:space="preserve">1462 plus the </w:t>
      </w:r>
      <w:r>
        <w:t xml:space="preserve">cost of the </w:t>
      </w:r>
      <w:r w:rsidRPr="00A45681">
        <w:t>device. In the first year of the analysis, patients in the DTM</w:t>
      </w:r>
      <w:r>
        <w:t>-SCS</w:t>
      </w:r>
      <w:r w:rsidRPr="00A45681">
        <w:t xml:space="preserve"> group were assumed to require an average of 2 re-programming visits</w:t>
      </w:r>
      <w:r>
        <w:t xml:space="preserve">, which is </w:t>
      </w:r>
      <w:r w:rsidRPr="00A45681">
        <w:t>the max</w:t>
      </w:r>
      <w:r>
        <w:t>imum</w:t>
      </w:r>
      <w:r w:rsidRPr="00A45681">
        <w:t xml:space="preserve"> number that can be reimbursed per year in Belgium. All re-programming visits were assigned a cost of </w:t>
      </w:r>
      <w:r>
        <w:t xml:space="preserve">€ </w:t>
      </w:r>
      <w:r w:rsidRPr="00A45681">
        <w:t>56.</w:t>
      </w:r>
    </w:p>
    <w:p w14:paraId="4E576CA0" w14:textId="77777777" w:rsidR="00F71967" w:rsidRDefault="00F71967" w:rsidP="00F71967">
      <w:r w:rsidRPr="00A45681">
        <w:t xml:space="preserve">The </w:t>
      </w:r>
      <w:r>
        <w:t xml:space="preserve">average per-patient </w:t>
      </w:r>
      <w:r w:rsidRPr="00A45681">
        <w:t xml:space="preserve">cost of pain medication was </w:t>
      </w:r>
      <w:r>
        <w:t xml:space="preserve">calculated </w:t>
      </w:r>
      <w:r w:rsidRPr="00A45681">
        <w:t>based on dose, frequency, and medication</w:t>
      </w:r>
      <w:r>
        <w:t xml:space="preserve"> types</w:t>
      </w:r>
      <w:r w:rsidRPr="00A45681">
        <w:t xml:space="preserve"> </w:t>
      </w:r>
      <w:r>
        <w:t>recorded in the K</w:t>
      </w:r>
      <w:r w:rsidRPr="00034153">
        <w:t>allewaard</w:t>
      </w:r>
      <w:r>
        <w:t xml:space="preserve"> RCT,</w:t>
      </w:r>
      <w:r>
        <w:fldChar w:fldCharType="begin"/>
      </w:r>
      <w:r>
        <w:instrText>ADDIN BEC{Kallewaard et al., 2024 #168327}</w:instrText>
      </w:r>
      <w:r>
        <w:fldChar w:fldCharType="separate"/>
      </w:r>
      <w:r>
        <w:rPr>
          <w:vertAlign w:val="superscript"/>
        </w:rPr>
        <w:t>1</w:t>
      </w:r>
      <w:r>
        <w:fldChar w:fldCharType="end"/>
      </w:r>
      <w:r>
        <w:t xml:space="preserve"> using medication prices from the </w:t>
      </w:r>
      <w:r w:rsidRPr="00A45681">
        <w:t>RIZIV database</w:t>
      </w:r>
      <w:r>
        <w:t>.</w:t>
      </w:r>
      <w:r>
        <w:fldChar w:fldCharType="begin"/>
      </w:r>
      <w:r>
        <w:instrText>ADDIN BEC{National Institute for Sickness and Disability Insurance (Belgium) #261847}</w:instrText>
      </w:r>
      <w:r>
        <w:fldChar w:fldCharType="separate"/>
      </w:r>
      <w:r>
        <w:rPr>
          <w:vertAlign w:val="superscript"/>
        </w:rPr>
        <w:t>10</w:t>
      </w:r>
      <w:r>
        <w:fldChar w:fldCharType="end"/>
      </w:r>
      <w:r>
        <w:t xml:space="preserve"> </w:t>
      </w:r>
      <w:r w:rsidRPr="00A45681">
        <w:t>When multiple generic options with different prices existed</w:t>
      </w:r>
      <w:r>
        <w:t xml:space="preserve"> for a specific medication</w:t>
      </w:r>
      <w:r w:rsidRPr="00A45681">
        <w:t xml:space="preserve">, the </w:t>
      </w:r>
      <w:r>
        <w:t>least expensive medication</w:t>
      </w:r>
      <w:r w:rsidRPr="00A45681">
        <w:t xml:space="preserve"> was used. </w:t>
      </w:r>
      <w:r>
        <w:t>The</w:t>
      </w:r>
      <w:r w:rsidRPr="00A45681">
        <w:t xml:space="preserve"> mean </w:t>
      </w:r>
      <w:r>
        <w:t xml:space="preserve">per-patient </w:t>
      </w:r>
      <w:r w:rsidRPr="00A45681">
        <w:t>value was then multiplied by the percent</w:t>
      </w:r>
      <w:r>
        <w:t>age</w:t>
      </w:r>
      <w:r w:rsidRPr="00A45681">
        <w:t xml:space="preserve"> of patients in each group who used medications during the study to </w:t>
      </w:r>
      <w:r>
        <w:t>derive</w:t>
      </w:r>
      <w:r w:rsidRPr="00A45681">
        <w:t xml:space="preserve"> the mean drug cost per group at 24-months for DTM-SCS and </w:t>
      </w:r>
      <w:r>
        <w:t xml:space="preserve">at </w:t>
      </w:r>
      <w:r w:rsidRPr="00A45681">
        <w:t>6 months for CMM.</w:t>
      </w:r>
    </w:p>
    <w:p w14:paraId="0AEF05DA" w14:textId="77777777" w:rsidR="00F71967" w:rsidRPr="00565E3B" w:rsidRDefault="00F71967" w:rsidP="00F71967">
      <w:r w:rsidRPr="00565E3B">
        <w:t xml:space="preserve">In the Kallewaard RCT, 88.24% of DTM-SCS patients reported medication use, at an average total cost of </w:t>
      </w:r>
      <w:r>
        <w:t xml:space="preserve">€ </w:t>
      </w:r>
      <w:r w:rsidRPr="00565E3B">
        <w:t>383 over a 24-month period; 87.72% of CMM patients reported medication use</w:t>
      </w:r>
      <w:r>
        <w:t>,</w:t>
      </w:r>
      <w:r w:rsidRPr="00565E3B">
        <w:t xml:space="preserve"> at an average total cost of </w:t>
      </w:r>
      <w:r>
        <w:t xml:space="preserve">€ </w:t>
      </w:r>
      <w:r w:rsidRPr="00565E3B">
        <w:t>997 over a 6-month period.</w:t>
      </w:r>
      <w:r>
        <w:fldChar w:fldCharType="begin"/>
      </w:r>
      <w:r>
        <w:instrText>ADDIN BEC{Kallewaard et al., 2024 #168327}</w:instrText>
      </w:r>
      <w:r>
        <w:fldChar w:fldCharType="separate"/>
      </w:r>
      <w:r>
        <w:rPr>
          <w:vertAlign w:val="superscript"/>
        </w:rPr>
        <w:t>1</w:t>
      </w:r>
      <w:r>
        <w:fldChar w:fldCharType="end"/>
      </w:r>
      <w:r w:rsidRPr="00565E3B">
        <w:t xml:space="preserve"> Notably, one patient in the CMM group received treatment with ketamine. The exceedingly high associated medication costs drastically increased the mean drug costs of the CMM group. This patient was left in the sample for the base-case analysis, but a scenario analysis was conducted in which the outlying medication-use data were excluded.</w:t>
      </w:r>
    </w:p>
    <w:p w14:paraId="0EC039DD" w14:textId="77777777" w:rsidR="00F71967" w:rsidRDefault="00F71967" w:rsidP="00F71967">
      <w:r>
        <w:t>For</w:t>
      </w:r>
      <w:r w:rsidRPr="00A45681">
        <w:t xml:space="preserve"> the long-term</w:t>
      </w:r>
      <w:r>
        <w:t xml:space="preserve"> Markov phase of the model</w:t>
      </w:r>
      <w:r w:rsidRPr="00A45681">
        <w:t xml:space="preserve">, drug costs for the DTM-SCS group </w:t>
      </w:r>
      <w:r>
        <w:t>were</w:t>
      </w:r>
      <w:r w:rsidRPr="00A45681">
        <w:t xml:space="preserve"> assumed to remain the same, whereas drug costs in the CMM group </w:t>
      </w:r>
      <w:r>
        <w:t>were</w:t>
      </w:r>
      <w:r w:rsidRPr="00A45681">
        <w:t xml:space="preserve"> assumed to decrease by 13.5%, consistent with prior literature.</w:t>
      </w:r>
      <w:r>
        <w:fldChar w:fldCharType="begin"/>
      </w:r>
      <w:r>
        <w:instrText>ADDIN BEC{Taylor et al., 2010 #16059}</w:instrText>
      </w:r>
      <w:r>
        <w:fldChar w:fldCharType="separate"/>
      </w:r>
      <w:r>
        <w:rPr>
          <w:vertAlign w:val="superscript"/>
        </w:rPr>
        <w:t>2</w:t>
      </w:r>
      <w:r>
        <w:fldChar w:fldCharType="end"/>
      </w:r>
    </w:p>
    <w:p w14:paraId="7F789990" w14:textId="77777777" w:rsidR="00F71967" w:rsidRPr="00A45681" w:rsidRDefault="00F71967" w:rsidP="00F71967">
      <w:r w:rsidRPr="00A45681">
        <w:t xml:space="preserve">Non-drug therapy resource use data </w:t>
      </w:r>
      <w:r>
        <w:t>were</w:t>
      </w:r>
      <w:r w:rsidRPr="00A45681">
        <w:t xml:space="preserve"> also </w:t>
      </w:r>
      <w:r>
        <w:t>derived</w:t>
      </w:r>
      <w:r w:rsidRPr="00A45681">
        <w:t xml:space="preserve"> from the </w:t>
      </w:r>
      <w:r w:rsidRPr="00034153">
        <w:t>Kallewaard</w:t>
      </w:r>
      <w:r>
        <w:t xml:space="preserve"> RCT (Table S5).</w:t>
      </w:r>
      <w:r>
        <w:fldChar w:fldCharType="begin"/>
      </w:r>
      <w:r>
        <w:instrText>ADDIN BEC{Kallewaard et al., 2024 #168327}</w:instrText>
      </w:r>
      <w:r>
        <w:fldChar w:fldCharType="separate"/>
      </w:r>
      <w:r>
        <w:rPr>
          <w:vertAlign w:val="superscript"/>
        </w:rPr>
        <w:t>1</w:t>
      </w:r>
      <w:r>
        <w:fldChar w:fldCharType="end"/>
      </w:r>
      <w:r w:rsidRPr="00A45681">
        <w:t xml:space="preserve">. The categories of </w:t>
      </w:r>
      <w:r>
        <w:t>healthcare resource use</w:t>
      </w:r>
      <w:r w:rsidRPr="00A45681">
        <w:t xml:space="preserve"> include</w:t>
      </w:r>
      <w:r>
        <w:t>d</w:t>
      </w:r>
      <w:r w:rsidRPr="00A45681">
        <w:t xml:space="preserve"> </w:t>
      </w:r>
      <w:r>
        <w:t>general-practitioner visits</w:t>
      </w:r>
      <w:r w:rsidRPr="00A45681">
        <w:t xml:space="preserve">, outpatient visits, inpatient visits, physical rehabilitation, psychological rehabilitation, nurse visits, and spinal injections. The mean number </w:t>
      </w:r>
      <w:proofErr w:type="gramStart"/>
      <w:r w:rsidRPr="00A45681">
        <w:t>of visits for</w:t>
      </w:r>
      <w:proofErr w:type="gramEnd"/>
      <w:r w:rsidRPr="00A45681">
        <w:t xml:space="preserve"> patients using a given resource </w:t>
      </w:r>
      <w:r>
        <w:t>was</w:t>
      </w:r>
      <w:r w:rsidRPr="00A45681">
        <w:t xml:space="preserve"> calculated, as well as the </w:t>
      </w:r>
      <w:proofErr w:type="gramStart"/>
      <w:r w:rsidRPr="00A45681">
        <w:t>percent</w:t>
      </w:r>
      <w:proofErr w:type="gramEnd"/>
      <w:r w:rsidRPr="00A45681">
        <w:t xml:space="preserve"> of patients in the respective group who used that resource.</w:t>
      </w:r>
    </w:p>
    <w:p w14:paraId="50A8380D" w14:textId="77777777" w:rsidR="00F71967" w:rsidRPr="009A1111" w:rsidRDefault="00F71967" w:rsidP="009A1111">
      <w:pPr>
        <w:pStyle w:val="TableText"/>
        <w:rPr>
          <w:b/>
          <w:bCs/>
        </w:rPr>
      </w:pPr>
      <w:bookmarkStart w:id="39" w:name="_Toc197964062"/>
      <w:r w:rsidRPr="009A1111">
        <w:rPr>
          <w:b/>
          <w:bCs/>
        </w:rPr>
        <w:t>Table S5. Healthcare resource use, by group</w:t>
      </w:r>
      <w:bookmarkEnd w:id="39"/>
    </w:p>
    <w:tbl>
      <w:tblPr>
        <w:tblStyle w:val="GridTable1Light"/>
        <w:tblW w:w="0" w:type="auto"/>
        <w:tblLook w:val="04A0" w:firstRow="1" w:lastRow="0" w:firstColumn="1" w:lastColumn="0" w:noHBand="0" w:noVBand="1"/>
      </w:tblPr>
      <w:tblGrid>
        <w:gridCol w:w="2425"/>
        <w:gridCol w:w="1620"/>
        <w:gridCol w:w="2070"/>
        <w:gridCol w:w="1350"/>
        <w:gridCol w:w="1885"/>
      </w:tblGrid>
      <w:tr w:rsidR="00F71967" w:rsidRPr="00A45681" w14:paraId="6BF4A0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07B259C" w14:textId="77777777" w:rsidR="00F71967" w:rsidRPr="00A45681" w:rsidRDefault="00F71967">
            <w:pPr>
              <w:pStyle w:val="TableText"/>
              <w:keepNext/>
            </w:pPr>
            <w:r w:rsidRPr="00A45681">
              <w:t>Resource type</w:t>
            </w:r>
          </w:p>
        </w:tc>
        <w:tc>
          <w:tcPr>
            <w:tcW w:w="1620" w:type="dxa"/>
          </w:tcPr>
          <w:p w14:paraId="6F5EB82C"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A45681">
              <w:t>CMM % of patients</w:t>
            </w:r>
          </w:p>
        </w:tc>
        <w:tc>
          <w:tcPr>
            <w:tcW w:w="2070" w:type="dxa"/>
          </w:tcPr>
          <w:p w14:paraId="1FCC5C68"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lang w:val="en-GB"/>
              </w:rPr>
            </w:pPr>
            <w:r w:rsidRPr="00A45681">
              <w:rPr>
                <w:lang w:val="en-GB"/>
              </w:rPr>
              <w:t xml:space="preserve">CMM mean visits per 6 months </w:t>
            </w:r>
          </w:p>
        </w:tc>
        <w:tc>
          <w:tcPr>
            <w:tcW w:w="1350" w:type="dxa"/>
          </w:tcPr>
          <w:p w14:paraId="7E01D553"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t>DTM-SCS</w:t>
            </w:r>
            <w:r w:rsidRPr="00A45681">
              <w:t xml:space="preserve"> % of patients</w:t>
            </w:r>
          </w:p>
        </w:tc>
        <w:tc>
          <w:tcPr>
            <w:tcW w:w="1885" w:type="dxa"/>
          </w:tcPr>
          <w:p w14:paraId="2761BF4C"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rPr>
                <w:lang w:val="en-GB"/>
              </w:rPr>
            </w:pPr>
            <w:r>
              <w:rPr>
                <w:lang w:val="en-GB"/>
              </w:rPr>
              <w:t>DTM-SCS</w:t>
            </w:r>
            <w:r w:rsidRPr="00A45681">
              <w:rPr>
                <w:lang w:val="en-GB"/>
              </w:rPr>
              <w:t xml:space="preserve"> mean visits per 24 months</w:t>
            </w:r>
          </w:p>
        </w:tc>
      </w:tr>
      <w:tr w:rsidR="00F71967" w:rsidRPr="00A45681" w14:paraId="5B4FA467" w14:textId="77777777">
        <w:tc>
          <w:tcPr>
            <w:cnfStyle w:val="001000000000" w:firstRow="0" w:lastRow="0" w:firstColumn="1" w:lastColumn="0" w:oddVBand="0" w:evenVBand="0" w:oddHBand="0" w:evenHBand="0" w:firstRowFirstColumn="0" w:firstRowLastColumn="0" w:lastRowFirstColumn="0" w:lastRowLastColumn="0"/>
            <w:tcW w:w="2425" w:type="dxa"/>
          </w:tcPr>
          <w:p w14:paraId="22CD6CAD" w14:textId="77777777" w:rsidR="00F71967" w:rsidRPr="00A45681" w:rsidRDefault="00F71967">
            <w:pPr>
              <w:pStyle w:val="TableText"/>
            </w:pPr>
            <w:r w:rsidRPr="00A45681">
              <w:t>Physical rehab</w:t>
            </w:r>
            <w:r>
              <w:t>ilitation</w:t>
            </w:r>
          </w:p>
        </w:tc>
        <w:tc>
          <w:tcPr>
            <w:tcW w:w="1620" w:type="dxa"/>
          </w:tcPr>
          <w:p w14:paraId="3DCEE98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35.1%</w:t>
            </w:r>
          </w:p>
        </w:tc>
        <w:tc>
          <w:tcPr>
            <w:tcW w:w="2070" w:type="dxa"/>
          </w:tcPr>
          <w:p w14:paraId="45E1171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14.</w:t>
            </w:r>
            <w:r>
              <w:t>6</w:t>
            </w:r>
          </w:p>
        </w:tc>
        <w:tc>
          <w:tcPr>
            <w:tcW w:w="1350" w:type="dxa"/>
          </w:tcPr>
          <w:p w14:paraId="673E9DC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31.4%</w:t>
            </w:r>
          </w:p>
        </w:tc>
        <w:tc>
          <w:tcPr>
            <w:tcW w:w="1885" w:type="dxa"/>
          </w:tcPr>
          <w:p w14:paraId="683884E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25.2</w:t>
            </w:r>
          </w:p>
        </w:tc>
      </w:tr>
      <w:tr w:rsidR="00F71967" w:rsidRPr="00A45681" w14:paraId="2CEB6F2D" w14:textId="77777777">
        <w:tc>
          <w:tcPr>
            <w:cnfStyle w:val="001000000000" w:firstRow="0" w:lastRow="0" w:firstColumn="1" w:lastColumn="0" w:oddVBand="0" w:evenVBand="0" w:oddHBand="0" w:evenHBand="0" w:firstRowFirstColumn="0" w:firstRowLastColumn="0" w:lastRowFirstColumn="0" w:lastRowLastColumn="0"/>
            <w:tcW w:w="2425" w:type="dxa"/>
          </w:tcPr>
          <w:p w14:paraId="1962E161" w14:textId="77777777" w:rsidR="00F71967" w:rsidRPr="00A45681" w:rsidRDefault="00F71967">
            <w:pPr>
              <w:pStyle w:val="TableText"/>
            </w:pPr>
            <w:r>
              <w:t>General-practitioner visit</w:t>
            </w:r>
          </w:p>
        </w:tc>
        <w:tc>
          <w:tcPr>
            <w:tcW w:w="1620" w:type="dxa"/>
          </w:tcPr>
          <w:p w14:paraId="016D178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33.3%</w:t>
            </w:r>
          </w:p>
        </w:tc>
        <w:tc>
          <w:tcPr>
            <w:tcW w:w="2070" w:type="dxa"/>
          </w:tcPr>
          <w:p w14:paraId="512CBFA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5</w:t>
            </w:r>
          </w:p>
        </w:tc>
        <w:tc>
          <w:tcPr>
            <w:tcW w:w="1350" w:type="dxa"/>
          </w:tcPr>
          <w:p w14:paraId="3CC2590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27.5%</w:t>
            </w:r>
          </w:p>
        </w:tc>
        <w:tc>
          <w:tcPr>
            <w:tcW w:w="1885" w:type="dxa"/>
          </w:tcPr>
          <w:p w14:paraId="06DED05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3</w:t>
            </w:r>
          </w:p>
        </w:tc>
      </w:tr>
      <w:tr w:rsidR="00F71967" w:rsidRPr="00A45681" w14:paraId="47392593" w14:textId="77777777">
        <w:tc>
          <w:tcPr>
            <w:cnfStyle w:val="001000000000" w:firstRow="0" w:lastRow="0" w:firstColumn="1" w:lastColumn="0" w:oddVBand="0" w:evenVBand="0" w:oddHBand="0" w:evenHBand="0" w:firstRowFirstColumn="0" w:firstRowLastColumn="0" w:lastRowFirstColumn="0" w:lastRowLastColumn="0"/>
            <w:tcW w:w="2425" w:type="dxa"/>
          </w:tcPr>
          <w:p w14:paraId="5F14D575" w14:textId="77777777" w:rsidR="00F71967" w:rsidRPr="00A45681" w:rsidRDefault="00F71967">
            <w:pPr>
              <w:pStyle w:val="TableText"/>
            </w:pPr>
            <w:r w:rsidRPr="00A45681">
              <w:t>Outpatient</w:t>
            </w:r>
          </w:p>
        </w:tc>
        <w:tc>
          <w:tcPr>
            <w:tcW w:w="1620" w:type="dxa"/>
          </w:tcPr>
          <w:p w14:paraId="3D4DC79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31.6%</w:t>
            </w:r>
          </w:p>
        </w:tc>
        <w:tc>
          <w:tcPr>
            <w:tcW w:w="2070" w:type="dxa"/>
          </w:tcPr>
          <w:p w14:paraId="6BEFB14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w:t>
            </w:r>
            <w:r>
              <w:t>2</w:t>
            </w:r>
          </w:p>
        </w:tc>
        <w:tc>
          <w:tcPr>
            <w:tcW w:w="1350" w:type="dxa"/>
          </w:tcPr>
          <w:p w14:paraId="657078B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25.5%</w:t>
            </w:r>
          </w:p>
        </w:tc>
        <w:tc>
          <w:tcPr>
            <w:tcW w:w="1885" w:type="dxa"/>
          </w:tcPr>
          <w:p w14:paraId="26D4A7E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2.7</w:t>
            </w:r>
          </w:p>
        </w:tc>
      </w:tr>
      <w:tr w:rsidR="00F71967" w:rsidRPr="00A45681" w14:paraId="70A3C347" w14:textId="77777777">
        <w:tc>
          <w:tcPr>
            <w:cnfStyle w:val="001000000000" w:firstRow="0" w:lastRow="0" w:firstColumn="1" w:lastColumn="0" w:oddVBand="0" w:evenVBand="0" w:oddHBand="0" w:evenHBand="0" w:firstRowFirstColumn="0" w:firstRowLastColumn="0" w:lastRowFirstColumn="0" w:lastRowLastColumn="0"/>
            <w:tcW w:w="2425" w:type="dxa"/>
          </w:tcPr>
          <w:p w14:paraId="76635323" w14:textId="77777777" w:rsidR="00F71967" w:rsidRPr="00A45681" w:rsidRDefault="00F71967">
            <w:pPr>
              <w:pStyle w:val="TableText"/>
            </w:pPr>
            <w:r w:rsidRPr="00A45681">
              <w:t>Inpatient</w:t>
            </w:r>
          </w:p>
        </w:tc>
        <w:tc>
          <w:tcPr>
            <w:tcW w:w="1620" w:type="dxa"/>
          </w:tcPr>
          <w:p w14:paraId="5B7964A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10.5%</w:t>
            </w:r>
          </w:p>
        </w:tc>
        <w:tc>
          <w:tcPr>
            <w:tcW w:w="2070" w:type="dxa"/>
          </w:tcPr>
          <w:p w14:paraId="5B16DC3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1350" w:type="dxa"/>
          </w:tcPr>
          <w:p w14:paraId="170C093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3.9%</w:t>
            </w:r>
          </w:p>
        </w:tc>
        <w:tc>
          <w:tcPr>
            <w:tcW w:w="1885" w:type="dxa"/>
          </w:tcPr>
          <w:p w14:paraId="43CB7DB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r>
              <w:t>.0</w:t>
            </w:r>
          </w:p>
        </w:tc>
      </w:tr>
      <w:tr w:rsidR="00F71967" w:rsidRPr="00A45681" w14:paraId="09EEF75D" w14:textId="77777777">
        <w:tc>
          <w:tcPr>
            <w:cnfStyle w:val="001000000000" w:firstRow="0" w:lastRow="0" w:firstColumn="1" w:lastColumn="0" w:oddVBand="0" w:evenVBand="0" w:oddHBand="0" w:evenHBand="0" w:firstRowFirstColumn="0" w:firstRowLastColumn="0" w:lastRowFirstColumn="0" w:lastRowLastColumn="0"/>
            <w:tcW w:w="2425" w:type="dxa"/>
          </w:tcPr>
          <w:p w14:paraId="55877227" w14:textId="77777777" w:rsidR="00F71967" w:rsidRPr="00A45681" w:rsidRDefault="00F71967">
            <w:pPr>
              <w:pStyle w:val="TableText"/>
            </w:pPr>
            <w:r w:rsidRPr="00A45681">
              <w:t>Spinal injection</w:t>
            </w:r>
          </w:p>
        </w:tc>
        <w:tc>
          <w:tcPr>
            <w:tcW w:w="1620" w:type="dxa"/>
          </w:tcPr>
          <w:p w14:paraId="483329A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7.0%</w:t>
            </w:r>
          </w:p>
        </w:tc>
        <w:tc>
          <w:tcPr>
            <w:tcW w:w="2070" w:type="dxa"/>
          </w:tcPr>
          <w:p w14:paraId="6DD172D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1.5</w:t>
            </w:r>
          </w:p>
        </w:tc>
        <w:tc>
          <w:tcPr>
            <w:tcW w:w="1350" w:type="dxa"/>
          </w:tcPr>
          <w:p w14:paraId="17304C8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11.8%</w:t>
            </w:r>
          </w:p>
        </w:tc>
        <w:tc>
          <w:tcPr>
            <w:tcW w:w="1885" w:type="dxa"/>
          </w:tcPr>
          <w:p w14:paraId="32F55C9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.0</w:t>
            </w:r>
          </w:p>
        </w:tc>
      </w:tr>
      <w:tr w:rsidR="00F71967" w:rsidRPr="00A45681" w14:paraId="35F0A1B3" w14:textId="77777777">
        <w:tc>
          <w:tcPr>
            <w:cnfStyle w:val="001000000000" w:firstRow="0" w:lastRow="0" w:firstColumn="1" w:lastColumn="0" w:oddVBand="0" w:evenVBand="0" w:oddHBand="0" w:evenHBand="0" w:firstRowFirstColumn="0" w:firstRowLastColumn="0" w:lastRowFirstColumn="0" w:lastRowLastColumn="0"/>
            <w:tcW w:w="2425" w:type="dxa"/>
          </w:tcPr>
          <w:p w14:paraId="2F9455B8" w14:textId="77777777" w:rsidR="00F71967" w:rsidRPr="00A45681" w:rsidRDefault="00F71967">
            <w:pPr>
              <w:pStyle w:val="TableText"/>
            </w:pPr>
            <w:r w:rsidRPr="00A45681">
              <w:t>Nurse</w:t>
            </w:r>
          </w:p>
        </w:tc>
        <w:tc>
          <w:tcPr>
            <w:tcW w:w="1620" w:type="dxa"/>
          </w:tcPr>
          <w:p w14:paraId="68A950C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2070" w:type="dxa"/>
          </w:tcPr>
          <w:p w14:paraId="428BDEF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.0</w:t>
            </w:r>
          </w:p>
        </w:tc>
        <w:tc>
          <w:tcPr>
            <w:tcW w:w="1350" w:type="dxa"/>
          </w:tcPr>
          <w:p w14:paraId="0AF4B3C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9.8%</w:t>
            </w:r>
          </w:p>
        </w:tc>
        <w:tc>
          <w:tcPr>
            <w:tcW w:w="1885" w:type="dxa"/>
          </w:tcPr>
          <w:p w14:paraId="68A2505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13.6</w:t>
            </w:r>
          </w:p>
        </w:tc>
      </w:tr>
      <w:tr w:rsidR="00F71967" w:rsidRPr="00A45681" w14:paraId="6D38EFC1" w14:textId="77777777">
        <w:tc>
          <w:tcPr>
            <w:cnfStyle w:val="001000000000" w:firstRow="0" w:lastRow="0" w:firstColumn="1" w:lastColumn="0" w:oddVBand="0" w:evenVBand="0" w:oddHBand="0" w:evenHBand="0" w:firstRowFirstColumn="0" w:firstRowLastColumn="0" w:lastRowFirstColumn="0" w:lastRowLastColumn="0"/>
            <w:tcW w:w="2425" w:type="dxa"/>
          </w:tcPr>
          <w:p w14:paraId="6B781B2E" w14:textId="77777777" w:rsidR="00F71967" w:rsidRPr="00A45681" w:rsidRDefault="00F71967">
            <w:pPr>
              <w:pStyle w:val="TableText"/>
              <w:keepNext/>
            </w:pPr>
            <w:r w:rsidRPr="00A45681">
              <w:t>Psychological rehab</w:t>
            </w:r>
            <w:r>
              <w:t>ilitation</w:t>
            </w:r>
          </w:p>
        </w:tc>
        <w:tc>
          <w:tcPr>
            <w:tcW w:w="1620" w:type="dxa"/>
          </w:tcPr>
          <w:p w14:paraId="79B794AA"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8.8%</w:t>
            </w:r>
          </w:p>
        </w:tc>
        <w:tc>
          <w:tcPr>
            <w:tcW w:w="2070" w:type="dxa"/>
          </w:tcPr>
          <w:p w14:paraId="12CF3F9D"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1.8</w:t>
            </w:r>
          </w:p>
        </w:tc>
        <w:tc>
          <w:tcPr>
            <w:tcW w:w="1350" w:type="dxa"/>
          </w:tcPr>
          <w:p w14:paraId="33C81545"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2.0%</w:t>
            </w:r>
          </w:p>
        </w:tc>
        <w:tc>
          <w:tcPr>
            <w:tcW w:w="1885" w:type="dxa"/>
          </w:tcPr>
          <w:p w14:paraId="1DE4CA7D" w14:textId="77777777" w:rsidR="00F71967" w:rsidRPr="00A45681" w:rsidRDefault="00F71967">
            <w:pPr>
              <w:pStyle w:val="TableText"/>
              <w:keepNext/>
              <w:cnfStyle w:val="000000000000" w:firstRow="0" w:lastRow="0" w:firstColumn="0" w:lastColumn="0" w:oddVBand="0" w:evenVBand="0" w:oddHBand="0" w:evenHBand="0" w:firstRowFirstColumn="0" w:firstRowLastColumn="0" w:lastRowFirstColumn="0" w:lastRowLastColumn="0"/>
            </w:pPr>
            <w:r w:rsidRPr="00A45681">
              <w:t>3</w:t>
            </w:r>
            <w:r>
              <w:t>.0</w:t>
            </w:r>
          </w:p>
        </w:tc>
      </w:tr>
    </w:tbl>
    <w:p w14:paraId="3C52B0DB" w14:textId="77777777" w:rsidR="00F71967" w:rsidRDefault="00F71967" w:rsidP="00F71967">
      <w:pPr>
        <w:pStyle w:val="Tablefooter"/>
      </w:pPr>
      <w:proofErr w:type="gramStart"/>
      <w:r w:rsidRPr="004C1784">
        <w:rPr>
          <w:lang w:val="fr-FR"/>
        </w:rPr>
        <w:t>Source:</w:t>
      </w:r>
      <w:proofErr w:type="gramEnd"/>
      <w:r w:rsidRPr="004C1784">
        <w:rPr>
          <w:lang w:val="fr-FR"/>
        </w:rPr>
        <w:t xml:space="preserve"> Kallewaard JW, Billet B, Van Paesschen R et al. </w:t>
      </w:r>
      <w:r w:rsidRPr="00A45681">
        <w:t xml:space="preserve">European randomized controlled trial evaluating differential target multiplexed spinal cord stimulation and conventional medical management in subjects with persistent back pain ineligible for spine surgery: 24-month results. </w:t>
      </w:r>
      <w:proofErr w:type="spellStart"/>
      <w:r w:rsidRPr="00A45681">
        <w:t>Eur</w:t>
      </w:r>
      <w:proofErr w:type="spellEnd"/>
      <w:r w:rsidRPr="00A45681">
        <w:t xml:space="preserve"> J Pain. </w:t>
      </w:r>
      <w:proofErr w:type="gramStart"/>
      <w:r w:rsidRPr="00A45681">
        <w:t>2024;28:1745</w:t>
      </w:r>
      <w:proofErr w:type="gramEnd"/>
      <w:r w:rsidRPr="00A45681">
        <w:t>-1761.</w:t>
      </w:r>
    </w:p>
    <w:p w14:paraId="4B57910F" w14:textId="77777777" w:rsidR="00F71967" w:rsidRPr="00A45681" w:rsidRDefault="00F71967" w:rsidP="00F71967">
      <w:r w:rsidRPr="00A45681">
        <w:t xml:space="preserve">Costs were assigned </w:t>
      </w:r>
      <w:r>
        <w:t>by applying</w:t>
      </w:r>
      <w:r w:rsidRPr="00A45681">
        <w:t xml:space="preserve"> the </w:t>
      </w:r>
      <w:r>
        <w:t>healthcare resource use</w:t>
      </w:r>
      <w:r w:rsidRPr="00A45681">
        <w:t xml:space="preserve"> values </w:t>
      </w:r>
      <w:r>
        <w:t>to</w:t>
      </w:r>
      <w:r w:rsidRPr="00A45681">
        <w:t xml:space="preserve"> the respective RIZIV Honorarium and hospitalization costs, where applicable.</w:t>
      </w:r>
      <w:r w:rsidRPr="009C7FD0">
        <w:fldChar w:fldCharType="begin"/>
      </w:r>
      <w:r w:rsidRPr="009C7FD0">
        <w:instrText>ADDIN BEC{National Institute for Sickness and Disability Insurance (Belgium) #83468; National Institute for Sickness and Disability Insurance (Belgium) #35403}</w:instrText>
      </w:r>
      <w:r w:rsidRPr="009C7FD0">
        <w:fldChar w:fldCharType="separate"/>
      </w:r>
      <w:r w:rsidRPr="009C7FD0">
        <w:rPr>
          <w:vertAlign w:val="superscript"/>
        </w:rPr>
        <w:t>8, 11</w:t>
      </w:r>
      <w:r w:rsidRPr="009C7FD0">
        <w:fldChar w:fldCharType="end"/>
      </w:r>
      <w:r w:rsidRPr="009C7FD0">
        <w:t xml:space="preserve"> </w:t>
      </w:r>
      <w:r w:rsidRPr="00341490">
        <w:t>In total, the cost of non-drug therapy in the initial 24-month cycle in each group was € 2898 (CMM) and € 782 (DTM-SCS).</w:t>
      </w:r>
      <w:r w:rsidRPr="009C7FD0">
        <w:t xml:space="preserve"> Over the long run, DTM-SCS costs were assumed to remain constant, whereas CMM costs were</w:t>
      </w:r>
      <w:r w:rsidRPr="00A45681">
        <w:t xml:space="preserve"> assumed to decrease by 13.5%, as found in prior literature.</w:t>
      </w:r>
      <w:r>
        <w:fldChar w:fldCharType="begin"/>
      </w:r>
      <w:r>
        <w:instrText>ADDIN BEC{Taylor et al., 2010 #16059}</w:instrText>
      </w:r>
      <w:r>
        <w:fldChar w:fldCharType="separate"/>
      </w:r>
      <w:r>
        <w:rPr>
          <w:vertAlign w:val="superscript"/>
        </w:rPr>
        <w:t>2</w:t>
      </w:r>
      <w:r>
        <w:fldChar w:fldCharType="end"/>
      </w:r>
      <w:r w:rsidRPr="00A45681">
        <w:t xml:space="preserve"> Notably, there was no way to differentiate whether any given </w:t>
      </w:r>
      <w:r>
        <w:t>healthcare resource use</w:t>
      </w:r>
      <w:r w:rsidRPr="00A45681">
        <w:t xml:space="preserve"> recorded during the study was for the treatment of an adverse event. Therefore, </w:t>
      </w:r>
      <w:r>
        <w:t>a</w:t>
      </w:r>
      <w:r w:rsidRPr="00A45681">
        <w:t xml:space="preserve"> conservative assumption</w:t>
      </w:r>
      <w:r>
        <w:t xml:space="preserve"> was made</w:t>
      </w:r>
      <w:r w:rsidRPr="00A45681">
        <w:t xml:space="preserve"> that all recorded </w:t>
      </w:r>
      <w:r>
        <w:t>healthcare resource use</w:t>
      </w:r>
      <w:r w:rsidRPr="00A45681">
        <w:t xml:space="preserve"> was in addition the treatments used for </w:t>
      </w:r>
      <w:r>
        <w:t>adverse events</w:t>
      </w:r>
      <w:r w:rsidRPr="00A45681">
        <w:t xml:space="preserve">, recognizing that this </w:t>
      </w:r>
      <w:r>
        <w:t>may have</w:t>
      </w:r>
      <w:r w:rsidRPr="00A45681">
        <w:t xml:space="preserve"> result</w:t>
      </w:r>
      <w:r>
        <w:t>ed</w:t>
      </w:r>
      <w:r w:rsidRPr="00A45681">
        <w:t xml:space="preserve"> in some double counting for the DTM-SCS group.</w:t>
      </w:r>
    </w:p>
    <w:p w14:paraId="7964BB92" w14:textId="44711A9D" w:rsidR="00F71967" w:rsidRPr="00A45681" w:rsidRDefault="00F71967" w:rsidP="00F71967">
      <w:r>
        <w:t>The cost of a</w:t>
      </w:r>
      <w:r w:rsidRPr="00A45681">
        <w:t xml:space="preserve">dverse events </w:t>
      </w:r>
      <w:r>
        <w:t>that occurred</w:t>
      </w:r>
      <w:r w:rsidRPr="00A45681">
        <w:t xml:space="preserve"> in the first 24 months of the </w:t>
      </w:r>
      <w:r w:rsidRPr="00034153">
        <w:t>Kallewaard</w:t>
      </w:r>
      <w:r>
        <w:t xml:space="preserve"> RCT,</w:t>
      </w:r>
      <w:r>
        <w:fldChar w:fldCharType="begin"/>
      </w:r>
      <w:r>
        <w:instrText>ADDIN BEC{Kallewaard et al., 2024 #168327}</w:instrText>
      </w:r>
      <w:r>
        <w:fldChar w:fldCharType="separate"/>
      </w:r>
      <w:r>
        <w:rPr>
          <w:vertAlign w:val="superscript"/>
        </w:rPr>
        <w:t>1</w:t>
      </w:r>
      <w:r>
        <w:fldChar w:fldCharType="end"/>
      </w:r>
      <w:r>
        <w:t xml:space="preserve"> </w:t>
      </w:r>
      <w:r w:rsidRPr="00A45681">
        <w:t xml:space="preserve">and </w:t>
      </w:r>
      <w:r>
        <w:t>that</w:t>
      </w:r>
      <w:r w:rsidRPr="00A45681">
        <w:t xml:space="preserve"> required intervention</w:t>
      </w:r>
      <w:r>
        <w:t xml:space="preserve"> or </w:t>
      </w:r>
      <w:r w:rsidRPr="00A45681">
        <w:t xml:space="preserve">action (n=21) were </w:t>
      </w:r>
      <w:r>
        <w:t>calculated</w:t>
      </w:r>
      <w:r w:rsidRPr="00A45681">
        <w:t xml:space="preserve"> individually to </w:t>
      </w:r>
      <w:r>
        <w:t>yield</w:t>
      </w:r>
      <w:r w:rsidRPr="00A45681">
        <w:t xml:space="preserve"> a mean per</w:t>
      </w:r>
      <w:r>
        <w:t>-</w:t>
      </w:r>
      <w:r w:rsidRPr="00A45681">
        <w:t xml:space="preserve">event cost of </w:t>
      </w:r>
      <w:r>
        <w:t xml:space="preserve">€ </w:t>
      </w:r>
      <w:r w:rsidRPr="00A45681">
        <w:t xml:space="preserve">1141. </w:t>
      </w:r>
      <w:r>
        <w:t>After</w:t>
      </w:r>
      <w:r w:rsidRPr="00A45681">
        <w:t xml:space="preserve"> the first 24 months, the </w:t>
      </w:r>
      <w:r>
        <w:t xml:space="preserve">DTM-SCS associated </w:t>
      </w:r>
      <w:r w:rsidRPr="00A45681">
        <w:t xml:space="preserve">adverse event rates described previously were used to calculate an annual </w:t>
      </w:r>
      <w:r>
        <w:t xml:space="preserve">per-patient </w:t>
      </w:r>
      <w:r w:rsidRPr="00A45681">
        <w:t xml:space="preserve">cost of </w:t>
      </w:r>
      <w:r>
        <w:t xml:space="preserve">€ </w:t>
      </w:r>
      <w:r w:rsidRPr="00A45681">
        <w:t>11</w:t>
      </w:r>
      <w:r>
        <w:t>8</w:t>
      </w:r>
      <w:r w:rsidRPr="00A45681">
        <w:t>, based on assigning a cost to each combination of event type and action required</w:t>
      </w:r>
      <w:r>
        <w:t xml:space="preserve"> (Tabe S3).</w:t>
      </w:r>
    </w:p>
    <w:p w14:paraId="287CC90D" w14:textId="06074B04" w:rsidR="00F71967" w:rsidRDefault="00F71967" w:rsidP="00F71967">
      <w:r w:rsidRPr="00A45681">
        <w:t>A full list</w:t>
      </w:r>
      <w:r>
        <w:t>ing</w:t>
      </w:r>
      <w:r w:rsidRPr="00A45681">
        <w:t xml:space="preserve"> of the unit costs used in the model</w:t>
      </w:r>
      <w:r>
        <w:t xml:space="preserve">, </w:t>
      </w:r>
      <w:r w:rsidRPr="00A45681">
        <w:t>together with source</w:t>
      </w:r>
      <w:r>
        <w:t>s</w:t>
      </w:r>
      <w:r w:rsidRPr="00A45681">
        <w:t xml:space="preserve"> and any comments</w:t>
      </w:r>
      <w:r>
        <w:t xml:space="preserve">, </w:t>
      </w:r>
      <w:r w:rsidRPr="00A45681">
        <w:t xml:space="preserve">is </w:t>
      </w:r>
      <w:r>
        <w:t>shown</w:t>
      </w:r>
      <w:r w:rsidRPr="00A45681">
        <w:t xml:space="preserve"> in </w:t>
      </w:r>
      <w:r>
        <w:t>Table S</w:t>
      </w:r>
      <w:r w:rsidRPr="00A45681">
        <w:t>6</w:t>
      </w:r>
      <w:bookmarkStart w:id="40" w:name="_Ref480964750"/>
      <w:r>
        <w:t>.</w:t>
      </w:r>
    </w:p>
    <w:p w14:paraId="5639B8AF" w14:textId="77777777" w:rsidR="00F71967" w:rsidRDefault="00F71967" w:rsidP="00F71967">
      <w:pPr>
        <w:sectPr w:rsidR="00F71967" w:rsidSect="00F71967">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14:paraId="7F6EFDEB" w14:textId="77777777" w:rsidR="00F71967" w:rsidRPr="009A1111" w:rsidRDefault="00F71967" w:rsidP="009A1111">
      <w:pPr>
        <w:pStyle w:val="TableText"/>
        <w:rPr>
          <w:b/>
          <w:bCs/>
        </w:rPr>
      </w:pPr>
      <w:bookmarkStart w:id="41" w:name="_Toc197964063"/>
      <w:bookmarkStart w:id="42" w:name="_Hlk184044876"/>
      <w:r w:rsidRPr="009A1111">
        <w:rPr>
          <w:b/>
          <w:bCs/>
        </w:rPr>
        <w:t>Table S</w:t>
      </w:r>
      <w:bookmarkEnd w:id="40"/>
      <w:r w:rsidRPr="009A1111">
        <w:rPr>
          <w:b/>
          <w:bCs/>
        </w:rPr>
        <w:t>6. Unit costs used in model</w:t>
      </w:r>
      <w:bookmarkEnd w:id="41"/>
    </w:p>
    <w:tbl>
      <w:tblPr>
        <w:tblStyle w:val="GridTable1Light"/>
        <w:tblpPr w:leftFromText="180" w:rightFromText="180" w:vertAnchor="text" w:tblpY="1"/>
        <w:tblOverlap w:val="never"/>
        <w:tblW w:w="0" w:type="auto"/>
        <w:tblLayout w:type="fixed"/>
        <w:tblLook w:val="04A0" w:firstRow="1" w:lastRow="0" w:firstColumn="1" w:lastColumn="0" w:noHBand="0" w:noVBand="1"/>
      </w:tblPr>
      <w:tblGrid>
        <w:gridCol w:w="4495"/>
        <w:gridCol w:w="1260"/>
        <w:gridCol w:w="2520"/>
        <w:gridCol w:w="4500"/>
        <w:gridCol w:w="1615"/>
      </w:tblGrid>
      <w:tr w:rsidR="00F71967" w:rsidRPr="009929AC" w14:paraId="4AA6631E" w14:textId="77777777">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4495" w:type="dxa"/>
          </w:tcPr>
          <w:bookmarkEnd w:id="42"/>
          <w:p w14:paraId="6010133C" w14:textId="77777777" w:rsidR="00F71967" w:rsidRPr="009929AC" w:rsidRDefault="00F71967">
            <w:pPr>
              <w:pStyle w:val="TableText"/>
              <w:spacing w:before="0" w:after="0"/>
              <w:rPr>
                <w:szCs w:val="20"/>
              </w:rPr>
            </w:pPr>
            <w:r w:rsidRPr="009929AC">
              <w:rPr>
                <w:szCs w:val="20"/>
              </w:rPr>
              <w:t>Cost component</w:t>
            </w:r>
          </w:p>
        </w:tc>
        <w:tc>
          <w:tcPr>
            <w:tcW w:w="1260" w:type="dxa"/>
          </w:tcPr>
          <w:p w14:paraId="63BED02B" w14:textId="77777777" w:rsidR="00F71967" w:rsidRPr="009929AC" w:rsidRDefault="00F71967">
            <w:pPr>
              <w:pStyle w:val="TableText"/>
              <w:spacing w:before="0" w:after="0"/>
              <w:cnfStyle w:val="100000000000" w:firstRow="1" w:lastRow="0" w:firstColumn="0" w:lastColumn="0" w:oddVBand="0" w:evenVBand="0" w:oddHBand="0" w:evenHBand="0" w:firstRowFirstColumn="0" w:firstRowLastColumn="0" w:lastRowFirstColumn="0" w:lastRowLastColumn="0"/>
              <w:rPr>
                <w:szCs w:val="20"/>
              </w:rPr>
            </w:pPr>
            <w:r w:rsidRPr="009929AC">
              <w:rPr>
                <w:szCs w:val="20"/>
              </w:rPr>
              <w:t>Unit cost</w:t>
            </w:r>
          </w:p>
        </w:tc>
        <w:tc>
          <w:tcPr>
            <w:tcW w:w="2520" w:type="dxa"/>
          </w:tcPr>
          <w:p w14:paraId="2A44E6A0" w14:textId="64B8B7C0" w:rsidR="00F71967" w:rsidRPr="009929AC" w:rsidRDefault="00F71967">
            <w:pPr>
              <w:pStyle w:val="TableText"/>
              <w:spacing w:before="0" w:after="0"/>
              <w:cnfStyle w:val="100000000000" w:firstRow="1" w:lastRow="0" w:firstColumn="0" w:lastColumn="0" w:oddVBand="0" w:evenVBand="0" w:oddHBand="0" w:evenHBand="0" w:firstRowFirstColumn="0" w:firstRowLastColumn="0" w:lastRowFirstColumn="0" w:lastRowLastColumn="0"/>
              <w:rPr>
                <w:szCs w:val="20"/>
              </w:rPr>
            </w:pPr>
            <w:r w:rsidRPr="009929AC">
              <w:rPr>
                <w:szCs w:val="20"/>
              </w:rPr>
              <w:t>Source</w:t>
            </w:r>
            <w:r>
              <w:rPr>
                <w:szCs w:val="20"/>
              </w:rPr>
              <w:t>s</w:t>
            </w:r>
          </w:p>
        </w:tc>
        <w:tc>
          <w:tcPr>
            <w:tcW w:w="4500" w:type="dxa"/>
          </w:tcPr>
          <w:p w14:paraId="30505C45" w14:textId="77777777" w:rsidR="00F71967" w:rsidRPr="009929AC" w:rsidRDefault="00F71967">
            <w:pPr>
              <w:pStyle w:val="TableText"/>
              <w:spacing w:before="0" w:after="0"/>
              <w:cnfStyle w:val="100000000000" w:firstRow="1" w:lastRow="0" w:firstColumn="0" w:lastColumn="0" w:oddVBand="0" w:evenVBand="0" w:oddHBand="0" w:evenHBand="0" w:firstRowFirstColumn="0" w:firstRowLastColumn="0" w:lastRowFirstColumn="0" w:lastRowLastColumn="0"/>
              <w:rPr>
                <w:szCs w:val="20"/>
              </w:rPr>
            </w:pPr>
            <w:r w:rsidRPr="009929AC">
              <w:rPr>
                <w:szCs w:val="20"/>
              </w:rPr>
              <w:t>Code</w:t>
            </w:r>
          </w:p>
        </w:tc>
        <w:tc>
          <w:tcPr>
            <w:tcW w:w="1615" w:type="dxa"/>
          </w:tcPr>
          <w:p w14:paraId="15F09C3C" w14:textId="77777777" w:rsidR="00F71967" w:rsidRPr="009929AC" w:rsidRDefault="00F71967">
            <w:pPr>
              <w:pStyle w:val="TableText"/>
              <w:spacing w:before="0" w:after="0"/>
              <w:cnfStyle w:val="100000000000" w:firstRow="1" w:lastRow="0" w:firstColumn="0" w:lastColumn="0" w:oddVBand="0" w:evenVBand="0" w:oddHBand="0" w:evenHBand="0" w:firstRowFirstColumn="0" w:firstRowLastColumn="0" w:lastRowFirstColumn="0" w:lastRowLastColumn="0"/>
              <w:rPr>
                <w:szCs w:val="20"/>
              </w:rPr>
            </w:pPr>
            <w:r w:rsidRPr="009929AC">
              <w:rPr>
                <w:szCs w:val="20"/>
              </w:rPr>
              <w:t>Assumptions</w:t>
            </w:r>
          </w:p>
        </w:tc>
      </w:tr>
      <w:tr w:rsidR="00F71967" w:rsidRPr="009929AC" w14:paraId="53FEBA4E"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6C354E03" w14:textId="77777777" w:rsidR="00F71967" w:rsidRPr="009929AC" w:rsidRDefault="00F71967">
            <w:pPr>
              <w:pStyle w:val="TableText"/>
              <w:spacing w:before="0" w:after="0"/>
              <w:rPr>
                <w:szCs w:val="20"/>
              </w:rPr>
            </w:pPr>
            <w:r w:rsidRPr="009929AC">
              <w:rPr>
                <w:szCs w:val="20"/>
              </w:rPr>
              <w:t>Procedures</w:t>
            </w:r>
          </w:p>
        </w:tc>
      </w:tr>
      <w:tr w:rsidR="00F71967" w:rsidRPr="009929AC" w14:paraId="0DADC9F4"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6E3E2DDB" w14:textId="77777777" w:rsidR="00F71967" w:rsidRPr="009929AC" w:rsidRDefault="00F71967">
            <w:pPr>
              <w:pStyle w:val="TableText"/>
              <w:spacing w:before="0" w:after="0"/>
              <w:rPr>
                <w:szCs w:val="20"/>
              </w:rPr>
            </w:pPr>
            <w:r w:rsidRPr="009929AC">
              <w:rPr>
                <w:szCs w:val="20"/>
              </w:rPr>
              <w:t>Trial implant procedure</w:t>
            </w:r>
          </w:p>
        </w:tc>
        <w:tc>
          <w:tcPr>
            <w:tcW w:w="1260" w:type="dxa"/>
          </w:tcPr>
          <w:p w14:paraId="62721D7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3152</w:t>
            </w:r>
          </w:p>
        </w:tc>
        <w:tc>
          <w:tcPr>
            <w:tcW w:w="2520" w:type="dxa"/>
          </w:tcPr>
          <w:p w14:paraId="4EE28367" w14:textId="77777777" w:rsidR="00F71967" w:rsidRPr="009223F3"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vertAlign w:val="superscript"/>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62D7E055" w14:textId="252DF3CC" w:rsidR="00F71967" w:rsidRPr="00341490"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341490">
              <w:rPr>
                <w:szCs w:val="20"/>
              </w:rPr>
              <w:t>Procedure </w:t>
            </w:r>
            <w:r w:rsidR="00380F75" w:rsidRPr="00341490">
              <w:rPr>
                <w:szCs w:val="20"/>
              </w:rPr>
              <w:t>(</w:t>
            </w:r>
            <w:r w:rsidR="00AD1927" w:rsidRPr="00341490">
              <w:rPr>
                <w:szCs w:val="20"/>
              </w:rPr>
              <w:t xml:space="preserve">Performed </w:t>
            </w:r>
            <w:r w:rsidR="00380F75" w:rsidRPr="00341490">
              <w:rPr>
                <w:szCs w:val="20"/>
              </w:rPr>
              <w:t>p</w:t>
            </w:r>
            <w:r w:rsidR="00AD1927" w:rsidRPr="00341490">
              <w:rPr>
                <w:szCs w:val="20"/>
              </w:rPr>
              <w:t>ercutaneously without</w:t>
            </w:r>
            <w:r w:rsidR="00A9305A" w:rsidRPr="00341490">
              <w:rPr>
                <w:szCs w:val="20"/>
              </w:rPr>
              <w:t xml:space="preserve"> </w:t>
            </w:r>
            <w:r w:rsidR="007055AF" w:rsidRPr="00341490">
              <w:rPr>
                <w:szCs w:val="20"/>
              </w:rPr>
              <w:t>laminotomy)</w:t>
            </w:r>
            <w:r w:rsidRPr="00341490">
              <w:rPr>
                <w:szCs w:val="20"/>
              </w:rPr>
              <w:t>: 232492-232503</w:t>
            </w:r>
          </w:p>
          <w:p w14:paraId="0EC5F586" w14:textId="77777777" w:rsidR="00F71967" w:rsidRPr="00341490"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341490">
              <w:rPr>
                <w:szCs w:val="20"/>
              </w:rPr>
              <w:t>Anesthesia :</w:t>
            </w:r>
            <w:proofErr w:type="gramEnd"/>
            <w:r w:rsidRPr="00341490">
              <w:rPr>
                <w:szCs w:val="20"/>
              </w:rPr>
              <w:t xml:space="preserve"> 200196 200200</w:t>
            </w:r>
          </w:p>
          <w:p w14:paraId="5B68C495" w14:textId="3F18EE00"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341490">
              <w:rPr>
                <w:szCs w:val="20"/>
              </w:rPr>
              <w:t>Hospitali</w:t>
            </w:r>
            <w:r w:rsidRPr="009929AC">
              <w:rPr>
                <w:szCs w:val="20"/>
              </w:rPr>
              <w:t>zation :</w:t>
            </w:r>
            <w:proofErr w:type="gramEnd"/>
            <w:r w:rsidRPr="009929AC">
              <w:rPr>
                <w:szCs w:val="20"/>
              </w:rPr>
              <w:t xml:space="preserve"> average price of emergency hospitalization across public and research hospitals in Belgium</w:t>
            </w:r>
            <w:r w:rsidR="00A613C1">
              <w:rPr>
                <w:szCs w:val="20"/>
              </w:rPr>
              <w:t>.</w:t>
            </w:r>
          </w:p>
        </w:tc>
        <w:tc>
          <w:tcPr>
            <w:tcW w:w="1615" w:type="dxa"/>
          </w:tcPr>
          <w:p w14:paraId="5D4A7D1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3-day hospitalization</w:t>
            </w:r>
          </w:p>
        </w:tc>
      </w:tr>
      <w:tr w:rsidR="00F71967" w:rsidRPr="009929AC" w14:paraId="679DBB7B"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5F294D03" w14:textId="77777777" w:rsidR="00F71967" w:rsidRPr="009929AC" w:rsidRDefault="00F71967">
            <w:pPr>
              <w:pStyle w:val="TableText"/>
              <w:spacing w:before="0" w:after="0"/>
              <w:rPr>
                <w:szCs w:val="20"/>
              </w:rPr>
            </w:pPr>
            <w:r w:rsidRPr="009929AC">
              <w:rPr>
                <w:szCs w:val="20"/>
              </w:rPr>
              <w:t>Full implant procedure</w:t>
            </w:r>
          </w:p>
        </w:tc>
        <w:tc>
          <w:tcPr>
            <w:tcW w:w="1260" w:type="dxa"/>
          </w:tcPr>
          <w:p w14:paraId="4E7C4ED8" w14:textId="6972DB79"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F62A83">
              <w:rPr>
                <w:szCs w:val="20"/>
              </w:rPr>
              <w:t xml:space="preserve">€ </w:t>
            </w:r>
            <w:r w:rsidR="00752565">
              <w:rPr>
                <w:szCs w:val="20"/>
              </w:rPr>
              <w:t>1023</w:t>
            </w:r>
          </w:p>
        </w:tc>
        <w:tc>
          <w:tcPr>
            <w:tcW w:w="2520" w:type="dxa"/>
          </w:tcPr>
          <w:p w14:paraId="11E99DB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4A5563BB" w14:textId="4041D7BF"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9929AC">
              <w:rPr>
                <w:szCs w:val="20"/>
              </w:rPr>
              <w:t>Procedure :</w:t>
            </w:r>
            <w:proofErr w:type="gramEnd"/>
            <w:r w:rsidRPr="009929AC">
              <w:rPr>
                <w:szCs w:val="20"/>
              </w:rPr>
              <w:t xml:space="preserve"> </w:t>
            </w:r>
            <w:r w:rsidR="00CB0088">
              <w:t xml:space="preserve"> </w:t>
            </w:r>
            <w:r w:rsidR="00355EDE" w:rsidRPr="0098106D">
              <w:rPr>
                <w:szCs w:val="20"/>
              </w:rPr>
              <w:t>354373-354384</w:t>
            </w:r>
          </w:p>
          <w:p w14:paraId="48DFD161" w14:textId="27E72680" w:rsidR="00F71967" w:rsidRPr="009929AC" w:rsidRDefault="00F71967" w:rsidP="004F7282">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9929AC">
              <w:rPr>
                <w:szCs w:val="20"/>
              </w:rPr>
              <w:t>Note :</w:t>
            </w:r>
            <w:proofErr w:type="gramEnd"/>
            <w:r w:rsidRPr="009929AC">
              <w:rPr>
                <w:szCs w:val="20"/>
              </w:rPr>
              <w:t xml:space="preserve"> </w:t>
            </w:r>
            <w:r w:rsidR="00375A82">
              <w:rPr>
                <w:szCs w:val="20"/>
              </w:rPr>
              <w:t>P</w:t>
            </w:r>
            <w:r w:rsidR="00FE3ADE">
              <w:rPr>
                <w:szCs w:val="20"/>
              </w:rPr>
              <w:t>erformed p</w:t>
            </w:r>
            <w:r w:rsidR="00375A82">
              <w:rPr>
                <w:szCs w:val="20"/>
              </w:rPr>
              <w:t>ercuta</w:t>
            </w:r>
            <w:r w:rsidR="00FE3ADE">
              <w:rPr>
                <w:szCs w:val="20"/>
              </w:rPr>
              <w:t>neously</w:t>
            </w:r>
            <w:r w:rsidR="009D1629">
              <w:rPr>
                <w:szCs w:val="20"/>
              </w:rPr>
              <w:t>, with no explant of trial leads.</w:t>
            </w:r>
          </w:p>
          <w:p w14:paraId="4D7044EA"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p w14:paraId="02128EDF" w14:textId="6781C2FF" w:rsidR="00F71967" w:rsidRPr="009929AC" w:rsidRDefault="00F71967" w:rsidP="00CB0C84">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roofErr w:type="spellStart"/>
            <w:r w:rsidRPr="009929AC">
              <w:rPr>
                <w:szCs w:val="20"/>
                <w:lang w:val="en-GB"/>
              </w:rPr>
              <w:t>Anesthesia</w:t>
            </w:r>
            <w:proofErr w:type="spellEnd"/>
            <w:r w:rsidRPr="009929AC">
              <w:rPr>
                <w:szCs w:val="20"/>
                <w:lang w:val="en-GB"/>
              </w:rPr>
              <w:t xml:space="preserve">: </w:t>
            </w:r>
            <w:r w:rsidR="00CB0C84">
              <w:rPr>
                <w:szCs w:val="20"/>
                <w:lang w:val="en-GB"/>
              </w:rPr>
              <w:t>201110 201121</w:t>
            </w:r>
          </w:p>
          <w:p w14:paraId="1CFFBDC8"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lang w:val="en-GB"/>
              </w:rPr>
              <w:t>Hospitalization: average price of emergency hospitalization across public and research hospitals in Belgium</w:t>
            </w:r>
          </w:p>
          <w:p w14:paraId="1A20610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6737ED7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w:t>
            </w:r>
            <w:r>
              <w:rPr>
                <w:szCs w:val="20"/>
              </w:rPr>
              <w:t>-</w:t>
            </w:r>
            <w:r w:rsidRPr="009929AC">
              <w:rPr>
                <w:szCs w:val="20"/>
              </w:rPr>
              <w:t>day hospitalization</w:t>
            </w:r>
          </w:p>
        </w:tc>
      </w:tr>
      <w:tr w:rsidR="00F71967" w:rsidRPr="009929AC" w14:paraId="48F784C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292E41F0" w14:textId="77777777" w:rsidR="00F71967" w:rsidRPr="009929AC" w:rsidRDefault="00F71967">
            <w:pPr>
              <w:pStyle w:val="TableText"/>
              <w:spacing w:before="0" w:after="0"/>
              <w:rPr>
                <w:szCs w:val="20"/>
              </w:rPr>
            </w:pPr>
            <w:r w:rsidRPr="009929AC">
              <w:rPr>
                <w:szCs w:val="20"/>
              </w:rPr>
              <w:t>Device</w:t>
            </w:r>
            <w:r>
              <w:rPr>
                <w:szCs w:val="20"/>
              </w:rPr>
              <w:t>-</w:t>
            </w:r>
            <w:r w:rsidRPr="009929AC">
              <w:rPr>
                <w:szCs w:val="20"/>
              </w:rPr>
              <w:t>replacement procedure (following battery depletion)</w:t>
            </w:r>
          </w:p>
        </w:tc>
        <w:tc>
          <w:tcPr>
            <w:tcW w:w="1260" w:type="dxa"/>
          </w:tcPr>
          <w:p w14:paraId="6EA46F5F" w14:textId="7822909E"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F62A83">
              <w:rPr>
                <w:szCs w:val="20"/>
              </w:rPr>
              <w:t xml:space="preserve">€ </w:t>
            </w:r>
            <w:r w:rsidR="00752565">
              <w:rPr>
                <w:szCs w:val="20"/>
              </w:rPr>
              <w:t>1023</w:t>
            </w:r>
          </w:p>
        </w:tc>
        <w:tc>
          <w:tcPr>
            <w:tcW w:w="2520" w:type="dxa"/>
          </w:tcPr>
          <w:p w14:paraId="355191E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15568D68" w14:textId="7CF708A7" w:rsidR="00F71967" w:rsidRPr="005030DF"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5030DF">
              <w:rPr>
                <w:szCs w:val="20"/>
              </w:rPr>
              <w:t>Procedure :</w:t>
            </w:r>
            <w:proofErr w:type="gramEnd"/>
            <w:r w:rsidRPr="005030DF">
              <w:rPr>
                <w:szCs w:val="20"/>
              </w:rPr>
              <w:t xml:space="preserve"> </w:t>
            </w:r>
            <w:r w:rsidR="00355EDE" w:rsidRPr="00341490">
              <w:rPr>
                <w:szCs w:val="20"/>
              </w:rPr>
              <w:t>354373-354384</w:t>
            </w:r>
          </w:p>
          <w:p w14:paraId="0086180F" w14:textId="77777777" w:rsidR="00F71967" w:rsidRPr="005030DF"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p w14:paraId="3355A9CD" w14:textId="3CB52E47" w:rsidR="00F71967" w:rsidRPr="005030DF"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roofErr w:type="spellStart"/>
            <w:r w:rsidRPr="005030DF">
              <w:rPr>
                <w:szCs w:val="20"/>
                <w:lang w:val="en-GB"/>
              </w:rPr>
              <w:t>Anesthesia</w:t>
            </w:r>
            <w:proofErr w:type="spellEnd"/>
            <w:r w:rsidRPr="005030DF">
              <w:rPr>
                <w:szCs w:val="20"/>
                <w:lang w:val="en-GB"/>
              </w:rPr>
              <w:t xml:space="preserve">: </w:t>
            </w:r>
            <w:r w:rsidR="00F1725D" w:rsidRPr="005030DF">
              <w:rPr>
                <w:szCs w:val="20"/>
                <w:lang w:val="en-GB"/>
              </w:rPr>
              <w:t>201110 201121</w:t>
            </w:r>
          </w:p>
          <w:p w14:paraId="785FF9B5" w14:textId="77777777" w:rsidR="00F71967" w:rsidRPr="005030DF"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
          <w:p w14:paraId="14FB911A" w14:textId="77777777" w:rsidR="00F71967" w:rsidRPr="005030DF"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5030DF">
              <w:rPr>
                <w:szCs w:val="20"/>
                <w:lang w:val="en-GB"/>
              </w:rPr>
              <w:t>Hospitalization: average price of emergency hospitalization across public and research hospitals in Belgium</w:t>
            </w:r>
          </w:p>
        </w:tc>
        <w:tc>
          <w:tcPr>
            <w:tcW w:w="1615" w:type="dxa"/>
          </w:tcPr>
          <w:p w14:paraId="11FA4360"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7C0487">
              <w:rPr>
                <w:szCs w:val="20"/>
              </w:rPr>
              <w:t>1-day hospitalization</w:t>
            </w:r>
          </w:p>
        </w:tc>
      </w:tr>
      <w:tr w:rsidR="00F71967" w:rsidRPr="009929AC" w14:paraId="2724C8B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5AAE9EE3" w14:textId="77777777" w:rsidR="00F71967" w:rsidRPr="009929AC" w:rsidRDefault="00F71967">
            <w:pPr>
              <w:pStyle w:val="TableText"/>
              <w:spacing w:before="0" w:after="0"/>
              <w:rPr>
                <w:szCs w:val="20"/>
              </w:rPr>
            </w:pPr>
            <w:r w:rsidRPr="009929AC">
              <w:rPr>
                <w:szCs w:val="20"/>
              </w:rPr>
              <w:t>Device explant procedure</w:t>
            </w:r>
          </w:p>
        </w:tc>
        <w:tc>
          <w:tcPr>
            <w:tcW w:w="1260" w:type="dxa"/>
          </w:tcPr>
          <w:p w14:paraId="78125250" w14:textId="0DBD3AD4"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341490">
              <w:rPr>
                <w:szCs w:val="20"/>
              </w:rPr>
              <w:t xml:space="preserve">€ </w:t>
            </w:r>
            <w:r w:rsidR="00752565">
              <w:rPr>
                <w:szCs w:val="20"/>
              </w:rPr>
              <w:t>1023</w:t>
            </w:r>
          </w:p>
        </w:tc>
        <w:tc>
          <w:tcPr>
            <w:tcW w:w="2520" w:type="dxa"/>
          </w:tcPr>
          <w:p w14:paraId="71ECBDD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223B1DBF" w14:textId="62BA4CBC"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9929AC">
              <w:rPr>
                <w:szCs w:val="20"/>
              </w:rPr>
              <w:t>Procedure :</w:t>
            </w:r>
            <w:proofErr w:type="gramEnd"/>
            <w:r w:rsidRPr="009929AC">
              <w:rPr>
                <w:szCs w:val="20"/>
              </w:rPr>
              <w:t xml:space="preserve"> </w:t>
            </w:r>
            <w:r w:rsidR="00355EDE" w:rsidRPr="0098106D">
              <w:rPr>
                <w:szCs w:val="20"/>
              </w:rPr>
              <w:t>354373-354384</w:t>
            </w:r>
          </w:p>
          <w:p w14:paraId="4740102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p w14:paraId="7FB812CF" w14:textId="67E4D0FF"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roofErr w:type="spellStart"/>
            <w:r w:rsidRPr="009929AC">
              <w:rPr>
                <w:szCs w:val="20"/>
                <w:lang w:val="en-GB"/>
              </w:rPr>
              <w:t>Anesthesia</w:t>
            </w:r>
            <w:proofErr w:type="spellEnd"/>
            <w:r w:rsidRPr="003C03C3">
              <w:rPr>
                <w:szCs w:val="20"/>
                <w:lang w:val="en-GB"/>
              </w:rPr>
              <w:t xml:space="preserve">: </w:t>
            </w:r>
            <w:r w:rsidR="00CB0C84">
              <w:rPr>
                <w:szCs w:val="20"/>
                <w:lang w:val="en-GB"/>
              </w:rPr>
              <w:t>201110 201121</w:t>
            </w:r>
          </w:p>
          <w:p w14:paraId="53B69851"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
          <w:p w14:paraId="1EFE44B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lang w:val="en-GB"/>
              </w:rPr>
              <w:t>Hospitalization: average price of emergency hospitalization across public and research hospitals in Belgium</w:t>
            </w:r>
          </w:p>
        </w:tc>
        <w:tc>
          <w:tcPr>
            <w:tcW w:w="1615" w:type="dxa"/>
          </w:tcPr>
          <w:p w14:paraId="1B9E68B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7C0487">
              <w:rPr>
                <w:szCs w:val="20"/>
              </w:rPr>
              <w:t>1-day hospitalization</w:t>
            </w:r>
          </w:p>
        </w:tc>
      </w:tr>
      <w:tr w:rsidR="00F71967" w:rsidRPr="009929AC" w14:paraId="3950E8B9"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935EFB3" w14:textId="77777777" w:rsidR="00F71967" w:rsidRPr="009929AC" w:rsidRDefault="00F71967">
            <w:pPr>
              <w:pStyle w:val="TableText"/>
              <w:spacing w:before="0" w:after="0"/>
              <w:rPr>
                <w:szCs w:val="20"/>
              </w:rPr>
            </w:pPr>
            <w:r w:rsidRPr="009929AC">
              <w:rPr>
                <w:szCs w:val="20"/>
              </w:rPr>
              <w:t>Explant of test electrode (if failed test stimulation)</w:t>
            </w:r>
          </w:p>
        </w:tc>
        <w:tc>
          <w:tcPr>
            <w:tcW w:w="1260" w:type="dxa"/>
          </w:tcPr>
          <w:p w14:paraId="3539753A"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114</w:t>
            </w:r>
            <w:r>
              <w:rPr>
                <w:szCs w:val="20"/>
              </w:rPr>
              <w:t>8</w:t>
            </w:r>
          </w:p>
        </w:tc>
        <w:tc>
          <w:tcPr>
            <w:tcW w:w="2520" w:type="dxa"/>
          </w:tcPr>
          <w:p w14:paraId="78530BA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24F41BB5"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r w:rsidRPr="009929AC">
              <w:rPr>
                <w:szCs w:val="20"/>
                <w:lang w:val="en-GB"/>
              </w:rPr>
              <w:t>Procedure: 232411-232422</w:t>
            </w:r>
          </w:p>
          <w:p w14:paraId="43D7AE38"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
          <w:p w14:paraId="44436E6A"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roofErr w:type="spellStart"/>
            <w:r w:rsidRPr="009929AC">
              <w:rPr>
                <w:szCs w:val="20"/>
                <w:lang w:val="en-GB"/>
              </w:rPr>
              <w:t>Anesthesia</w:t>
            </w:r>
            <w:proofErr w:type="spellEnd"/>
            <w:r w:rsidRPr="009929AC">
              <w:rPr>
                <w:szCs w:val="20"/>
                <w:lang w:val="en-GB"/>
              </w:rPr>
              <w:t>: 201073 201084</w:t>
            </w:r>
          </w:p>
          <w:p w14:paraId="69EFAAB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p>
          <w:p w14:paraId="2A749F3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lang w:val="en-GB"/>
              </w:rPr>
              <w:t>Hospitalization: average price of emergency hospitalization across public and research hospitals in Belgium</w:t>
            </w:r>
          </w:p>
          <w:p w14:paraId="570C18E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06244AA9"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7C0487">
              <w:rPr>
                <w:szCs w:val="20"/>
              </w:rPr>
              <w:t>1-day hospitalization</w:t>
            </w:r>
          </w:p>
        </w:tc>
      </w:tr>
      <w:tr w:rsidR="00F71967" w:rsidRPr="009929AC" w14:paraId="4F1C332F"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6FFCC4F1" w14:textId="77777777" w:rsidR="00F71967" w:rsidRPr="009929AC" w:rsidRDefault="00F71967">
            <w:pPr>
              <w:pStyle w:val="TableText"/>
              <w:spacing w:before="0" w:after="0"/>
              <w:rPr>
                <w:szCs w:val="20"/>
              </w:rPr>
            </w:pPr>
            <w:r w:rsidRPr="009929AC">
              <w:rPr>
                <w:szCs w:val="20"/>
              </w:rPr>
              <w:t>Device kit</w:t>
            </w:r>
          </w:p>
        </w:tc>
      </w:tr>
      <w:tr w:rsidR="00F71967" w:rsidRPr="009929AC" w14:paraId="4C9CD7FB"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7E45FA1" w14:textId="77777777" w:rsidR="00F71967" w:rsidRPr="009929AC" w:rsidRDefault="00F71967">
            <w:pPr>
              <w:pStyle w:val="TableText"/>
              <w:spacing w:before="0" w:after="0"/>
              <w:rPr>
                <w:szCs w:val="20"/>
              </w:rPr>
            </w:pPr>
            <w:r w:rsidRPr="009929AC">
              <w:rPr>
                <w:szCs w:val="20"/>
              </w:rPr>
              <w:t>Temporary lead for trial stimulation</w:t>
            </w:r>
          </w:p>
        </w:tc>
        <w:tc>
          <w:tcPr>
            <w:tcW w:w="1260" w:type="dxa"/>
          </w:tcPr>
          <w:p w14:paraId="5F3556E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10</w:t>
            </w:r>
            <w:r>
              <w:rPr>
                <w:szCs w:val="20"/>
              </w:rPr>
              <w:t>90</w:t>
            </w:r>
          </w:p>
        </w:tc>
        <w:tc>
          <w:tcPr>
            <w:tcW w:w="2520" w:type="dxa"/>
          </w:tcPr>
          <w:p w14:paraId="1C533389" w14:textId="77777777" w:rsidR="00F71967" w:rsidRPr="009223F3"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9929AC">
              <w:rPr>
                <w:szCs w:val="20"/>
              </w:rPr>
              <w:t xml:space="preserve">RIZIV list </w:t>
            </w:r>
            <w:proofErr w:type="spellStart"/>
            <w:r w:rsidRPr="009929AC">
              <w:rPr>
                <w:szCs w:val="20"/>
              </w:rPr>
              <w:t>price</w:t>
            </w:r>
            <w:r>
              <w:rPr>
                <w:szCs w:val="20"/>
                <w:vertAlign w:val="superscript"/>
              </w:rPr>
              <w:t>c</w:t>
            </w:r>
            <w:proofErr w:type="spellEnd"/>
          </w:p>
        </w:tc>
        <w:tc>
          <w:tcPr>
            <w:tcW w:w="4500" w:type="dxa"/>
          </w:tcPr>
          <w:p w14:paraId="3EECC5EB"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 xml:space="preserve">171850 - 171861 (neg trial) </w:t>
            </w:r>
            <w:r>
              <w:rPr>
                <w:szCs w:val="20"/>
              </w:rPr>
              <w:t>–</w:t>
            </w:r>
            <w:r w:rsidRPr="009929AC">
              <w:rPr>
                <w:szCs w:val="20"/>
              </w:rPr>
              <w:t xml:space="preserve"> Lump</w:t>
            </w:r>
            <w:r>
              <w:rPr>
                <w:szCs w:val="20"/>
              </w:rPr>
              <w:t xml:space="preserve"> </w:t>
            </w:r>
            <w:r w:rsidRPr="009929AC">
              <w:rPr>
                <w:szCs w:val="20"/>
              </w:rPr>
              <w:t>sum</w:t>
            </w:r>
          </w:p>
        </w:tc>
        <w:tc>
          <w:tcPr>
            <w:tcW w:w="1615" w:type="dxa"/>
          </w:tcPr>
          <w:p w14:paraId="1C719639"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tc>
      </w:tr>
      <w:tr w:rsidR="00F71967" w:rsidRPr="009929AC" w14:paraId="475CCCFA"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81698C4" w14:textId="77777777" w:rsidR="00F71967" w:rsidRPr="009929AC" w:rsidRDefault="00F71967">
            <w:pPr>
              <w:pStyle w:val="TableText"/>
              <w:spacing w:before="0" w:after="0"/>
              <w:rPr>
                <w:szCs w:val="20"/>
              </w:rPr>
            </w:pPr>
            <w:r w:rsidRPr="009929AC">
              <w:rPr>
                <w:szCs w:val="20"/>
              </w:rPr>
              <w:t>External battery for trial stimulation</w:t>
            </w:r>
          </w:p>
        </w:tc>
        <w:tc>
          <w:tcPr>
            <w:tcW w:w="1260" w:type="dxa"/>
          </w:tcPr>
          <w:p w14:paraId="55EF763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szCs w:val="20"/>
              </w:rPr>
            </w:pPr>
            <w:r>
              <w:rPr>
                <w:szCs w:val="20"/>
              </w:rPr>
              <w:t xml:space="preserve">€ </w:t>
            </w:r>
            <w:r w:rsidRPr="009929AC">
              <w:rPr>
                <w:szCs w:val="20"/>
              </w:rPr>
              <w:t>0.00</w:t>
            </w:r>
          </w:p>
        </w:tc>
        <w:tc>
          <w:tcPr>
            <w:tcW w:w="2520" w:type="dxa"/>
          </w:tcPr>
          <w:p w14:paraId="5E96DBB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8C5194">
              <w:rPr>
                <w:szCs w:val="20"/>
              </w:rPr>
              <w:t xml:space="preserve">RIZIV list </w:t>
            </w:r>
            <w:proofErr w:type="spellStart"/>
            <w:r w:rsidRPr="008C5194">
              <w:rPr>
                <w:szCs w:val="20"/>
              </w:rPr>
              <w:t>price</w:t>
            </w:r>
            <w:r w:rsidRPr="008C5194">
              <w:rPr>
                <w:szCs w:val="20"/>
                <w:vertAlign w:val="superscript"/>
              </w:rPr>
              <w:t>c</w:t>
            </w:r>
            <w:proofErr w:type="spellEnd"/>
          </w:p>
        </w:tc>
        <w:tc>
          <w:tcPr>
            <w:tcW w:w="4500" w:type="dxa"/>
          </w:tcPr>
          <w:p w14:paraId="5C78F7F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27CDA6C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p w14:paraId="1785122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p w14:paraId="6715B8BB"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Battery price included in hospitalization</w:t>
            </w:r>
          </w:p>
        </w:tc>
      </w:tr>
      <w:tr w:rsidR="00F71967" w:rsidRPr="009929AC" w14:paraId="4B00465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E307400" w14:textId="77777777" w:rsidR="00F71967" w:rsidRPr="009929AC" w:rsidRDefault="00F71967">
            <w:pPr>
              <w:pStyle w:val="TableText"/>
              <w:spacing w:before="0" w:after="0"/>
              <w:rPr>
                <w:szCs w:val="20"/>
              </w:rPr>
            </w:pPr>
            <w:proofErr w:type="spellStart"/>
            <w:r w:rsidRPr="009929AC">
              <w:rPr>
                <w:szCs w:val="20"/>
              </w:rPr>
              <w:t>Intellis</w:t>
            </w:r>
            <w:r w:rsidRPr="009929AC">
              <w:rPr>
                <w:szCs w:val="20"/>
                <w:vertAlign w:val="superscript"/>
              </w:rPr>
              <w:t>TM</w:t>
            </w:r>
            <w:proofErr w:type="spellEnd"/>
            <w:r w:rsidRPr="009929AC">
              <w:rPr>
                <w:szCs w:val="20"/>
              </w:rPr>
              <w:t xml:space="preserve"> IPG (SCS)</w:t>
            </w:r>
          </w:p>
        </w:tc>
        <w:tc>
          <w:tcPr>
            <w:tcW w:w="1260" w:type="dxa"/>
          </w:tcPr>
          <w:p w14:paraId="33DF1465"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szCs w:val="20"/>
              </w:rPr>
            </w:pPr>
            <w:r>
              <w:rPr>
                <w:szCs w:val="20"/>
              </w:rPr>
              <w:t xml:space="preserve">€ </w:t>
            </w:r>
            <w:r w:rsidRPr="009929AC">
              <w:rPr>
                <w:szCs w:val="20"/>
              </w:rPr>
              <w:t>1733</w:t>
            </w:r>
            <w:r>
              <w:rPr>
                <w:szCs w:val="20"/>
              </w:rPr>
              <w:t>4</w:t>
            </w:r>
          </w:p>
        </w:tc>
        <w:tc>
          <w:tcPr>
            <w:tcW w:w="2520" w:type="dxa"/>
          </w:tcPr>
          <w:p w14:paraId="101E2BDA"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8C5194">
              <w:rPr>
                <w:szCs w:val="20"/>
              </w:rPr>
              <w:t xml:space="preserve">RIZIV list </w:t>
            </w:r>
            <w:proofErr w:type="spellStart"/>
            <w:r w:rsidRPr="008C5194">
              <w:rPr>
                <w:szCs w:val="20"/>
              </w:rPr>
              <w:t>price</w:t>
            </w:r>
            <w:r w:rsidRPr="008C5194">
              <w:rPr>
                <w:szCs w:val="20"/>
                <w:vertAlign w:val="superscript"/>
              </w:rPr>
              <w:t>c</w:t>
            </w:r>
            <w:proofErr w:type="spellEnd"/>
          </w:p>
        </w:tc>
        <w:tc>
          <w:tcPr>
            <w:tcW w:w="4500" w:type="dxa"/>
          </w:tcPr>
          <w:p w14:paraId="708516C5"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151130 - 151141, 151152 - 151163, 151174 - 151185</w:t>
            </w:r>
          </w:p>
        </w:tc>
        <w:tc>
          <w:tcPr>
            <w:tcW w:w="1615" w:type="dxa"/>
          </w:tcPr>
          <w:p w14:paraId="3CC775D5"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tc>
      </w:tr>
      <w:tr w:rsidR="00F71967" w:rsidRPr="009929AC" w14:paraId="5C0B5BA1"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0C091D9" w14:textId="77777777" w:rsidR="00F71967" w:rsidRPr="009929AC" w:rsidRDefault="00F71967">
            <w:pPr>
              <w:pStyle w:val="TableText"/>
              <w:spacing w:before="0" w:after="0"/>
              <w:rPr>
                <w:szCs w:val="20"/>
              </w:rPr>
            </w:pPr>
            <w:r w:rsidRPr="009929AC">
              <w:rPr>
                <w:szCs w:val="20"/>
              </w:rPr>
              <w:t xml:space="preserve">Lead (cost </w:t>
            </w:r>
            <w:r w:rsidRPr="009929AC">
              <w:rPr>
                <w:szCs w:val="20"/>
                <w:u w:val="single"/>
              </w:rPr>
              <w:t>per lead</w:t>
            </w:r>
            <w:r w:rsidRPr="009929AC">
              <w:rPr>
                <w:szCs w:val="20"/>
              </w:rPr>
              <w:t>)</w:t>
            </w:r>
            <w:r>
              <w:rPr>
                <w:szCs w:val="20"/>
              </w:rPr>
              <w:t xml:space="preserve">, </w:t>
            </w:r>
            <w:proofErr w:type="spellStart"/>
            <w:r w:rsidRPr="009929AC">
              <w:rPr>
                <w:szCs w:val="20"/>
              </w:rPr>
              <w:t>SureScan</w:t>
            </w:r>
            <w:proofErr w:type="spellEnd"/>
            <w:r w:rsidRPr="009929AC">
              <w:rPr>
                <w:szCs w:val="20"/>
              </w:rPr>
              <w:t xml:space="preserve"> </w:t>
            </w:r>
            <w:proofErr w:type="spellStart"/>
            <w:r w:rsidRPr="009929AC">
              <w:rPr>
                <w:szCs w:val="20"/>
              </w:rPr>
              <w:t>Vectris</w:t>
            </w:r>
            <w:proofErr w:type="spellEnd"/>
            <w:r w:rsidRPr="009929AC">
              <w:rPr>
                <w:szCs w:val="20"/>
              </w:rPr>
              <w:t xml:space="preserve"> lead</w:t>
            </w:r>
          </w:p>
        </w:tc>
        <w:tc>
          <w:tcPr>
            <w:tcW w:w="1260" w:type="dxa"/>
          </w:tcPr>
          <w:p w14:paraId="36A8103E" w14:textId="17D9F96C"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1</w:t>
            </w:r>
            <w:r w:rsidR="00EF2655">
              <w:rPr>
                <w:szCs w:val="20"/>
              </w:rPr>
              <w:t>090</w:t>
            </w:r>
          </w:p>
        </w:tc>
        <w:tc>
          <w:tcPr>
            <w:tcW w:w="2520" w:type="dxa"/>
          </w:tcPr>
          <w:p w14:paraId="6883EF4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8C5194">
              <w:rPr>
                <w:szCs w:val="20"/>
              </w:rPr>
              <w:t xml:space="preserve">RIZIV list </w:t>
            </w:r>
            <w:proofErr w:type="spellStart"/>
            <w:r w:rsidRPr="008C5194">
              <w:rPr>
                <w:szCs w:val="20"/>
              </w:rPr>
              <w:t>price</w:t>
            </w:r>
            <w:r w:rsidRPr="008C5194">
              <w:rPr>
                <w:szCs w:val="20"/>
                <w:vertAlign w:val="superscript"/>
              </w:rPr>
              <w:t>c</w:t>
            </w:r>
            <w:proofErr w:type="spellEnd"/>
          </w:p>
        </w:tc>
        <w:tc>
          <w:tcPr>
            <w:tcW w:w="4500" w:type="dxa"/>
          </w:tcPr>
          <w:p w14:paraId="287EEE41" w14:textId="2FF53BEF" w:rsidR="00F71967" w:rsidRPr="009929AC" w:rsidRDefault="00D4533E">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 xml:space="preserve">171835 - 171846 </w:t>
            </w:r>
            <w:r>
              <w:rPr>
                <w:szCs w:val="20"/>
              </w:rPr>
              <w:t>–</w:t>
            </w:r>
            <w:r w:rsidRPr="009929AC">
              <w:rPr>
                <w:szCs w:val="20"/>
              </w:rPr>
              <w:t xml:space="preserve"> Lump</w:t>
            </w:r>
            <w:r>
              <w:rPr>
                <w:szCs w:val="20"/>
              </w:rPr>
              <w:t xml:space="preserve"> </w:t>
            </w:r>
            <w:r w:rsidRPr="009929AC">
              <w:rPr>
                <w:szCs w:val="20"/>
              </w:rPr>
              <w:t>sum</w:t>
            </w:r>
          </w:p>
        </w:tc>
        <w:tc>
          <w:tcPr>
            <w:tcW w:w="1615" w:type="dxa"/>
          </w:tcPr>
          <w:p w14:paraId="2886F25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tc>
      </w:tr>
      <w:tr w:rsidR="00F71967" w:rsidRPr="009929AC" w14:paraId="061175F7"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AC70488" w14:textId="77777777" w:rsidR="00F71967" w:rsidRPr="009929AC" w:rsidRDefault="00F71967">
            <w:pPr>
              <w:pStyle w:val="TableText"/>
              <w:spacing w:before="0" w:after="0"/>
              <w:rPr>
                <w:szCs w:val="20"/>
              </w:rPr>
            </w:pPr>
            <w:r w:rsidRPr="009929AC">
              <w:rPr>
                <w:szCs w:val="20"/>
              </w:rPr>
              <w:t>Patient recharger</w:t>
            </w:r>
          </w:p>
        </w:tc>
        <w:tc>
          <w:tcPr>
            <w:tcW w:w="1260" w:type="dxa"/>
          </w:tcPr>
          <w:p w14:paraId="0005B578" w14:textId="104697EA"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83226C">
              <w:rPr>
                <w:szCs w:val="20"/>
              </w:rPr>
              <w:t xml:space="preserve">€ </w:t>
            </w:r>
            <w:r w:rsidR="00667D39" w:rsidRPr="0083226C">
              <w:rPr>
                <w:szCs w:val="20"/>
              </w:rPr>
              <w:t>1486</w:t>
            </w:r>
          </w:p>
        </w:tc>
        <w:tc>
          <w:tcPr>
            <w:tcW w:w="2520" w:type="dxa"/>
          </w:tcPr>
          <w:p w14:paraId="760F6AD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8C5194">
              <w:rPr>
                <w:szCs w:val="20"/>
              </w:rPr>
              <w:t xml:space="preserve">RIZIV list </w:t>
            </w:r>
            <w:proofErr w:type="spellStart"/>
            <w:r w:rsidRPr="008C5194">
              <w:rPr>
                <w:szCs w:val="20"/>
              </w:rPr>
              <w:t>price</w:t>
            </w:r>
            <w:r w:rsidRPr="008C5194">
              <w:rPr>
                <w:szCs w:val="20"/>
                <w:vertAlign w:val="superscript"/>
              </w:rPr>
              <w:t>c</w:t>
            </w:r>
            <w:proofErr w:type="spellEnd"/>
          </w:p>
        </w:tc>
        <w:tc>
          <w:tcPr>
            <w:tcW w:w="4500" w:type="dxa"/>
          </w:tcPr>
          <w:p w14:paraId="4881FD44" w14:textId="4AD3187A" w:rsidR="00F71967" w:rsidRPr="009929AC" w:rsidRDefault="00D4533E">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151233 - 151244, 151255 - 151266</w:t>
            </w:r>
          </w:p>
        </w:tc>
        <w:tc>
          <w:tcPr>
            <w:tcW w:w="1615" w:type="dxa"/>
          </w:tcPr>
          <w:p w14:paraId="3DDDEE7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tc>
      </w:tr>
      <w:tr w:rsidR="00F71967" w:rsidRPr="009929AC" w14:paraId="03A31E0B"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66E74372" w14:textId="77777777" w:rsidR="00F71967" w:rsidRPr="009929AC" w:rsidRDefault="00F71967">
            <w:pPr>
              <w:pStyle w:val="TableText"/>
              <w:spacing w:before="0" w:after="0"/>
              <w:rPr>
                <w:szCs w:val="20"/>
              </w:rPr>
            </w:pPr>
            <w:r w:rsidRPr="009929AC">
              <w:rPr>
                <w:szCs w:val="20"/>
              </w:rPr>
              <w:t>Patient programmer</w:t>
            </w:r>
          </w:p>
        </w:tc>
        <w:tc>
          <w:tcPr>
            <w:tcW w:w="1260" w:type="dxa"/>
          </w:tcPr>
          <w:p w14:paraId="51134787" w14:textId="61151249"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83226C">
              <w:rPr>
                <w:szCs w:val="20"/>
              </w:rPr>
              <w:t xml:space="preserve">€ </w:t>
            </w:r>
            <w:r w:rsidR="00170F6E" w:rsidRPr="0083226C">
              <w:rPr>
                <w:szCs w:val="20"/>
              </w:rPr>
              <w:t>597</w:t>
            </w:r>
          </w:p>
        </w:tc>
        <w:tc>
          <w:tcPr>
            <w:tcW w:w="2520" w:type="dxa"/>
          </w:tcPr>
          <w:p w14:paraId="6BABDB1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8C5194">
              <w:rPr>
                <w:szCs w:val="20"/>
              </w:rPr>
              <w:t xml:space="preserve">RIZIV list </w:t>
            </w:r>
            <w:proofErr w:type="spellStart"/>
            <w:r w:rsidRPr="008C5194">
              <w:rPr>
                <w:szCs w:val="20"/>
              </w:rPr>
              <w:t>price</w:t>
            </w:r>
            <w:r w:rsidRPr="008C5194">
              <w:rPr>
                <w:szCs w:val="20"/>
                <w:vertAlign w:val="superscript"/>
              </w:rPr>
              <w:t>c</w:t>
            </w:r>
            <w:proofErr w:type="spellEnd"/>
          </w:p>
        </w:tc>
        <w:tc>
          <w:tcPr>
            <w:tcW w:w="4500" w:type="dxa"/>
          </w:tcPr>
          <w:p w14:paraId="3B00BB0D" w14:textId="6F449DF9" w:rsidR="00F71967" w:rsidRPr="009929AC" w:rsidRDefault="007F22C5">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151196 - 151200, 151211 - 151222</w:t>
            </w:r>
          </w:p>
        </w:tc>
        <w:tc>
          <w:tcPr>
            <w:tcW w:w="1615" w:type="dxa"/>
          </w:tcPr>
          <w:p w14:paraId="2614B65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Same price as Belgium reimburses for FBSS</w:t>
            </w:r>
          </w:p>
        </w:tc>
      </w:tr>
      <w:tr w:rsidR="00F71967" w:rsidRPr="009929AC" w14:paraId="37EF7738"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23C42C98" w14:textId="77777777" w:rsidR="00F71967" w:rsidRPr="009929AC" w:rsidRDefault="00F71967">
            <w:pPr>
              <w:pStyle w:val="TableText"/>
              <w:keepNext/>
              <w:keepLines/>
              <w:spacing w:before="0" w:after="0"/>
              <w:rPr>
                <w:szCs w:val="20"/>
              </w:rPr>
            </w:pPr>
            <w:r w:rsidRPr="009929AC">
              <w:rPr>
                <w:szCs w:val="20"/>
              </w:rPr>
              <w:t>Non-drug therapy</w:t>
            </w:r>
          </w:p>
        </w:tc>
      </w:tr>
      <w:tr w:rsidR="00F71967" w:rsidRPr="009929AC" w14:paraId="12B180B6"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78BD7B6D" w14:textId="77777777" w:rsidR="00F71967" w:rsidRPr="009929AC" w:rsidRDefault="00F71967">
            <w:pPr>
              <w:pStyle w:val="TableText"/>
              <w:keepNext/>
              <w:keepLines/>
              <w:spacing w:before="0" w:after="0"/>
              <w:rPr>
                <w:szCs w:val="20"/>
              </w:rPr>
            </w:pPr>
            <w:r w:rsidRPr="009929AC">
              <w:rPr>
                <w:szCs w:val="20"/>
              </w:rPr>
              <w:t>Physical rehab</w:t>
            </w:r>
          </w:p>
        </w:tc>
        <w:tc>
          <w:tcPr>
            <w:tcW w:w="1260" w:type="dxa"/>
          </w:tcPr>
          <w:p w14:paraId="18350DDE" w14:textId="77777777" w:rsidR="00F71967" w:rsidRPr="009929AC"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56</w:t>
            </w:r>
          </w:p>
        </w:tc>
        <w:tc>
          <w:tcPr>
            <w:tcW w:w="2520" w:type="dxa"/>
          </w:tcPr>
          <w:p w14:paraId="4661CE7F" w14:textId="77777777" w:rsidR="00F71967" w:rsidRPr="009929AC"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highlight w:val="yellow"/>
                <w:vertAlign w:val="superscript"/>
              </w:rPr>
            </w:pPr>
            <w:r w:rsidRPr="009929AC">
              <w:rPr>
                <w:szCs w:val="20"/>
              </w:rPr>
              <w:t xml:space="preserve">RIZIV </w:t>
            </w:r>
            <w:proofErr w:type="spellStart"/>
            <w:r w:rsidRPr="009929AC">
              <w:rPr>
                <w:szCs w:val="20"/>
              </w:rPr>
              <w:t>Honoraria</w:t>
            </w:r>
            <w:r>
              <w:rPr>
                <w:szCs w:val="20"/>
                <w:vertAlign w:val="superscript"/>
              </w:rPr>
              <w:t>a</w:t>
            </w:r>
            <w:proofErr w:type="spellEnd"/>
          </w:p>
        </w:tc>
        <w:tc>
          <w:tcPr>
            <w:tcW w:w="4500" w:type="dxa"/>
          </w:tcPr>
          <w:p w14:paraId="74C931B2" w14:textId="77777777" w:rsidR="00F71967"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558784 + 105151</w:t>
            </w:r>
          </w:p>
          <w:p w14:paraId="313BB79A" w14:textId="27ACF9D3" w:rsidR="005A3A90" w:rsidRPr="009929AC" w:rsidRDefault="005A3A90" w:rsidP="004E42E6">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5AFF6423" w14:textId="77777777" w:rsidR="00F71967" w:rsidRPr="009929AC"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09EDEBAA"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EA39278" w14:textId="77777777" w:rsidR="00F71967" w:rsidRPr="009929AC" w:rsidRDefault="00F71967">
            <w:pPr>
              <w:pStyle w:val="TableText"/>
              <w:keepLines/>
              <w:spacing w:before="0" w:after="0"/>
              <w:rPr>
                <w:szCs w:val="20"/>
              </w:rPr>
            </w:pPr>
            <w:r w:rsidRPr="009929AC">
              <w:rPr>
                <w:szCs w:val="20"/>
              </w:rPr>
              <w:t>GP</w:t>
            </w:r>
          </w:p>
        </w:tc>
        <w:tc>
          <w:tcPr>
            <w:tcW w:w="1260" w:type="dxa"/>
          </w:tcPr>
          <w:p w14:paraId="2436E2F5" w14:textId="77777777" w:rsidR="00F71967" w:rsidRPr="009929AC"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w:t>
            </w:r>
            <w:r>
              <w:rPr>
                <w:szCs w:val="20"/>
              </w:rPr>
              <w:t>2</w:t>
            </w:r>
          </w:p>
        </w:tc>
        <w:tc>
          <w:tcPr>
            <w:tcW w:w="2520" w:type="dxa"/>
          </w:tcPr>
          <w:p w14:paraId="68AD90EA" w14:textId="77777777" w:rsidR="00F71967" w:rsidRPr="009929AC" w:rsidRDefault="00F71967">
            <w:pPr>
              <w:pStyle w:val="TableText"/>
              <w:keepLines/>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p>
        </w:tc>
        <w:tc>
          <w:tcPr>
            <w:tcW w:w="4500" w:type="dxa"/>
          </w:tcPr>
          <w:p w14:paraId="659D5EE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101076</w:t>
            </w:r>
          </w:p>
        </w:tc>
        <w:tc>
          <w:tcPr>
            <w:tcW w:w="1615" w:type="dxa"/>
          </w:tcPr>
          <w:p w14:paraId="614E0A4C"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70D70D8A"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7769B5F" w14:textId="77777777" w:rsidR="00F71967" w:rsidRPr="009929AC" w:rsidRDefault="00F71967">
            <w:pPr>
              <w:pStyle w:val="TableText"/>
              <w:spacing w:before="0" w:after="0"/>
              <w:rPr>
                <w:szCs w:val="20"/>
              </w:rPr>
            </w:pPr>
            <w:r w:rsidRPr="009929AC">
              <w:rPr>
                <w:szCs w:val="20"/>
              </w:rPr>
              <w:t>Outpatient</w:t>
            </w:r>
          </w:p>
        </w:tc>
        <w:tc>
          <w:tcPr>
            <w:tcW w:w="1260" w:type="dxa"/>
          </w:tcPr>
          <w:p w14:paraId="6C335158"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w:t>
            </w:r>
            <w:r>
              <w:rPr>
                <w:szCs w:val="20"/>
              </w:rPr>
              <w:t>3</w:t>
            </w:r>
          </w:p>
        </w:tc>
        <w:tc>
          <w:tcPr>
            <w:tcW w:w="2520" w:type="dxa"/>
          </w:tcPr>
          <w:p w14:paraId="07C481E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vertAlign w:val="superscript"/>
              </w:rPr>
            </w:pPr>
            <w:r w:rsidRPr="009929AC">
              <w:rPr>
                <w:szCs w:val="20"/>
              </w:rPr>
              <w:t xml:space="preserve">RIZIV </w:t>
            </w:r>
            <w:proofErr w:type="spellStart"/>
            <w:r w:rsidRPr="009929AC">
              <w:rPr>
                <w:szCs w:val="20"/>
              </w:rPr>
              <w:t>Honoraria</w:t>
            </w:r>
            <w:r>
              <w:rPr>
                <w:szCs w:val="20"/>
                <w:vertAlign w:val="superscript"/>
              </w:rPr>
              <w:t>a</w:t>
            </w:r>
            <w:proofErr w:type="spellEnd"/>
          </w:p>
        </w:tc>
        <w:tc>
          <w:tcPr>
            <w:tcW w:w="4500" w:type="dxa"/>
          </w:tcPr>
          <w:p w14:paraId="18B821C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9929AC">
              <w:rPr>
                <w:szCs w:val="20"/>
              </w:rPr>
              <w:t>weighted</w:t>
            </w:r>
            <w:proofErr w:type="gramEnd"/>
            <w:r w:rsidRPr="009929AC">
              <w:rPr>
                <w:szCs w:val="20"/>
              </w:rPr>
              <w:t xml:space="preserve"> average of 105195+105114+105114+102653+105755+105792</w:t>
            </w:r>
          </w:p>
        </w:tc>
        <w:tc>
          <w:tcPr>
            <w:tcW w:w="1615" w:type="dxa"/>
          </w:tcPr>
          <w:p w14:paraId="6AF5C01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0F327630"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52F6996" w14:textId="77777777" w:rsidR="00F71967" w:rsidRPr="009929AC" w:rsidRDefault="00F71967">
            <w:pPr>
              <w:pStyle w:val="TableText"/>
              <w:spacing w:before="0" w:after="0"/>
              <w:rPr>
                <w:szCs w:val="20"/>
              </w:rPr>
            </w:pPr>
            <w:r w:rsidRPr="009929AC">
              <w:rPr>
                <w:szCs w:val="20"/>
              </w:rPr>
              <w:t>Inpatient</w:t>
            </w:r>
          </w:p>
        </w:tc>
        <w:tc>
          <w:tcPr>
            <w:tcW w:w="1260" w:type="dxa"/>
          </w:tcPr>
          <w:p w14:paraId="06F25C1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137</w:t>
            </w:r>
            <w:r>
              <w:rPr>
                <w:szCs w:val="20"/>
              </w:rPr>
              <w:t>5</w:t>
            </w:r>
          </w:p>
        </w:tc>
        <w:tc>
          <w:tcPr>
            <w:tcW w:w="2520" w:type="dxa"/>
          </w:tcPr>
          <w:p w14:paraId="1AC475F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vertAlign w:val="superscript"/>
              </w:rPr>
            </w:pPr>
            <w:r w:rsidRPr="00D14EED">
              <w:rPr>
                <w:szCs w:val="20"/>
              </w:rPr>
              <w:t>APR-DRG 23 (mild)</w:t>
            </w:r>
            <w:r w:rsidRPr="00D14EED">
              <w:rPr>
                <w:szCs w:val="20"/>
                <w:vertAlign w:val="superscript"/>
              </w:rPr>
              <w:t>d</w:t>
            </w:r>
          </w:p>
        </w:tc>
        <w:tc>
          <w:tcPr>
            <w:tcW w:w="4500" w:type="dxa"/>
          </w:tcPr>
          <w:p w14:paraId="7DEF4040"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APR-DRG23 (Spinal procedure- mild) for one day</w:t>
            </w:r>
          </w:p>
        </w:tc>
        <w:tc>
          <w:tcPr>
            <w:tcW w:w="1615" w:type="dxa"/>
          </w:tcPr>
          <w:p w14:paraId="5E80D32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03FFE139"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1DECC730" w14:textId="77777777" w:rsidR="00F71967" w:rsidRPr="009929AC" w:rsidRDefault="00F71967">
            <w:pPr>
              <w:pStyle w:val="TableText"/>
              <w:spacing w:before="0" w:after="0"/>
              <w:rPr>
                <w:szCs w:val="20"/>
              </w:rPr>
            </w:pPr>
            <w:r w:rsidRPr="009929AC">
              <w:rPr>
                <w:szCs w:val="20"/>
              </w:rPr>
              <w:t>Spinal injection</w:t>
            </w:r>
          </w:p>
        </w:tc>
        <w:tc>
          <w:tcPr>
            <w:tcW w:w="1260" w:type="dxa"/>
          </w:tcPr>
          <w:p w14:paraId="1FA2354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950</w:t>
            </w:r>
          </w:p>
        </w:tc>
        <w:tc>
          <w:tcPr>
            <w:tcW w:w="2520" w:type="dxa"/>
          </w:tcPr>
          <w:p w14:paraId="2CE3EC5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r>
              <w:rPr>
                <w:szCs w:val="20"/>
              </w:rPr>
              <w:t xml:space="preserve">; </w:t>
            </w:r>
            <w:r w:rsidRPr="009929AC">
              <w:rPr>
                <w:szCs w:val="20"/>
              </w:rPr>
              <w:t xml:space="preserve">RIZIV average hospitalization </w:t>
            </w:r>
            <w:proofErr w:type="spellStart"/>
            <w:r w:rsidRPr="009929AC">
              <w:rPr>
                <w:szCs w:val="20"/>
              </w:rPr>
              <w:t>costs</w:t>
            </w:r>
            <w:r>
              <w:rPr>
                <w:szCs w:val="20"/>
                <w:vertAlign w:val="superscript"/>
              </w:rPr>
              <w:t>b</w:t>
            </w:r>
            <w:proofErr w:type="spellEnd"/>
          </w:p>
        </w:tc>
        <w:tc>
          <w:tcPr>
            <w:tcW w:w="4500" w:type="dxa"/>
          </w:tcPr>
          <w:p w14:paraId="3EEFB5BB"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roofErr w:type="gramStart"/>
            <w:r w:rsidRPr="009929AC">
              <w:rPr>
                <w:szCs w:val="20"/>
              </w:rPr>
              <w:t>weighted</w:t>
            </w:r>
            <w:proofErr w:type="gramEnd"/>
            <w:r w:rsidRPr="009929AC">
              <w:rPr>
                <w:szCs w:val="20"/>
              </w:rPr>
              <w:t xml:space="preserve"> average of 202790, 202532, 202521, 202495, 202436 + average cost of day hospitalization</w:t>
            </w:r>
          </w:p>
          <w:p w14:paraId="0D1B89C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p w14:paraId="7481254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lang w:val="en-GB"/>
              </w:rPr>
              <w:t>Hospitalization: average price of emergency hospitalization across public and research hospitals in Belgium</w:t>
            </w:r>
          </w:p>
        </w:tc>
        <w:tc>
          <w:tcPr>
            <w:tcW w:w="1615" w:type="dxa"/>
          </w:tcPr>
          <w:p w14:paraId="1980F9E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0E7D2F68"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A6FF411" w14:textId="77777777" w:rsidR="00F71967" w:rsidRPr="009929AC" w:rsidRDefault="00F71967">
            <w:pPr>
              <w:pStyle w:val="TableText"/>
              <w:spacing w:before="0" w:after="0"/>
              <w:rPr>
                <w:szCs w:val="20"/>
              </w:rPr>
            </w:pPr>
            <w:r w:rsidRPr="009929AC">
              <w:rPr>
                <w:szCs w:val="20"/>
              </w:rPr>
              <w:t>Nurse</w:t>
            </w:r>
          </w:p>
        </w:tc>
        <w:tc>
          <w:tcPr>
            <w:tcW w:w="1260" w:type="dxa"/>
          </w:tcPr>
          <w:p w14:paraId="03F2F809"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10</w:t>
            </w:r>
          </w:p>
        </w:tc>
        <w:tc>
          <w:tcPr>
            <w:tcW w:w="2520" w:type="dxa"/>
          </w:tcPr>
          <w:p w14:paraId="1B222C2A"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9929AC">
              <w:rPr>
                <w:szCs w:val="20"/>
              </w:rPr>
              <w:t xml:space="preserve">RIZIV </w:t>
            </w:r>
            <w:proofErr w:type="spellStart"/>
            <w:r w:rsidRPr="009929AC">
              <w:rPr>
                <w:szCs w:val="20"/>
              </w:rPr>
              <w:t>Honoraria</w:t>
            </w:r>
            <w:r>
              <w:rPr>
                <w:szCs w:val="20"/>
                <w:vertAlign w:val="superscript"/>
              </w:rPr>
              <w:t>a</w:t>
            </w:r>
            <w:proofErr w:type="spellEnd"/>
          </w:p>
        </w:tc>
        <w:tc>
          <w:tcPr>
            <w:tcW w:w="4500" w:type="dxa"/>
          </w:tcPr>
          <w:p w14:paraId="0905184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average of wound care (424336) and complex wound care (424351)</w:t>
            </w:r>
          </w:p>
        </w:tc>
        <w:tc>
          <w:tcPr>
            <w:tcW w:w="1615" w:type="dxa"/>
          </w:tcPr>
          <w:p w14:paraId="23805D0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3F5D1135"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73907129" w14:textId="77777777" w:rsidR="00F71967" w:rsidRPr="009929AC" w:rsidRDefault="00F71967">
            <w:pPr>
              <w:pStyle w:val="TableText"/>
              <w:spacing w:before="0" w:after="0"/>
              <w:rPr>
                <w:szCs w:val="20"/>
              </w:rPr>
            </w:pPr>
            <w:r w:rsidRPr="009929AC">
              <w:rPr>
                <w:szCs w:val="20"/>
              </w:rPr>
              <w:t>Psychological rehab</w:t>
            </w:r>
          </w:p>
        </w:tc>
        <w:tc>
          <w:tcPr>
            <w:tcW w:w="1260" w:type="dxa"/>
          </w:tcPr>
          <w:p w14:paraId="07521D9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8</w:t>
            </w:r>
            <w:r>
              <w:rPr>
                <w:szCs w:val="20"/>
              </w:rPr>
              <w:t>7</w:t>
            </w:r>
          </w:p>
        </w:tc>
        <w:tc>
          <w:tcPr>
            <w:tcW w:w="2520" w:type="dxa"/>
          </w:tcPr>
          <w:p w14:paraId="74451E4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E44270">
              <w:rPr>
                <w:szCs w:val="20"/>
              </w:rPr>
              <w:t xml:space="preserve">RIZIV </w:t>
            </w:r>
            <w:proofErr w:type="spellStart"/>
            <w:r w:rsidRPr="00E44270">
              <w:rPr>
                <w:szCs w:val="20"/>
              </w:rPr>
              <w:t>Honoraria</w:t>
            </w:r>
            <w:r w:rsidRPr="00E44270">
              <w:rPr>
                <w:szCs w:val="20"/>
                <w:vertAlign w:val="superscript"/>
              </w:rPr>
              <w:t>a</w:t>
            </w:r>
            <w:proofErr w:type="spellEnd"/>
          </w:p>
        </w:tc>
        <w:tc>
          <w:tcPr>
            <w:tcW w:w="4500" w:type="dxa"/>
          </w:tcPr>
          <w:p w14:paraId="1AA6E15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lang w:val="en-GB"/>
              </w:rPr>
              <w:t>726714</w:t>
            </w:r>
          </w:p>
        </w:tc>
        <w:tc>
          <w:tcPr>
            <w:tcW w:w="1615" w:type="dxa"/>
          </w:tcPr>
          <w:p w14:paraId="0F1F506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2FA631E1"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7069ED27" w14:textId="77777777" w:rsidR="00F71967" w:rsidRPr="009929AC" w:rsidRDefault="00F71967">
            <w:pPr>
              <w:pStyle w:val="TableText"/>
              <w:spacing w:before="0" w:after="0"/>
              <w:rPr>
                <w:szCs w:val="20"/>
              </w:rPr>
            </w:pPr>
            <w:r w:rsidRPr="00341490">
              <w:rPr>
                <w:szCs w:val="20"/>
              </w:rPr>
              <w:t>Physical rehab</w:t>
            </w:r>
          </w:p>
        </w:tc>
        <w:tc>
          <w:tcPr>
            <w:tcW w:w="1260" w:type="dxa"/>
          </w:tcPr>
          <w:p w14:paraId="2ABBD54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56</w:t>
            </w:r>
          </w:p>
        </w:tc>
        <w:tc>
          <w:tcPr>
            <w:tcW w:w="2520" w:type="dxa"/>
          </w:tcPr>
          <w:p w14:paraId="02F1ABA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highlight w:val="yellow"/>
              </w:rPr>
            </w:pPr>
            <w:r w:rsidRPr="00E44270">
              <w:rPr>
                <w:szCs w:val="20"/>
              </w:rPr>
              <w:t xml:space="preserve">RIZIV </w:t>
            </w:r>
            <w:proofErr w:type="spellStart"/>
            <w:r w:rsidRPr="00E44270">
              <w:rPr>
                <w:szCs w:val="20"/>
              </w:rPr>
              <w:t>Honoraria</w:t>
            </w:r>
            <w:r w:rsidRPr="00E44270">
              <w:rPr>
                <w:szCs w:val="20"/>
                <w:vertAlign w:val="superscript"/>
              </w:rPr>
              <w:t>a</w:t>
            </w:r>
            <w:proofErr w:type="spellEnd"/>
          </w:p>
        </w:tc>
        <w:tc>
          <w:tcPr>
            <w:tcW w:w="4500" w:type="dxa"/>
          </w:tcPr>
          <w:p w14:paraId="0C541678"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 xml:space="preserve">558784 </w:t>
            </w:r>
            <w:r w:rsidRPr="009930B8">
              <w:rPr>
                <w:szCs w:val="20"/>
              </w:rPr>
              <w:t>+ 105151</w:t>
            </w:r>
          </w:p>
        </w:tc>
        <w:tc>
          <w:tcPr>
            <w:tcW w:w="1615" w:type="dxa"/>
          </w:tcPr>
          <w:p w14:paraId="10EEAE6C"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0A952646"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15D4485D" w14:textId="77777777" w:rsidR="00F71967" w:rsidRPr="009929AC" w:rsidRDefault="00F71967">
            <w:pPr>
              <w:pStyle w:val="TableText"/>
              <w:spacing w:before="0" w:after="0"/>
              <w:rPr>
                <w:szCs w:val="20"/>
              </w:rPr>
            </w:pPr>
            <w:r w:rsidRPr="009929AC">
              <w:rPr>
                <w:szCs w:val="20"/>
              </w:rPr>
              <w:t>Total non-drug therapy cost per 3 months - CMM</w:t>
            </w:r>
          </w:p>
        </w:tc>
        <w:tc>
          <w:tcPr>
            <w:tcW w:w="1260" w:type="dxa"/>
          </w:tcPr>
          <w:p w14:paraId="0BE8DBC9"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313</w:t>
            </w:r>
          </w:p>
        </w:tc>
        <w:tc>
          <w:tcPr>
            <w:tcW w:w="2520" w:type="dxa"/>
          </w:tcPr>
          <w:p w14:paraId="7F446E7E"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lang w:val="fr-FR"/>
              </w:rPr>
            </w:pPr>
            <w:r w:rsidRPr="004C1784">
              <w:rPr>
                <w:szCs w:val="20"/>
                <w:lang w:val="fr-FR"/>
              </w:rPr>
              <w:t xml:space="preserve">Kallewaard et. </w:t>
            </w:r>
            <w:proofErr w:type="gramStart"/>
            <w:r w:rsidRPr="004C1784">
              <w:rPr>
                <w:szCs w:val="20"/>
                <w:lang w:val="fr-FR"/>
              </w:rPr>
              <w:t>al</w:t>
            </w:r>
            <w:proofErr w:type="gramEnd"/>
            <w:r w:rsidRPr="004C1784">
              <w:rPr>
                <w:szCs w:val="20"/>
                <w:lang w:val="fr-FR"/>
              </w:rPr>
              <w:t>. 2024</w:t>
            </w:r>
            <w:proofErr w:type="gramStart"/>
            <w:r w:rsidRPr="004C1784">
              <w:rPr>
                <w:szCs w:val="20"/>
                <w:vertAlign w:val="superscript"/>
                <w:lang w:val="fr-FR"/>
              </w:rPr>
              <w:t>e</w:t>
            </w:r>
            <w:r w:rsidRPr="004C1784">
              <w:rPr>
                <w:szCs w:val="20"/>
                <w:lang w:val="fr-FR"/>
              </w:rPr>
              <w:t>;</w:t>
            </w:r>
            <w:proofErr w:type="gramEnd"/>
            <w:r w:rsidRPr="004C1784">
              <w:rPr>
                <w:szCs w:val="20"/>
                <w:lang w:val="fr-FR"/>
              </w:rPr>
              <w:t xml:space="preserve"> Taylor et. </w:t>
            </w:r>
            <w:proofErr w:type="gramStart"/>
            <w:r w:rsidRPr="004C1784">
              <w:rPr>
                <w:szCs w:val="20"/>
                <w:lang w:val="fr-FR"/>
              </w:rPr>
              <w:t>al</w:t>
            </w:r>
            <w:proofErr w:type="gramEnd"/>
            <w:r w:rsidRPr="004C1784">
              <w:rPr>
                <w:szCs w:val="20"/>
                <w:lang w:val="fr-FR"/>
              </w:rPr>
              <w:t>. 2010</w:t>
            </w:r>
            <w:r w:rsidRPr="004C1784">
              <w:rPr>
                <w:szCs w:val="20"/>
                <w:vertAlign w:val="superscript"/>
                <w:lang w:val="fr-FR"/>
              </w:rPr>
              <w:t>f</w:t>
            </w:r>
          </w:p>
        </w:tc>
        <w:tc>
          <w:tcPr>
            <w:tcW w:w="4500" w:type="dxa"/>
          </w:tcPr>
          <w:p w14:paraId="7F4FD05E"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fr-FR"/>
              </w:rPr>
            </w:pPr>
          </w:p>
        </w:tc>
        <w:tc>
          <w:tcPr>
            <w:tcW w:w="1615" w:type="dxa"/>
          </w:tcPr>
          <w:p w14:paraId="33F9A0A8"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 xml:space="preserve">13.5% reduction after </w:t>
            </w:r>
            <w:r>
              <w:rPr>
                <w:szCs w:val="20"/>
              </w:rPr>
              <w:t xml:space="preserve">first </w:t>
            </w:r>
            <w:r w:rsidRPr="009929AC">
              <w:rPr>
                <w:szCs w:val="20"/>
              </w:rPr>
              <w:t>24 months</w:t>
            </w:r>
          </w:p>
        </w:tc>
      </w:tr>
      <w:tr w:rsidR="00F71967" w:rsidRPr="009929AC" w14:paraId="7130E2A8"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16EA0BB9" w14:textId="77777777" w:rsidR="00F71967" w:rsidRPr="009929AC" w:rsidRDefault="00F71967">
            <w:pPr>
              <w:pStyle w:val="TableText"/>
              <w:spacing w:before="0" w:after="0"/>
              <w:rPr>
                <w:szCs w:val="20"/>
              </w:rPr>
            </w:pPr>
            <w:r w:rsidRPr="009929AC">
              <w:rPr>
                <w:szCs w:val="20"/>
              </w:rPr>
              <w:t xml:space="preserve">Total non-drug therapy </w:t>
            </w:r>
            <w:proofErr w:type="gramStart"/>
            <w:r w:rsidRPr="009929AC">
              <w:rPr>
                <w:szCs w:val="20"/>
              </w:rPr>
              <w:t>cost</w:t>
            </w:r>
            <w:proofErr w:type="gramEnd"/>
            <w:r w:rsidRPr="009929AC">
              <w:rPr>
                <w:szCs w:val="20"/>
              </w:rPr>
              <w:t xml:space="preserve"> per 3 months</w:t>
            </w:r>
            <w:r>
              <w:rPr>
                <w:szCs w:val="20"/>
              </w:rPr>
              <w:t xml:space="preserve">, </w:t>
            </w:r>
            <w:r w:rsidRPr="009929AC">
              <w:rPr>
                <w:szCs w:val="20"/>
              </w:rPr>
              <w:t>DTM-SCS</w:t>
            </w:r>
          </w:p>
        </w:tc>
        <w:tc>
          <w:tcPr>
            <w:tcW w:w="1260" w:type="dxa"/>
          </w:tcPr>
          <w:p w14:paraId="2BD065D7"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9</w:t>
            </w:r>
            <w:r>
              <w:rPr>
                <w:szCs w:val="20"/>
              </w:rPr>
              <w:t>8</w:t>
            </w:r>
          </w:p>
        </w:tc>
        <w:tc>
          <w:tcPr>
            <w:tcW w:w="2520" w:type="dxa"/>
          </w:tcPr>
          <w:p w14:paraId="74DFB455" w14:textId="77777777" w:rsidR="00F71967" w:rsidRPr="009223F3"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9223F3">
              <w:rPr>
                <w:szCs w:val="20"/>
              </w:rPr>
              <w:t>Kallewaard et. al. 2024</w:t>
            </w:r>
            <w:r>
              <w:rPr>
                <w:szCs w:val="20"/>
                <w:vertAlign w:val="superscript"/>
              </w:rPr>
              <w:t>e</w:t>
            </w:r>
          </w:p>
        </w:tc>
        <w:tc>
          <w:tcPr>
            <w:tcW w:w="4500" w:type="dxa"/>
          </w:tcPr>
          <w:p w14:paraId="451608C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795C9E46"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33908091"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7B743134" w14:textId="77777777" w:rsidR="00F71967" w:rsidRPr="009223F3" w:rsidRDefault="00F71967">
            <w:pPr>
              <w:pStyle w:val="TableText"/>
              <w:spacing w:before="0" w:after="0"/>
              <w:rPr>
                <w:szCs w:val="20"/>
              </w:rPr>
            </w:pPr>
            <w:r w:rsidRPr="009223F3">
              <w:rPr>
                <w:szCs w:val="20"/>
              </w:rPr>
              <w:t>Device re-programming</w:t>
            </w:r>
          </w:p>
        </w:tc>
      </w:tr>
      <w:tr w:rsidR="00F71967" w:rsidRPr="009929AC" w14:paraId="0196B5A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9A10B13" w14:textId="77777777" w:rsidR="00F71967" w:rsidRPr="009929AC" w:rsidRDefault="00F71967">
            <w:pPr>
              <w:pStyle w:val="TableText"/>
              <w:spacing w:before="0" w:after="0"/>
              <w:rPr>
                <w:szCs w:val="20"/>
                <w:lang w:val="it-IT"/>
              </w:rPr>
            </w:pPr>
            <w:r w:rsidRPr="009929AC">
              <w:rPr>
                <w:szCs w:val="20"/>
                <w:lang w:val="it-IT"/>
              </w:rPr>
              <w:t xml:space="preserve">Cost per re-programming </w:t>
            </w:r>
            <w:proofErr w:type="spellStart"/>
            <w:r w:rsidRPr="009929AC">
              <w:rPr>
                <w:szCs w:val="20"/>
                <w:lang w:val="it-IT"/>
              </w:rPr>
              <w:t>visit</w:t>
            </w:r>
            <w:proofErr w:type="spellEnd"/>
          </w:p>
        </w:tc>
        <w:tc>
          <w:tcPr>
            <w:tcW w:w="1260" w:type="dxa"/>
          </w:tcPr>
          <w:p w14:paraId="4232ADEC"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it-IT"/>
              </w:rPr>
            </w:pPr>
            <w:r>
              <w:rPr>
                <w:szCs w:val="20"/>
              </w:rPr>
              <w:t xml:space="preserve">€ </w:t>
            </w:r>
            <w:r w:rsidRPr="009929AC">
              <w:rPr>
                <w:szCs w:val="20"/>
              </w:rPr>
              <w:t>56</w:t>
            </w:r>
          </w:p>
        </w:tc>
        <w:tc>
          <w:tcPr>
            <w:tcW w:w="2520" w:type="dxa"/>
          </w:tcPr>
          <w:p w14:paraId="2D46FE4B" w14:textId="77777777" w:rsidR="00F71967" w:rsidRPr="009223F3"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it-IT"/>
              </w:rPr>
            </w:pPr>
            <w:r w:rsidRPr="009929AC">
              <w:rPr>
                <w:szCs w:val="20"/>
              </w:rPr>
              <w:t xml:space="preserve">RIZIV </w:t>
            </w:r>
            <w:proofErr w:type="spellStart"/>
            <w:r w:rsidRPr="009929AC">
              <w:rPr>
                <w:szCs w:val="20"/>
              </w:rPr>
              <w:t>Honoraria</w:t>
            </w:r>
            <w:r>
              <w:rPr>
                <w:szCs w:val="20"/>
                <w:vertAlign w:val="superscript"/>
              </w:rPr>
              <w:t>a</w:t>
            </w:r>
            <w:proofErr w:type="spellEnd"/>
          </w:p>
        </w:tc>
        <w:tc>
          <w:tcPr>
            <w:tcW w:w="4500" w:type="dxa"/>
          </w:tcPr>
          <w:p w14:paraId="179648A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en-GB"/>
              </w:rPr>
            </w:pPr>
            <w:r w:rsidRPr="009929AC">
              <w:rPr>
                <w:szCs w:val="20"/>
                <w:lang w:val="en-GB"/>
              </w:rPr>
              <w:t xml:space="preserve">232433 + </w:t>
            </w:r>
            <w:r w:rsidRPr="00341490">
              <w:rPr>
                <w:szCs w:val="20"/>
                <w:lang w:val="en-GB"/>
              </w:rPr>
              <w:t>105195</w:t>
            </w:r>
          </w:p>
          <w:p w14:paraId="7B6D29F7" w14:textId="166EB294" w:rsidR="00F71967" w:rsidRPr="009929AC" w:rsidRDefault="005F0D23" w:rsidP="0016649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Note </w:t>
            </w:r>
            <w:r w:rsidR="00166497">
              <w:rPr>
                <w:szCs w:val="20"/>
              </w:rPr>
              <w:t xml:space="preserve">Code 105195 is </w:t>
            </w:r>
            <w:r w:rsidR="00166497" w:rsidRPr="00166497">
              <w:rPr>
                <w:szCs w:val="20"/>
              </w:rPr>
              <w:t>Consultation with the preparation of a written report of a specialized assessment for pain related to spinal pathology</w:t>
            </w:r>
          </w:p>
        </w:tc>
        <w:tc>
          <w:tcPr>
            <w:tcW w:w="1615" w:type="dxa"/>
          </w:tcPr>
          <w:p w14:paraId="25EFF500"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r>
      <w:tr w:rsidR="00F71967" w:rsidRPr="009929AC" w14:paraId="45D2F0EA"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0DC47BED" w14:textId="77777777" w:rsidR="00F71967" w:rsidRPr="009223F3" w:rsidRDefault="00F71967">
            <w:pPr>
              <w:pStyle w:val="TableText"/>
              <w:spacing w:before="0" w:after="0"/>
              <w:rPr>
                <w:szCs w:val="20"/>
                <w:lang w:val="it-IT"/>
              </w:rPr>
            </w:pPr>
            <w:r w:rsidRPr="009223F3">
              <w:rPr>
                <w:szCs w:val="20"/>
                <w:lang w:val="it-IT"/>
              </w:rPr>
              <w:t>Drug therapy</w:t>
            </w:r>
          </w:p>
        </w:tc>
      </w:tr>
      <w:tr w:rsidR="00F71967" w:rsidRPr="00085561" w14:paraId="0CF31BB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87120BB" w14:textId="77777777" w:rsidR="00F71967" w:rsidRPr="009929AC" w:rsidRDefault="00F71967">
            <w:pPr>
              <w:pStyle w:val="TableText"/>
              <w:spacing w:before="0" w:after="0"/>
              <w:rPr>
                <w:szCs w:val="20"/>
                <w:lang w:val="it-IT"/>
              </w:rPr>
            </w:pPr>
            <w:r w:rsidRPr="009929AC">
              <w:rPr>
                <w:szCs w:val="20"/>
                <w:lang w:val="it-IT"/>
              </w:rPr>
              <w:t>24m- CMM</w:t>
            </w:r>
          </w:p>
        </w:tc>
        <w:tc>
          <w:tcPr>
            <w:tcW w:w="1260" w:type="dxa"/>
          </w:tcPr>
          <w:p w14:paraId="37016E64"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3497</w:t>
            </w:r>
          </w:p>
        </w:tc>
        <w:tc>
          <w:tcPr>
            <w:tcW w:w="2520" w:type="dxa"/>
          </w:tcPr>
          <w:p w14:paraId="4CF4BE9B"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lang w:val="de-DE"/>
              </w:rPr>
            </w:pPr>
            <w:r w:rsidRPr="004C1784">
              <w:rPr>
                <w:szCs w:val="20"/>
                <w:lang w:val="de-DE"/>
              </w:rPr>
              <w:t>Kallewaard et. al. 2024</w:t>
            </w:r>
            <w:r w:rsidRPr="004C1784">
              <w:rPr>
                <w:szCs w:val="20"/>
                <w:vertAlign w:val="superscript"/>
                <w:lang w:val="de-DE"/>
              </w:rPr>
              <w:t>e</w:t>
            </w:r>
            <w:r w:rsidRPr="004C1784">
              <w:rPr>
                <w:szCs w:val="20"/>
                <w:lang w:val="de-DE"/>
              </w:rPr>
              <w:t xml:space="preserve">; RIZIV Drug </w:t>
            </w:r>
            <w:proofErr w:type="spellStart"/>
            <w:r w:rsidRPr="004C1784">
              <w:rPr>
                <w:szCs w:val="20"/>
                <w:lang w:val="de-DE"/>
              </w:rPr>
              <w:t>Tariffs</w:t>
            </w:r>
            <w:r w:rsidRPr="004C1784">
              <w:rPr>
                <w:szCs w:val="20"/>
                <w:vertAlign w:val="superscript"/>
                <w:lang w:val="de-DE"/>
              </w:rPr>
              <w:t>g</w:t>
            </w:r>
            <w:proofErr w:type="spellEnd"/>
          </w:p>
        </w:tc>
        <w:tc>
          <w:tcPr>
            <w:tcW w:w="4500" w:type="dxa"/>
          </w:tcPr>
          <w:p w14:paraId="644116B3"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c>
          <w:tcPr>
            <w:tcW w:w="1615" w:type="dxa"/>
          </w:tcPr>
          <w:p w14:paraId="3010BB6D"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r>
      <w:tr w:rsidR="00F71967" w:rsidRPr="00085561" w14:paraId="3990FBA0"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657C0503" w14:textId="77777777" w:rsidR="00F71967" w:rsidRPr="009929AC" w:rsidRDefault="00F71967">
            <w:pPr>
              <w:pStyle w:val="TableText"/>
              <w:spacing w:before="0" w:after="0"/>
              <w:rPr>
                <w:szCs w:val="20"/>
                <w:lang w:val="it-IT"/>
              </w:rPr>
            </w:pPr>
            <w:r w:rsidRPr="009929AC">
              <w:rPr>
                <w:szCs w:val="20"/>
                <w:lang w:val="it-IT"/>
              </w:rPr>
              <w:t>24m– DTM-SCS</w:t>
            </w:r>
          </w:p>
        </w:tc>
        <w:tc>
          <w:tcPr>
            <w:tcW w:w="1260" w:type="dxa"/>
          </w:tcPr>
          <w:p w14:paraId="61D93EBF"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it-IT"/>
              </w:rPr>
            </w:pPr>
            <w:r>
              <w:rPr>
                <w:szCs w:val="20"/>
              </w:rPr>
              <w:t xml:space="preserve">€ </w:t>
            </w:r>
            <w:r w:rsidRPr="009929AC">
              <w:rPr>
                <w:szCs w:val="20"/>
              </w:rPr>
              <w:t>33</w:t>
            </w:r>
            <w:r>
              <w:rPr>
                <w:szCs w:val="20"/>
              </w:rPr>
              <w:t>8</w:t>
            </w:r>
          </w:p>
        </w:tc>
        <w:tc>
          <w:tcPr>
            <w:tcW w:w="2520" w:type="dxa"/>
          </w:tcPr>
          <w:p w14:paraId="66490C7C"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r w:rsidRPr="004C1784">
              <w:rPr>
                <w:szCs w:val="20"/>
                <w:lang w:val="de-DE"/>
              </w:rPr>
              <w:t>Kallewaard et. al. 2024</w:t>
            </w:r>
            <w:r w:rsidRPr="004C1784">
              <w:rPr>
                <w:szCs w:val="20"/>
                <w:vertAlign w:val="superscript"/>
                <w:lang w:val="de-DE"/>
              </w:rPr>
              <w:t>e</w:t>
            </w:r>
            <w:r w:rsidRPr="004C1784">
              <w:rPr>
                <w:szCs w:val="20"/>
                <w:lang w:val="de-DE"/>
              </w:rPr>
              <w:t xml:space="preserve">; RIZIV Drug </w:t>
            </w:r>
            <w:proofErr w:type="spellStart"/>
            <w:r w:rsidRPr="004C1784">
              <w:rPr>
                <w:szCs w:val="20"/>
                <w:lang w:val="de-DE"/>
              </w:rPr>
              <w:t>Tariffs</w:t>
            </w:r>
            <w:r w:rsidRPr="004C1784">
              <w:rPr>
                <w:szCs w:val="20"/>
                <w:vertAlign w:val="superscript"/>
                <w:lang w:val="de-DE"/>
              </w:rPr>
              <w:t>g</w:t>
            </w:r>
            <w:proofErr w:type="spellEnd"/>
          </w:p>
        </w:tc>
        <w:tc>
          <w:tcPr>
            <w:tcW w:w="4500" w:type="dxa"/>
          </w:tcPr>
          <w:p w14:paraId="1B70EEDB"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c>
          <w:tcPr>
            <w:tcW w:w="1615" w:type="dxa"/>
          </w:tcPr>
          <w:p w14:paraId="5687FA0F"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r>
      <w:tr w:rsidR="00F71967" w:rsidRPr="009929AC" w14:paraId="0F43C426"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A11EB5D" w14:textId="77777777" w:rsidR="00F71967" w:rsidRPr="009929AC" w:rsidRDefault="00F71967">
            <w:pPr>
              <w:pStyle w:val="TableText"/>
              <w:spacing w:before="0" w:after="0"/>
              <w:rPr>
                <w:szCs w:val="20"/>
              </w:rPr>
            </w:pPr>
            <w:r w:rsidRPr="009929AC">
              <w:rPr>
                <w:szCs w:val="20"/>
              </w:rPr>
              <w:t>Post-24m</w:t>
            </w:r>
            <w:r>
              <w:rPr>
                <w:szCs w:val="20"/>
              </w:rPr>
              <w:t xml:space="preserve">, </w:t>
            </w:r>
            <w:r w:rsidRPr="009929AC">
              <w:rPr>
                <w:szCs w:val="20"/>
              </w:rPr>
              <w:t>CMM (per 3 months)</w:t>
            </w:r>
          </w:p>
        </w:tc>
        <w:tc>
          <w:tcPr>
            <w:tcW w:w="1260" w:type="dxa"/>
          </w:tcPr>
          <w:p w14:paraId="6C7F1823"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378</w:t>
            </w:r>
          </w:p>
        </w:tc>
        <w:tc>
          <w:tcPr>
            <w:tcW w:w="2520" w:type="dxa"/>
          </w:tcPr>
          <w:p w14:paraId="62CDF03F" w14:textId="77777777" w:rsidR="00F71967" w:rsidRPr="00D14EED"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9223F3">
              <w:rPr>
                <w:szCs w:val="20"/>
              </w:rPr>
              <w:t>Kallewaard et. al. 2024</w:t>
            </w:r>
            <w:r>
              <w:rPr>
                <w:szCs w:val="20"/>
                <w:vertAlign w:val="superscript"/>
              </w:rPr>
              <w:t>e</w:t>
            </w:r>
            <w:r w:rsidRPr="009223F3">
              <w:rPr>
                <w:szCs w:val="20"/>
              </w:rPr>
              <w:t xml:space="preserve">; RIZIV Drug </w:t>
            </w:r>
            <w:proofErr w:type="spellStart"/>
            <w:r w:rsidRPr="009223F3">
              <w:rPr>
                <w:szCs w:val="20"/>
              </w:rPr>
              <w:t>Tariffs</w:t>
            </w:r>
            <w:r>
              <w:rPr>
                <w:szCs w:val="20"/>
                <w:vertAlign w:val="superscript"/>
              </w:rPr>
              <w:t>g</w:t>
            </w:r>
            <w:proofErr w:type="spellEnd"/>
            <w:r>
              <w:rPr>
                <w:szCs w:val="20"/>
              </w:rPr>
              <w:t xml:space="preserve">; </w:t>
            </w:r>
            <w:r w:rsidRPr="009223F3">
              <w:rPr>
                <w:szCs w:val="20"/>
              </w:rPr>
              <w:t>Taylor et.al. 2010</w:t>
            </w:r>
            <w:r>
              <w:rPr>
                <w:szCs w:val="20"/>
                <w:vertAlign w:val="superscript"/>
              </w:rPr>
              <w:t>f</w:t>
            </w:r>
          </w:p>
        </w:tc>
        <w:tc>
          <w:tcPr>
            <w:tcW w:w="4500" w:type="dxa"/>
          </w:tcPr>
          <w:p w14:paraId="1186928E"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72B11A1D"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13.5% reduction after first 24 months</w:t>
            </w:r>
          </w:p>
        </w:tc>
      </w:tr>
      <w:tr w:rsidR="00F71967" w:rsidRPr="00085561" w14:paraId="27A09A05"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5C891CA" w14:textId="77777777" w:rsidR="00F71967" w:rsidRPr="009929AC" w:rsidRDefault="00F71967">
            <w:pPr>
              <w:pStyle w:val="TableText"/>
              <w:spacing w:before="0" w:after="0"/>
              <w:rPr>
                <w:szCs w:val="20"/>
              </w:rPr>
            </w:pPr>
            <w:r w:rsidRPr="009929AC">
              <w:rPr>
                <w:szCs w:val="20"/>
              </w:rPr>
              <w:t>Post-24m</w:t>
            </w:r>
            <w:r>
              <w:rPr>
                <w:szCs w:val="20"/>
              </w:rPr>
              <w:t xml:space="preserve">, </w:t>
            </w:r>
            <w:r w:rsidRPr="009929AC">
              <w:rPr>
                <w:szCs w:val="20"/>
              </w:rPr>
              <w:t>DTM-SCS (per 3 months)</w:t>
            </w:r>
          </w:p>
        </w:tc>
        <w:tc>
          <w:tcPr>
            <w:tcW w:w="1260" w:type="dxa"/>
          </w:tcPr>
          <w:p w14:paraId="6A8DBDC2" w14:textId="77777777" w:rsidR="00F71967" w:rsidRPr="009929AC"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r w:rsidRPr="009929AC">
              <w:rPr>
                <w:szCs w:val="20"/>
              </w:rPr>
              <w:t>42</w:t>
            </w:r>
          </w:p>
        </w:tc>
        <w:tc>
          <w:tcPr>
            <w:tcW w:w="2520" w:type="dxa"/>
          </w:tcPr>
          <w:p w14:paraId="5AB5B156"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lang w:val="de-DE"/>
              </w:rPr>
            </w:pPr>
            <w:r w:rsidRPr="004C1784">
              <w:rPr>
                <w:szCs w:val="20"/>
                <w:lang w:val="de-DE"/>
              </w:rPr>
              <w:t>Kallewaard et. al. 2024</w:t>
            </w:r>
            <w:r w:rsidRPr="004C1784">
              <w:rPr>
                <w:szCs w:val="20"/>
                <w:vertAlign w:val="superscript"/>
                <w:lang w:val="de-DE"/>
              </w:rPr>
              <w:t>e</w:t>
            </w:r>
            <w:r w:rsidRPr="004C1784">
              <w:rPr>
                <w:szCs w:val="20"/>
                <w:lang w:val="de-DE"/>
              </w:rPr>
              <w:t xml:space="preserve">; RIZIV Drug </w:t>
            </w:r>
            <w:proofErr w:type="spellStart"/>
            <w:r w:rsidRPr="004C1784">
              <w:rPr>
                <w:szCs w:val="20"/>
                <w:lang w:val="de-DE"/>
              </w:rPr>
              <w:t>Tariffs</w:t>
            </w:r>
            <w:r w:rsidRPr="004C1784">
              <w:rPr>
                <w:szCs w:val="20"/>
                <w:vertAlign w:val="superscript"/>
                <w:lang w:val="de-DE"/>
              </w:rPr>
              <w:t>g</w:t>
            </w:r>
            <w:proofErr w:type="spellEnd"/>
          </w:p>
        </w:tc>
        <w:tc>
          <w:tcPr>
            <w:tcW w:w="4500" w:type="dxa"/>
          </w:tcPr>
          <w:p w14:paraId="076125BC"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c>
          <w:tcPr>
            <w:tcW w:w="1615" w:type="dxa"/>
          </w:tcPr>
          <w:p w14:paraId="34F14995"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de-DE"/>
              </w:rPr>
            </w:pPr>
          </w:p>
        </w:tc>
      </w:tr>
      <w:tr w:rsidR="00F71967" w:rsidRPr="009929AC" w14:paraId="04926C01" w14:textId="77777777">
        <w:trPr>
          <w:trHeight w:val="432"/>
        </w:trPr>
        <w:tc>
          <w:tcPr>
            <w:cnfStyle w:val="001000000000" w:firstRow="0" w:lastRow="0" w:firstColumn="1" w:lastColumn="0" w:oddVBand="0" w:evenVBand="0" w:oddHBand="0" w:evenHBand="0" w:firstRowFirstColumn="0" w:firstRowLastColumn="0" w:lastRowFirstColumn="0" w:lastRowLastColumn="0"/>
            <w:tcW w:w="14390" w:type="dxa"/>
            <w:gridSpan w:val="5"/>
            <w:shd w:val="clear" w:color="auto" w:fill="D9D9D9" w:themeFill="background1" w:themeFillShade="D9"/>
          </w:tcPr>
          <w:p w14:paraId="574170D4" w14:textId="77777777" w:rsidR="00F71967" w:rsidRPr="009929AC" w:rsidRDefault="00F71967">
            <w:pPr>
              <w:pStyle w:val="TableText"/>
              <w:spacing w:before="0" w:after="0"/>
              <w:rPr>
                <w:szCs w:val="20"/>
              </w:rPr>
            </w:pPr>
            <w:r w:rsidRPr="009929AC">
              <w:rPr>
                <w:szCs w:val="20"/>
              </w:rPr>
              <w:t>Adverse events</w:t>
            </w:r>
          </w:p>
        </w:tc>
      </w:tr>
      <w:tr w:rsidR="00F71967" w:rsidRPr="00085561" w14:paraId="354D211C"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04626ED" w14:textId="77777777" w:rsidR="00F71967" w:rsidRPr="009929AC" w:rsidRDefault="00F71967">
            <w:pPr>
              <w:pStyle w:val="TableText"/>
              <w:spacing w:before="0" w:after="0"/>
              <w:rPr>
                <w:szCs w:val="20"/>
              </w:rPr>
            </w:pPr>
            <w:r w:rsidRPr="009929AC">
              <w:rPr>
                <w:szCs w:val="20"/>
              </w:rPr>
              <w:t>Cost per</w:t>
            </w:r>
            <w:r>
              <w:rPr>
                <w:szCs w:val="20"/>
              </w:rPr>
              <w:t xml:space="preserve"> DTM-SCS</w:t>
            </w:r>
            <w:r w:rsidRPr="009929AC">
              <w:rPr>
                <w:szCs w:val="20"/>
              </w:rPr>
              <w:t xml:space="preserve"> adverse event (24 months)</w:t>
            </w:r>
          </w:p>
        </w:tc>
        <w:tc>
          <w:tcPr>
            <w:tcW w:w="1260" w:type="dxa"/>
          </w:tcPr>
          <w:p w14:paraId="1E500D4B" w14:textId="77777777" w:rsidR="00F71967" w:rsidRPr="009223F3"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color w:val="000000"/>
                <w:szCs w:val="20"/>
              </w:rPr>
            </w:pPr>
            <w:r>
              <w:rPr>
                <w:szCs w:val="20"/>
              </w:rPr>
              <w:t xml:space="preserve">€ </w:t>
            </w:r>
            <w:r w:rsidRPr="009223F3">
              <w:rPr>
                <w:szCs w:val="20"/>
              </w:rPr>
              <w:t>114</w:t>
            </w:r>
            <w:r>
              <w:rPr>
                <w:szCs w:val="20"/>
              </w:rPr>
              <w:t>4</w:t>
            </w:r>
          </w:p>
        </w:tc>
        <w:tc>
          <w:tcPr>
            <w:tcW w:w="2520" w:type="dxa"/>
          </w:tcPr>
          <w:p w14:paraId="001ABCC2"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lang w:val="it-IT"/>
              </w:rPr>
            </w:pPr>
            <w:r w:rsidRPr="004C1784">
              <w:rPr>
                <w:szCs w:val="20"/>
                <w:lang w:val="it-IT"/>
              </w:rPr>
              <w:t>Kallewaard et. al. 2024</w:t>
            </w:r>
            <w:r w:rsidRPr="004C1784">
              <w:rPr>
                <w:szCs w:val="20"/>
                <w:vertAlign w:val="superscript"/>
                <w:lang w:val="it-IT"/>
              </w:rPr>
              <w:t>e</w:t>
            </w:r>
            <w:r w:rsidRPr="004C1784">
              <w:rPr>
                <w:szCs w:val="20"/>
                <w:lang w:val="it-IT"/>
              </w:rPr>
              <w:t xml:space="preserve">; RIZIV </w:t>
            </w:r>
            <w:proofErr w:type="spellStart"/>
            <w:r w:rsidRPr="004C1784">
              <w:rPr>
                <w:szCs w:val="20"/>
                <w:lang w:val="it-IT"/>
              </w:rPr>
              <w:t>Honoraria</w:t>
            </w:r>
            <w:r w:rsidRPr="004C1784">
              <w:rPr>
                <w:szCs w:val="20"/>
                <w:vertAlign w:val="superscript"/>
                <w:lang w:val="it-IT"/>
              </w:rPr>
              <w:t>a</w:t>
            </w:r>
            <w:proofErr w:type="spellEnd"/>
          </w:p>
        </w:tc>
        <w:tc>
          <w:tcPr>
            <w:tcW w:w="4500" w:type="dxa"/>
          </w:tcPr>
          <w:p w14:paraId="1CC81D6B"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it-IT"/>
              </w:rPr>
            </w:pPr>
          </w:p>
        </w:tc>
        <w:tc>
          <w:tcPr>
            <w:tcW w:w="1615" w:type="dxa"/>
          </w:tcPr>
          <w:p w14:paraId="441D5B87" w14:textId="77777777" w:rsidR="00F71967" w:rsidRPr="004C1784" w:rsidRDefault="00F71967">
            <w:pPr>
              <w:pStyle w:val="TableText"/>
              <w:spacing w:before="0" w:after="0"/>
              <w:cnfStyle w:val="000000000000" w:firstRow="0" w:lastRow="0" w:firstColumn="0" w:lastColumn="0" w:oddVBand="0" w:evenVBand="0" w:oddHBand="0" w:evenHBand="0" w:firstRowFirstColumn="0" w:firstRowLastColumn="0" w:lastRowFirstColumn="0" w:lastRowLastColumn="0"/>
              <w:rPr>
                <w:szCs w:val="20"/>
                <w:lang w:val="it-IT"/>
              </w:rPr>
            </w:pPr>
          </w:p>
        </w:tc>
      </w:tr>
      <w:tr w:rsidR="00F71967" w:rsidRPr="009929AC" w14:paraId="7FED6399"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6AFC0B8E" w14:textId="77777777" w:rsidR="00F71967" w:rsidRPr="009929AC" w:rsidRDefault="00F71967">
            <w:pPr>
              <w:pStyle w:val="TableText"/>
              <w:keepNext/>
              <w:spacing w:before="0" w:after="0"/>
              <w:rPr>
                <w:szCs w:val="20"/>
              </w:rPr>
            </w:pPr>
            <w:r w:rsidRPr="009929AC">
              <w:rPr>
                <w:szCs w:val="20"/>
              </w:rPr>
              <w:t>Cost per year of adverse events (beyond 24 months)</w:t>
            </w:r>
            <w:r>
              <w:rPr>
                <w:szCs w:val="20"/>
              </w:rPr>
              <w:t>, DTM-SCS</w:t>
            </w:r>
            <w:r w:rsidRPr="009929AC">
              <w:rPr>
                <w:szCs w:val="20"/>
              </w:rPr>
              <w:t xml:space="preserve"> patients</w:t>
            </w:r>
          </w:p>
        </w:tc>
        <w:tc>
          <w:tcPr>
            <w:tcW w:w="1260" w:type="dxa"/>
          </w:tcPr>
          <w:p w14:paraId="6254455D" w14:textId="77777777" w:rsidR="00F71967" w:rsidRPr="009929AC" w:rsidRDefault="00F71967">
            <w:pPr>
              <w:pStyle w:val="TableText"/>
              <w:keepNext/>
              <w:spacing w:before="0" w:after="0"/>
              <w:cnfStyle w:val="000000000000" w:firstRow="0" w:lastRow="0" w:firstColumn="0" w:lastColumn="0" w:oddVBand="0" w:evenVBand="0" w:oddHBand="0" w:evenHBand="0" w:firstRowFirstColumn="0" w:firstRowLastColumn="0" w:lastRowFirstColumn="0" w:lastRowLastColumn="0"/>
              <w:rPr>
                <w:color w:val="000000"/>
                <w:szCs w:val="20"/>
              </w:rPr>
            </w:pPr>
            <w:r>
              <w:rPr>
                <w:szCs w:val="20"/>
              </w:rPr>
              <w:t xml:space="preserve">€ </w:t>
            </w:r>
            <w:r w:rsidRPr="009929AC">
              <w:rPr>
                <w:szCs w:val="20"/>
              </w:rPr>
              <w:t>929</w:t>
            </w:r>
          </w:p>
        </w:tc>
        <w:tc>
          <w:tcPr>
            <w:tcW w:w="2520" w:type="dxa"/>
          </w:tcPr>
          <w:p w14:paraId="55F5E783" w14:textId="77777777" w:rsidR="00F71967" w:rsidRPr="009929AC" w:rsidRDefault="00F71967">
            <w:pPr>
              <w:pStyle w:val="TableText"/>
              <w:keepNext/>
              <w:spacing w:before="0" w:after="0"/>
              <w:cnfStyle w:val="000000000000" w:firstRow="0" w:lastRow="0" w:firstColumn="0" w:lastColumn="0" w:oddVBand="0" w:evenVBand="0" w:oddHBand="0" w:evenHBand="0" w:firstRowFirstColumn="0" w:firstRowLastColumn="0" w:lastRowFirstColumn="0" w:lastRowLastColumn="0"/>
              <w:rPr>
                <w:szCs w:val="20"/>
                <w:vertAlign w:val="superscript"/>
              </w:rPr>
            </w:pPr>
            <w:r w:rsidRPr="00D14EED">
              <w:rPr>
                <w:szCs w:val="20"/>
              </w:rPr>
              <w:t>Medtronic Product Surveillance Registry report (</w:t>
            </w:r>
            <w:proofErr w:type="gramStart"/>
            <w:r w:rsidRPr="00D14EED">
              <w:rPr>
                <w:szCs w:val="20"/>
              </w:rPr>
              <w:t>2020)</w:t>
            </w:r>
            <w:r w:rsidRPr="00D14EED">
              <w:rPr>
                <w:szCs w:val="20"/>
                <w:vertAlign w:val="superscript"/>
              </w:rPr>
              <w:t>h</w:t>
            </w:r>
            <w:proofErr w:type="gramEnd"/>
            <w:r w:rsidRPr="00D14EED">
              <w:rPr>
                <w:szCs w:val="20"/>
              </w:rPr>
              <w:t xml:space="preserve">; RIZIV </w:t>
            </w:r>
            <w:proofErr w:type="spellStart"/>
            <w:r w:rsidRPr="00D14EED">
              <w:rPr>
                <w:szCs w:val="20"/>
              </w:rPr>
              <w:t>Honoraria</w:t>
            </w:r>
            <w:r w:rsidRPr="00D14EED">
              <w:rPr>
                <w:szCs w:val="20"/>
                <w:vertAlign w:val="superscript"/>
              </w:rPr>
              <w:t>a</w:t>
            </w:r>
            <w:proofErr w:type="spellEnd"/>
          </w:p>
        </w:tc>
        <w:tc>
          <w:tcPr>
            <w:tcW w:w="4500" w:type="dxa"/>
          </w:tcPr>
          <w:p w14:paraId="55BF678D" w14:textId="77777777" w:rsidR="00F71967" w:rsidRPr="009929AC" w:rsidRDefault="00F71967">
            <w:pPr>
              <w:pStyle w:val="TableText"/>
              <w:keepNext/>
              <w:spacing w:before="0" w:after="0"/>
              <w:cnfStyle w:val="000000000000" w:firstRow="0" w:lastRow="0" w:firstColumn="0" w:lastColumn="0" w:oddVBand="0" w:evenVBand="0" w:oddHBand="0" w:evenHBand="0" w:firstRowFirstColumn="0" w:firstRowLastColumn="0" w:lastRowFirstColumn="0" w:lastRowLastColumn="0"/>
              <w:rPr>
                <w:szCs w:val="20"/>
              </w:rPr>
            </w:pPr>
          </w:p>
        </w:tc>
        <w:tc>
          <w:tcPr>
            <w:tcW w:w="1615" w:type="dxa"/>
          </w:tcPr>
          <w:p w14:paraId="2AF479B2" w14:textId="77777777" w:rsidR="00F71967" w:rsidRPr="009929AC" w:rsidRDefault="00F71967">
            <w:pPr>
              <w:pStyle w:val="TableText"/>
              <w:keepNext/>
              <w:spacing w:before="0" w:after="0"/>
              <w:cnfStyle w:val="000000000000" w:firstRow="0" w:lastRow="0" w:firstColumn="0" w:lastColumn="0" w:oddVBand="0" w:evenVBand="0" w:oddHBand="0" w:evenHBand="0" w:firstRowFirstColumn="0" w:firstRowLastColumn="0" w:lastRowFirstColumn="0" w:lastRowLastColumn="0"/>
              <w:rPr>
                <w:szCs w:val="20"/>
              </w:rPr>
            </w:pPr>
            <w:r w:rsidRPr="009929AC">
              <w:rPr>
                <w:szCs w:val="20"/>
              </w:rPr>
              <w:t>Applied to all patients receiving DTM-SCS, based on an assumed incidence of 0.127 events per patient</w:t>
            </w:r>
            <w:r>
              <w:rPr>
                <w:szCs w:val="20"/>
              </w:rPr>
              <w:t>,</w:t>
            </w:r>
            <w:r w:rsidRPr="009929AC">
              <w:rPr>
                <w:szCs w:val="20"/>
              </w:rPr>
              <w:t xml:space="preserve"> per year.</w:t>
            </w:r>
          </w:p>
        </w:tc>
      </w:tr>
    </w:tbl>
    <w:p w14:paraId="5112DECA" w14:textId="77777777" w:rsidR="00F71967" w:rsidRPr="009223F3" w:rsidRDefault="00F71967" w:rsidP="00F71967">
      <w:pPr>
        <w:pStyle w:val="Tablefooter"/>
      </w:pPr>
      <w:r w:rsidRPr="009223F3">
        <w:t>Sources:</w:t>
      </w:r>
      <w:r>
        <w:t xml:space="preserve"> </w:t>
      </w:r>
      <w:proofErr w:type="gramStart"/>
      <w:r w:rsidRPr="00144F18">
        <w:rPr>
          <w:vertAlign w:val="superscript"/>
        </w:rPr>
        <w:t>a</w:t>
      </w:r>
      <w:proofErr w:type="gramEnd"/>
      <w:r w:rsidRPr="009223F3">
        <w:t xml:space="preserve"> National Institute for Sickness and Disability Insurance (Belgium). [Nomenclature - Texts]. Updated 30 Jan 2025. </w:t>
      </w:r>
      <w:hyperlink r:id="rId14" w:history="1">
        <w:r w:rsidRPr="00202D0E">
          <w:rPr>
            <w:rStyle w:val="Hyperlink"/>
          </w:rPr>
          <w:t>https://www.riziv.fgov.be/nl/nomenclatuur/nomenclatuur-teksten</w:t>
        </w:r>
      </w:hyperlink>
      <w:r w:rsidRPr="00B56982">
        <w:t xml:space="preserve">; </w:t>
      </w:r>
      <w:r w:rsidRPr="00B56982">
        <w:rPr>
          <w:vertAlign w:val="superscript"/>
        </w:rPr>
        <w:t>b</w:t>
      </w:r>
      <w:r w:rsidRPr="00B56982">
        <w:t xml:space="preserve"> National Institute for Sickness and Disability Insurance (Belgium).</w:t>
      </w:r>
      <w:r w:rsidRPr="009223F3">
        <w:t xml:space="preserve"> [Hospital nursing day rates]. Updated Accessed </w:t>
      </w:r>
      <w:hyperlink r:id="rId15" w:history="1">
        <w:r w:rsidRPr="00202D0E">
          <w:rPr>
            <w:rStyle w:val="Hyperlink"/>
          </w:rPr>
          <w:t>https://www.riziv.fgov.be/nl/thema-s/verzorging-kosten-en-terugbetaling/wat-het-ziekenfonds-terugbetaalt/verzorging-in-ziekenhuizen/verpleegdagprijzen-ziekenhuizen</w:t>
        </w:r>
      </w:hyperlink>
      <w:r>
        <w:t xml:space="preserve">; </w:t>
      </w:r>
      <w:r w:rsidRPr="00144F18">
        <w:rPr>
          <w:vertAlign w:val="superscript"/>
        </w:rPr>
        <w:t>c</w:t>
      </w:r>
      <w:r>
        <w:t xml:space="preserve"> </w:t>
      </w:r>
      <w:r w:rsidRPr="00D14EED">
        <w:t xml:space="preserve">National Institute for Sickness and Disability Insurance (Belgium). [Implants and invasive medical devices: List of supplies and nominative lists of individual devices]. Updated Accessed </w:t>
      </w:r>
      <w:hyperlink r:id="rId16" w:history="1">
        <w:r w:rsidRPr="00202D0E">
          <w:rPr>
            <w:rStyle w:val="Hyperlink"/>
          </w:rPr>
          <w:t>https://www.riziv.fgov.be/nl/professionals/individuele-zorgverleners/verstrekkers-van-implantaten/implantaten-en-invasieve-medische-hulpmiddelen-lijst-van-de-verstrekkingen-en-nominatieve-lijsten-van-de-individuele-hulpmiddelen</w:t>
        </w:r>
      </w:hyperlink>
      <w:r>
        <w:t xml:space="preserve">; </w:t>
      </w:r>
      <w:r w:rsidRPr="00144F18">
        <w:rPr>
          <w:vertAlign w:val="superscript"/>
        </w:rPr>
        <w:t>d</w:t>
      </w:r>
      <w:r w:rsidRPr="00814B3F">
        <w:rPr>
          <w:rFonts w:ascii="Times New Roman" w:hAnsi="Times New Roman" w:cs="Times New Roman"/>
          <w:i w:val="0"/>
          <w:iCs w:val="0"/>
          <w:sz w:val="38"/>
          <w:szCs w:val="38"/>
        </w:rPr>
        <w:t xml:space="preserve"> </w:t>
      </w:r>
      <w:proofErr w:type="spellStart"/>
      <w:r w:rsidRPr="00814B3F">
        <w:t>eTCT</w:t>
      </w:r>
      <w:proofErr w:type="spellEnd"/>
      <w:r w:rsidRPr="00814B3F">
        <w:t>. [</w:t>
      </w:r>
      <w:proofErr w:type="spellStart"/>
      <w:r w:rsidRPr="00814B3F">
        <w:t>Financiële</w:t>
      </w:r>
      <w:proofErr w:type="spellEnd"/>
      <w:r w:rsidRPr="00814B3F">
        <w:t xml:space="preserve"> feedback per </w:t>
      </w:r>
      <w:proofErr w:type="spellStart"/>
      <w:r w:rsidRPr="00814B3F">
        <w:t>pathologie</w:t>
      </w:r>
      <w:proofErr w:type="spellEnd"/>
      <w:r w:rsidRPr="00814B3F">
        <w:t>].</w:t>
      </w:r>
      <w:r>
        <w:t xml:space="preserve"> </w:t>
      </w:r>
      <w:hyperlink r:id="rId17" w:history="1">
        <w:r w:rsidRPr="00202D0E">
          <w:rPr>
            <w:rStyle w:val="Hyperlink"/>
          </w:rPr>
          <w:t>https://tct.fgov.be/webetct/etct-web/national_data?lang=nl</w:t>
        </w:r>
      </w:hyperlink>
      <w:r>
        <w:t xml:space="preserve">; </w:t>
      </w:r>
      <w:r w:rsidRPr="00144F18">
        <w:rPr>
          <w:vertAlign w:val="superscript"/>
        </w:rPr>
        <w:t>e</w:t>
      </w:r>
      <w:r>
        <w:t xml:space="preserve"> </w:t>
      </w:r>
      <w:r w:rsidRPr="00A45681">
        <w:t xml:space="preserve">Kallewaard JW, Billet B, Van </w:t>
      </w:r>
      <w:proofErr w:type="spellStart"/>
      <w:r w:rsidRPr="00A45681">
        <w:t>Paesschen</w:t>
      </w:r>
      <w:proofErr w:type="spellEnd"/>
      <w:r w:rsidRPr="00A45681">
        <w:t xml:space="preserve"> R et al. European randomized controlled trial evaluating differential target multiplexed spinal cord stimulation and conventional medical management in subjects with persistent back pain ineligible for spine surgery: 24-month results. </w:t>
      </w:r>
      <w:proofErr w:type="spellStart"/>
      <w:r w:rsidRPr="00A45681">
        <w:t>Eur</w:t>
      </w:r>
      <w:proofErr w:type="spellEnd"/>
      <w:r w:rsidRPr="00A45681">
        <w:t xml:space="preserve"> J Pain. </w:t>
      </w:r>
      <w:proofErr w:type="gramStart"/>
      <w:r w:rsidRPr="00A45681">
        <w:t>2024;28:1745</w:t>
      </w:r>
      <w:proofErr w:type="gramEnd"/>
      <w:r w:rsidRPr="00A45681">
        <w:t>-1761</w:t>
      </w:r>
      <w:r>
        <w:t xml:space="preserve">; </w:t>
      </w:r>
      <w:r w:rsidRPr="00144F18">
        <w:rPr>
          <w:vertAlign w:val="superscript"/>
        </w:rPr>
        <w:t>f</w:t>
      </w:r>
      <w:r>
        <w:t xml:space="preserve"> </w:t>
      </w:r>
      <w:r w:rsidRPr="00D14EED">
        <w:t xml:space="preserve">Taylor RS, Ryan J, O’Donnell R, </w:t>
      </w:r>
      <w:proofErr w:type="spellStart"/>
      <w:r w:rsidRPr="00D14EED">
        <w:t>Eldabe</w:t>
      </w:r>
      <w:proofErr w:type="spellEnd"/>
      <w:r w:rsidRPr="00D14EED">
        <w:t xml:space="preserve"> S, Kumar K, North RB. The cost-effectiveness of spinal cord stimulation in the treatment of failed back surgery syndrome. Clin J Pain. </w:t>
      </w:r>
      <w:proofErr w:type="gramStart"/>
      <w:r w:rsidRPr="00D14EED">
        <w:t>2010;26:463</w:t>
      </w:r>
      <w:proofErr w:type="gramEnd"/>
      <w:r w:rsidRPr="00D14EED">
        <w:t>-469</w:t>
      </w:r>
      <w:r>
        <w:t xml:space="preserve">; </w:t>
      </w:r>
      <w:r w:rsidRPr="00144F18">
        <w:rPr>
          <w:vertAlign w:val="superscript"/>
        </w:rPr>
        <w:t>g</w:t>
      </w:r>
      <w:r>
        <w:t xml:space="preserve"> </w:t>
      </w:r>
      <w:r w:rsidRPr="00D14EED">
        <w:t xml:space="preserve">National Institute for Sickness and Disability Insurance (Belgium). [Reimbursable medicines and radiopharmaceutical products]. Updated 5 Jul 2025. Accessed </w:t>
      </w:r>
      <w:hyperlink r:id="rId18" w:history="1">
        <w:r w:rsidRPr="00202D0E">
          <w:rPr>
            <w:rStyle w:val="Hyperlink"/>
          </w:rPr>
          <w:t>https://webappsa.riziv-inami.fgov.be/ssp/ProductSearch</w:t>
        </w:r>
      </w:hyperlink>
      <w:r>
        <w:t xml:space="preserve">; </w:t>
      </w:r>
      <w:r w:rsidRPr="00E51221">
        <w:rPr>
          <w:vertAlign w:val="superscript"/>
        </w:rPr>
        <w:t>h</w:t>
      </w:r>
      <w:r w:rsidRPr="00E51221">
        <w:t xml:space="preserve"> Medtronic Plc. Product Performance Report. Summary of data from the Medtronic post-market registry, 2020.</w:t>
      </w:r>
    </w:p>
    <w:p w14:paraId="5BF9CF1C" w14:textId="77777777" w:rsidR="00F71967" w:rsidRDefault="00F71967" w:rsidP="00F71967">
      <w:pPr>
        <w:pStyle w:val="Tablefooter"/>
      </w:pPr>
    </w:p>
    <w:p w14:paraId="198B5C4F" w14:textId="77777777" w:rsidR="00F71967" w:rsidRPr="00912F72" w:rsidRDefault="00F71967" w:rsidP="00F71967">
      <w:pPr>
        <w:pStyle w:val="Tablefooter"/>
      </w:pPr>
    </w:p>
    <w:p w14:paraId="12611533" w14:textId="77777777" w:rsidR="00F71967" w:rsidRDefault="00F71967" w:rsidP="00F71967">
      <w:pPr>
        <w:sectPr w:rsidR="00F71967" w:rsidSect="00F71967">
          <w:pgSz w:w="15840" w:h="12240" w:orient="landscape"/>
          <w:pgMar w:top="720" w:right="720" w:bottom="720" w:left="720" w:header="720" w:footer="720" w:gutter="0"/>
          <w:cols w:space="720"/>
          <w:titlePg/>
          <w:docGrid w:linePitch="360"/>
        </w:sectPr>
      </w:pPr>
    </w:p>
    <w:p w14:paraId="3176F87B" w14:textId="22B0131F" w:rsidR="00F71967" w:rsidRPr="00F96D93" w:rsidRDefault="005F3B75" w:rsidP="00F71967">
      <w:pPr>
        <w:pStyle w:val="Heading1"/>
      </w:pPr>
      <w:bookmarkStart w:id="43" w:name="_Toc197964064"/>
      <w:bookmarkStart w:id="44" w:name="_Toc227850343"/>
      <w:r w:rsidRPr="00793C82">
        <w:rPr>
          <w:caps w:val="0"/>
        </w:rPr>
        <w:t>Supplementary Analytical Methods</w:t>
      </w:r>
      <w:bookmarkEnd w:id="43"/>
      <w:r>
        <w:rPr>
          <w:caps w:val="0"/>
        </w:rPr>
        <w:t xml:space="preserve"> 1</w:t>
      </w:r>
      <w:bookmarkEnd w:id="44"/>
    </w:p>
    <w:p w14:paraId="3C274DF1" w14:textId="77777777" w:rsidR="00F71967" w:rsidRDefault="00F71967" w:rsidP="00F71967">
      <w:pPr>
        <w:pStyle w:val="Heading2"/>
      </w:pPr>
      <w:bookmarkStart w:id="45" w:name="_Toc197964065"/>
      <w:bookmarkStart w:id="46" w:name="_Toc227850344"/>
      <w:r>
        <w:t>One-way sensitivity analysis</w:t>
      </w:r>
      <w:bookmarkEnd w:id="45"/>
      <w:bookmarkEnd w:id="46"/>
    </w:p>
    <w:p w14:paraId="4AE5E66D" w14:textId="77777777" w:rsidR="00F71967" w:rsidRPr="00F96D93" w:rsidRDefault="00F71967" w:rsidP="00F71967">
      <w:r w:rsidRPr="00F96D93">
        <w:t xml:space="preserve">One-way sensitivity analysis was undertaken by varying input parameter values, one at a time, to explore the impact of individual parameter variability on the cost-effectiveness results. Wherever possible, the confidence interval for each parameter value was used as the basis for the lower and upper values (in other cases, 20% variation either side of the mean was used as the basis for the range of values explored). To avoid generating </w:t>
      </w:r>
      <w:r>
        <w:t>incremental cost effectiveness ratios (</w:t>
      </w:r>
      <w:r w:rsidRPr="00F96D93">
        <w:t>ICERs</w:t>
      </w:r>
      <w:r>
        <w:t>)</w:t>
      </w:r>
      <w:r w:rsidRPr="00F96D93">
        <w:t xml:space="preserve"> with a negative value, the results were presented in terms of the incremental net benefit (INB) of the treatment versus the comparator. The INB was calculated as follows for each treatment comparison:</w:t>
      </w:r>
    </w:p>
    <w:p w14:paraId="70C5AF33" w14:textId="77777777" w:rsidR="00F71967" w:rsidRPr="00F96D93" w:rsidRDefault="00F71967" w:rsidP="00F71967">
      <m:oMathPara>
        <m:oMath>
          <m:r>
            <w:rPr>
              <w:rFonts w:ascii="Cambria Math" w:hAnsi="Cambria Math"/>
            </w:rPr>
            <m:t>INB= λ*</m:t>
          </m:r>
          <m:sSub>
            <m:sSubPr>
              <m:ctrlPr>
                <w:rPr>
                  <w:rFonts w:ascii="Cambria Math" w:hAnsi="Cambria Math"/>
                  <w:i/>
                </w:rPr>
              </m:ctrlPr>
            </m:sSubPr>
            <m:e>
              <m:r>
                <w:rPr>
                  <w:rFonts w:ascii="Cambria Math" w:hAnsi="Cambria Math"/>
                </w:rPr>
                <m:t>Q</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δ</m:t>
              </m:r>
            </m:sub>
          </m:sSub>
        </m:oMath>
      </m:oMathPara>
    </w:p>
    <w:p w14:paraId="6ADF1BEE" w14:textId="77777777" w:rsidR="00F71967" w:rsidRPr="00F96D93" w:rsidRDefault="00F71967" w:rsidP="00F71967">
      <w:proofErr w:type="gramStart"/>
      <w:r w:rsidRPr="00F96D93">
        <w:t>where</w:t>
      </w:r>
      <w:proofErr w:type="gramEnd"/>
      <w:r w:rsidRPr="00F96D93">
        <w:t>,</w:t>
      </w:r>
    </w:p>
    <w:p w14:paraId="0C3F6297" w14:textId="77777777" w:rsidR="00F71967" w:rsidRPr="00F96D93" w:rsidRDefault="00F71967" w:rsidP="00F71967">
      <w:r w:rsidRPr="00F96D93">
        <w:tab/>
        <w:t xml:space="preserve">λ = willingness-to-pay threshold of </w:t>
      </w:r>
      <w:r>
        <w:t xml:space="preserve">€ </w:t>
      </w:r>
      <w:r w:rsidRPr="00F96D93">
        <w:t>30,000 per QALY gained</w:t>
      </w:r>
    </w:p>
    <w:p w14:paraId="76B5E855" w14:textId="77777777" w:rsidR="00F71967" w:rsidRPr="00F96D93" w:rsidRDefault="00F71967" w:rsidP="00F71967">
      <w:r w:rsidRPr="00F96D93">
        <w:tab/>
      </w:r>
      <w:proofErr w:type="spellStart"/>
      <w:r w:rsidRPr="00F96D93">
        <w:t>Q</w:t>
      </w:r>
      <w:r w:rsidRPr="00F96D93">
        <w:rPr>
          <w:vertAlign w:val="subscript"/>
        </w:rPr>
        <w:t>δ</w:t>
      </w:r>
      <w:proofErr w:type="spellEnd"/>
      <w:r w:rsidRPr="00F96D93">
        <w:t xml:space="preserve"> = incremental QALYs for the current treatment comparison</w:t>
      </w:r>
    </w:p>
    <w:p w14:paraId="3B9F0EE6" w14:textId="77777777" w:rsidR="00F71967" w:rsidRPr="00F96D93" w:rsidRDefault="00F71967" w:rsidP="00F71967">
      <w:r w:rsidRPr="00F96D93">
        <w:tab/>
      </w:r>
      <w:proofErr w:type="spellStart"/>
      <w:r w:rsidRPr="00F96D93">
        <w:t>C</w:t>
      </w:r>
      <w:r w:rsidRPr="00F96D93">
        <w:rPr>
          <w:vertAlign w:val="subscript"/>
        </w:rPr>
        <w:t>δ</w:t>
      </w:r>
      <w:proofErr w:type="spellEnd"/>
      <w:r w:rsidRPr="00F96D93">
        <w:t xml:space="preserve"> = incremental costs for the current treatment comparison.</w:t>
      </w:r>
    </w:p>
    <w:p w14:paraId="600B575C" w14:textId="77777777" w:rsidR="00F71967" w:rsidRDefault="00F71967" w:rsidP="00F71967">
      <w:r w:rsidRPr="00F96D93">
        <w:t>A positive INB indicated that the treatment was cost-effective versus the comparator at the specified willingness-to-pay threshold, whereas a negative INB indicated it was not cost-effective. The results of the one-way sensitivity analysis for each treatment comparison were presented as tornado diagrams.</w:t>
      </w:r>
    </w:p>
    <w:p w14:paraId="2E233B0A" w14:textId="77777777" w:rsidR="00F71967" w:rsidRPr="00F96D93" w:rsidRDefault="00F71967" w:rsidP="00F71967">
      <w:pPr>
        <w:pStyle w:val="Heading2"/>
      </w:pPr>
      <w:bookmarkStart w:id="47" w:name="_Toc197964066"/>
      <w:bookmarkStart w:id="48" w:name="_Toc227850345"/>
      <w:r>
        <w:t>Scenario analysis</w:t>
      </w:r>
      <w:bookmarkEnd w:id="47"/>
      <w:bookmarkEnd w:id="48"/>
    </w:p>
    <w:p w14:paraId="189CC793" w14:textId="77777777" w:rsidR="00F71967" w:rsidRPr="00F96D93" w:rsidRDefault="00F71967" w:rsidP="00F71967">
      <w:r>
        <w:t>Three</w:t>
      </w:r>
      <w:r w:rsidRPr="00F96D93">
        <w:t xml:space="preserve"> scenario analyses were undertaken to test specific assumptions within the model:</w:t>
      </w:r>
    </w:p>
    <w:p w14:paraId="51A11D2E" w14:textId="77777777" w:rsidR="00F71967" w:rsidRDefault="00F71967" w:rsidP="00F71967">
      <w:pPr>
        <w:numPr>
          <w:ilvl w:val="0"/>
          <w:numId w:val="17"/>
        </w:numPr>
      </w:pPr>
      <w:r w:rsidRPr="00F96D93">
        <w:t>Using the</w:t>
      </w:r>
      <w:r w:rsidRPr="00481CD8">
        <w:t xml:space="preserve"> </w:t>
      </w:r>
      <w:r w:rsidRPr="00F96D93">
        <w:t xml:space="preserve">actual </w:t>
      </w:r>
      <w:r>
        <w:t xml:space="preserve">rate of SCS </w:t>
      </w:r>
      <w:r w:rsidRPr="00F96D93">
        <w:t>implant</w:t>
      </w:r>
      <w:r>
        <w:t>ation</w:t>
      </w:r>
      <w:r w:rsidRPr="00F96D93">
        <w:t xml:space="preserve"> from the </w:t>
      </w:r>
      <w:r w:rsidRPr="00034153">
        <w:t>Kallewaard</w:t>
      </w:r>
      <w:r>
        <w:t xml:space="preserve"> RCT (92.2%) </w:t>
      </w:r>
      <w:r w:rsidRPr="00F96D93">
        <w:t>instead of</w:t>
      </w:r>
      <w:r>
        <w:t xml:space="preserve"> the measured </w:t>
      </w:r>
      <w:r w:rsidRPr="00F96D93">
        <w:t xml:space="preserve">trial stimulation </w:t>
      </w:r>
      <w:r>
        <w:t xml:space="preserve">success (response) rate of </w:t>
      </w:r>
      <w:r w:rsidRPr="00F96D93">
        <w:t>94.1%</w:t>
      </w:r>
      <w:r>
        <w:t>, which was used in the base-case analysis.</w:t>
      </w:r>
    </w:p>
    <w:p w14:paraId="2CE95231" w14:textId="77777777" w:rsidR="00F71967" w:rsidRPr="00F96D93" w:rsidRDefault="00F71967" w:rsidP="00F71967">
      <w:pPr>
        <w:numPr>
          <w:ilvl w:val="0"/>
          <w:numId w:val="17"/>
        </w:numPr>
      </w:pPr>
      <w:r w:rsidRPr="00F96D93">
        <w:t xml:space="preserve">Changing the definition of ‘optimal pain relief’ among patients undergoing full device implantation to be </w:t>
      </w:r>
      <w:proofErr w:type="gramStart"/>
      <w:r w:rsidRPr="00F96D93">
        <w:t>a &gt;</w:t>
      </w:r>
      <w:proofErr w:type="gramEnd"/>
      <w:r w:rsidRPr="00F96D93">
        <w:t xml:space="preserve">80% improvement in pain score (versus baseline), rather than the 50% threshold used in the base-case analysis. Again, using data from the </w:t>
      </w:r>
      <w:r w:rsidRPr="00034153">
        <w:t>Kallewaard</w:t>
      </w:r>
      <w:r>
        <w:t xml:space="preserve"> RCT</w:t>
      </w:r>
      <w:r w:rsidRPr="00F96D93">
        <w:t>,</w:t>
      </w:r>
      <w:r w:rsidRPr="00F96D93">
        <w:rPr>
          <w:vertAlign w:val="superscript"/>
        </w:rPr>
        <w:t>2</w:t>
      </w:r>
      <w:r w:rsidRPr="00F96D93">
        <w:t xml:space="preserve"> this equates to a response rate of 60.5% in the DTM-SCS group (instead of 88.4% in the base-case).</w:t>
      </w:r>
    </w:p>
    <w:p w14:paraId="0E02EB89" w14:textId="77777777" w:rsidR="00F71967" w:rsidRDefault="00F71967" w:rsidP="00F71967">
      <w:pPr>
        <w:numPr>
          <w:ilvl w:val="0"/>
          <w:numId w:val="17"/>
        </w:numPr>
      </w:pPr>
      <w:r>
        <w:t>E</w:t>
      </w:r>
      <w:r w:rsidRPr="00F96D93">
        <w:t>xclud</w:t>
      </w:r>
      <w:r>
        <w:t>ing</w:t>
      </w:r>
      <w:r w:rsidRPr="00F96D93">
        <w:t xml:space="preserve"> data </w:t>
      </w:r>
      <w:r>
        <w:t xml:space="preserve">from a single patient in the </w:t>
      </w:r>
      <w:r w:rsidRPr="00F96D93">
        <w:t>CMM group</w:t>
      </w:r>
      <w:r>
        <w:t xml:space="preserve"> </w:t>
      </w:r>
      <w:r w:rsidRPr="00F96D93">
        <w:t xml:space="preserve">who had exceedingly high medication costs due to </w:t>
      </w:r>
      <w:r>
        <w:t>k</w:t>
      </w:r>
      <w:r w:rsidRPr="00F96D93">
        <w:t xml:space="preserve">etamine </w:t>
      </w:r>
      <w:r>
        <w:t>treatment</w:t>
      </w:r>
      <w:r w:rsidRPr="00F96D93">
        <w:t>.</w:t>
      </w:r>
    </w:p>
    <w:p w14:paraId="2112900F" w14:textId="77777777" w:rsidR="00F71967" w:rsidRPr="00F96D93" w:rsidRDefault="00F71967" w:rsidP="00F71967">
      <w:pPr>
        <w:pStyle w:val="Heading2"/>
      </w:pPr>
      <w:bookmarkStart w:id="49" w:name="_Toc197964067"/>
      <w:bookmarkStart w:id="50" w:name="_Toc227850346"/>
      <w:r>
        <w:t>P</w:t>
      </w:r>
      <w:r w:rsidRPr="00F96D93">
        <w:t>robabilistic sensitivity analysis</w:t>
      </w:r>
      <w:bookmarkEnd w:id="49"/>
      <w:bookmarkEnd w:id="50"/>
    </w:p>
    <w:p w14:paraId="602D4625" w14:textId="03A6BE93" w:rsidR="00F71967" w:rsidRPr="0093620D" w:rsidRDefault="00F71967" w:rsidP="00F71967">
      <w:r w:rsidRPr="00F96D93">
        <w:t>Finally, a probabilistic sensitivity analysis was undertaken to explore the joint effect of uncertainty in all model parameters upon the results. A statistical distribution was assigned to each parameter using confidence intervals and with the choice of distribution being appropriate to the parameter type (Table S7). Thus, beta distributions were used for probability and utility weight parameters to constrain the sampled values between 0 and 1, gamma distributions for cost parameters to ensure a non-negative sampled value, and normal distributions used for other parameters, such as patient age. This analysis consisted of sampling 10,000 sets of model inputs from these distributions, with the costs and QALYs of each treatment re-calculated each time. Results were presented as scatter plots and cost-effectiveness acceptability curves.</w:t>
      </w:r>
    </w:p>
    <w:p w14:paraId="43E8EA35" w14:textId="77777777" w:rsidR="00F71967" w:rsidRPr="009A1111" w:rsidRDefault="00F71967" w:rsidP="009A1111">
      <w:pPr>
        <w:pStyle w:val="TableText"/>
        <w:rPr>
          <w:b/>
          <w:bCs/>
        </w:rPr>
      </w:pPr>
      <w:bookmarkStart w:id="51" w:name="_Toc197964068"/>
      <w:r w:rsidRPr="009A1111">
        <w:rPr>
          <w:b/>
          <w:bCs/>
        </w:rPr>
        <w:t>Table S7. PSA distributional parameters</w:t>
      </w:r>
      <w:bookmarkEnd w:id="51"/>
    </w:p>
    <w:tbl>
      <w:tblPr>
        <w:tblStyle w:val="GridTable1Light"/>
        <w:tblW w:w="0" w:type="auto"/>
        <w:tblLook w:val="04A0" w:firstRow="1" w:lastRow="0" w:firstColumn="1" w:lastColumn="0" w:noHBand="0" w:noVBand="1"/>
      </w:tblPr>
      <w:tblGrid>
        <w:gridCol w:w="3235"/>
        <w:gridCol w:w="1258"/>
        <w:gridCol w:w="1619"/>
        <w:gridCol w:w="1619"/>
        <w:gridCol w:w="1619"/>
      </w:tblGrid>
      <w:tr w:rsidR="00F71967" w:rsidRPr="00A45681" w14:paraId="3C6FD9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96DDB41" w14:textId="77777777" w:rsidR="00F71967" w:rsidRPr="00A45681" w:rsidRDefault="00F71967">
            <w:pPr>
              <w:pStyle w:val="TableText"/>
              <w:keepNext/>
            </w:pPr>
            <w:r w:rsidRPr="00A45681">
              <w:t>Parameter</w:t>
            </w:r>
          </w:p>
        </w:tc>
        <w:tc>
          <w:tcPr>
            <w:tcW w:w="1258" w:type="dxa"/>
          </w:tcPr>
          <w:p w14:paraId="66812AF2"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A45681">
              <w:t>Mean</w:t>
            </w:r>
          </w:p>
        </w:tc>
        <w:tc>
          <w:tcPr>
            <w:tcW w:w="1619" w:type="dxa"/>
          </w:tcPr>
          <w:p w14:paraId="04597A0F"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A45681">
              <w:t>Alpha/param 1</w:t>
            </w:r>
          </w:p>
        </w:tc>
        <w:tc>
          <w:tcPr>
            <w:tcW w:w="1619" w:type="dxa"/>
          </w:tcPr>
          <w:p w14:paraId="77AC3363"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A45681">
              <w:t>Beta/ param 2</w:t>
            </w:r>
          </w:p>
        </w:tc>
        <w:tc>
          <w:tcPr>
            <w:tcW w:w="1619" w:type="dxa"/>
          </w:tcPr>
          <w:p w14:paraId="243C6809" w14:textId="77777777" w:rsidR="00F71967" w:rsidRPr="00A45681" w:rsidRDefault="00F71967">
            <w:pPr>
              <w:pStyle w:val="TableText"/>
              <w:keepNext/>
              <w:cnfStyle w:val="100000000000" w:firstRow="1" w:lastRow="0" w:firstColumn="0" w:lastColumn="0" w:oddVBand="0" w:evenVBand="0" w:oddHBand="0" w:evenHBand="0" w:firstRowFirstColumn="0" w:firstRowLastColumn="0" w:lastRowFirstColumn="0" w:lastRowLastColumn="0"/>
            </w:pPr>
            <w:r w:rsidRPr="00A45681">
              <w:t>Distribution</w:t>
            </w:r>
          </w:p>
        </w:tc>
      </w:tr>
      <w:tr w:rsidR="00F71967" w:rsidRPr="00A45681" w14:paraId="60CF12D7" w14:textId="77777777">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D9D9" w:themeFill="background1" w:themeFillShade="D9"/>
          </w:tcPr>
          <w:p w14:paraId="29F96CC9" w14:textId="77777777" w:rsidR="00F71967" w:rsidRPr="00912F72" w:rsidRDefault="00F71967">
            <w:pPr>
              <w:pStyle w:val="TableText"/>
              <w:rPr>
                <w:b w:val="0"/>
                <w:bCs w:val="0"/>
              </w:rPr>
            </w:pPr>
            <w:r w:rsidRPr="00A45681">
              <w:t>Demographics</w:t>
            </w:r>
          </w:p>
        </w:tc>
      </w:tr>
      <w:tr w:rsidR="00F71967" w:rsidRPr="00A45681" w14:paraId="4AABBE26" w14:textId="77777777">
        <w:tc>
          <w:tcPr>
            <w:cnfStyle w:val="001000000000" w:firstRow="0" w:lastRow="0" w:firstColumn="1" w:lastColumn="0" w:oddVBand="0" w:evenVBand="0" w:oddHBand="0" w:evenHBand="0" w:firstRowFirstColumn="0" w:firstRowLastColumn="0" w:lastRowFirstColumn="0" w:lastRowLastColumn="0"/>
            <w:tcW w:w="3235" w:type="dxa"/>
          </w:tcPr>
          <w:p w14:paraId="0312A850" w14:textId="77777777" w:rsidR="00F71967" w:rsidRPr="00A45681" w:rsidRDefault="00F71967">
            <w:pPr>
              <w:pStyle w:val="TableText"/>
            </w:pPr>
            <w:r w:rsidRPr="00A45681">
              <w:t>Patient age</w:t>
            </w:r>
          </w:p>
        </w:tc>
        <w:tc>
          <w:tcPr>
            <w:tcW w:w="1258" w:type="dxa"/>
          </w:tcPr>
          <w:p w14:paraId="7DCFAF3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56.</w:t>
            </w:r>
            <w:r>
              <w:t>4</w:t>
            </w:r>
          </w:p>
        </w:tc>
        <w:tc>
          <w:tcPr>
            <w:tcW w:w="1619" w:type="dxa"/>
          </w:tcPr>
          <w:p w14:paraId="2382E7D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56.</w:t>
            </w:r>
            <w:r>
              <w:t>4</w:t>
            </w:r>
          </w:p>
        </w:tc>
        <w:tc>
          <w:tcPr>
            <w:tcW w:w="1619" w:type="dxa"/>
          </w:tcPr>
          <w:p w14:paraId="70051F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1.2</w:t>
            </w:r>
            <w:r>
              <w:t>4</w:t>
            </w:r>
          </w:p>
        </w:tc>
        <w:tc>
          <w:tcPr>
            <w:tcW w:w="1619" w:type="dxa"/>
          </w:tcPr>
          <w:p w14:paraId="0F9E659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Normal</w:t>
            </w:r>
          </w:p>
        </w:tc>
      </w:tr>
      <w:tr w:rsidR="00F71967" w:rsidRPr="00A45681" w14:paraId="7D1C8ACF" w14:textId="77777777">
        <w:tc>
          <w:tcPr>
            <w:cnfStyle w:val="001000000000" w:firstRow="0" w:lastRow="0" w:firstColumn="1" w:lastColumn="0" w:oddVBand="0" w:evenVBand="0" w:oddHBand="0" w:evenHBand="0" w:firstRowFirstColumn="0" w:firstRowLastColumn="0" w:lastRowFirstColumn="0" w:lastRowLastColumn="0"/>
            <w:tcW w:w="3235" w:type="dxa"/>
          </w:tcPr>
          <w:p w14:paraId="39AA9A69" w14:textId="77777777" w:rsidR="00F71967" w:rsidRPr="00A45681" w:rsidRDefault="00F71967">
            <w:pPr>
              <w:pStyle w:val="TableText"/>
            </w:pPr>
            <w:r w:rsidRPr="00A45681">
              <w:t>% female</w:t>
            </w:r>
          </w:p>
        </w:tc>
        <w:tc>
          <w:tcPr>
            <w:tcW w:w="1258" w:type="dxa"/>
          </w:tcPr>
          <w:p w14:paraId="60F2897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53</w:t>
            </w:r>
            <w:r>
              <w:t>%</w:t>
            </w:r>
          </w:p>
        </w:tc>
        <w:tc>
          <w:tcPr>
            <w:tcW w:w="1619" w:type="dxa"/>
          </w:tcPr>
          <w:p w14:paraId="53911DA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57</w:t>
            </w:r>
          </w:p>
        </w:tc>
        <w:tc>
          <w:tcPr>
            <w:tcW w:w="1619" w:type="dxa"/>
          </w:tcPr>
          <w:p w14:paraId="012AA38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51</w:t>
            </w:r>
          </w:p>
        </w:tc>
        <w:tc>
          <w:tcPr>
            <w:tcW w:w="1619" w:type="dxa"/>
          </w:tcPr>
          <w:p w14:paraId="5BD1079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4741DF3B" w14:textId="77777777">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D9D9" w:themeFill="background1" w:themeFillShade="D9"/>
          </w:tcPr>
          <w:p w14:paraId="4B062EE5" w14:textId="77777777" w:rsidR="00F71967" w:rsidRPr="00A45681" w:rsidRDefault="00F71967">
            <w:pPr>
              <w:pStyle w:val="TableText"/>
            </w:pPr>
            <w:r w:rsidRPr="00A45681">
              <w:t>Disease inputs</w:t>
            </w:r>
          </w:p>
        </w:tc>
      </w:tr>
      <w:tr w:rsidR="00F71967" w:rsidRPr="00A45681" w14:paraId="674E7E51" w14:textId="77777777">
        <w:tc>
          <w:tcPr>
            <w:cnfStyle w:val="001000000000" w:firstRow="0" w:lastRow="0" w:firstColumn="1" w:lastColumn="0" w:oddVBand="0" w:evenVBand="0" w:oddHBand="0" w:evenHBand="0" w:firstRowFirstColumn="0" w:firstRowLastColumn="0" w:lastRowFirstColumn="0" w:lastRowLastColumn="0"/>
            <w:tcW w:w="3235" w:type="dxa"/>
          </w:tcPr>
          <w:p w14:paraId="451DC4AF" w14:textId="77777777" w:rsidR="00F71967" w:rsidRPr="00A45681" w:rsidRDefault="00F71967">
            <w:pPr>
              <w:pStyle w:val="TableText"/>
            </w:pPr>
            <w:r w:rsidRPr="00A45681">
              <w:t>Trial phase success rate</w:t>
            </w:r>
          </w:p>
        </w:tc>
        <w:tc>
          <w:tcPr>
            <w:tcW w:w="1258" w:type="dxa"/>
          </w:tcPr>
          <w:p w14:paraId="220F36C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94.1%</w:t>
            </w:r>
          </w:p>
        </w:tc>
        <w:tc>
          <w:tcPr>
            <w:tcW w:w="1619" w:type="dxa"/>
          </w:tcPr>
          <w:p w14:paraId="3CB55BE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48</w:t>
            </w:r>
          </w:p>
        </w:tc>
        <w:tc>
          <w:tcPr>
            <w:tcW w:w="1619" w:type="dxa"/>
          </w:tcPr>
          <w:p w14:paraId="14930D6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w:t>
            </w:r>
          </w:p>
        </w:tc>
        <w:tc>
          <w:tcPr>
            <w:tcW w:w="1619" w:type="dxa"/>
          </w:tcPr>
          <w:p w14:paraId="6874E3A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041CE3D3" w14:textId="77777777">
        <w:tc>
          <w:tcPr>
            <w:cnfStyle w:val="001000000000" w:firstRow="0" w:lastRow="0" w:firstColumn="1" w:lastColumn="0" w:oddVBand="0" w:evenVBand="0" w:oddHBand="0" w:evenHBand="0" w:firstRowFirstColumn="0" w:firstRowLastColumn="0" w:lastRowFirstColumn="0" w:lastRowLastColumn="0"/>
            <w:tcW w:w="3235" w:type="dxa"/>
          </w:tcPr>
          <w:p w14:paraId="4950E4E8" w14:textId="77777777" w:rsidR="00F71967" w:rsidRPr="00A45681" w:rsidRDefault="00F71967">
            <w:pPr>
              <w:pStyle w:val="TableText"/>
            </w:pPr>
            <w:r w:rsidRPr="00A45681">
              <w:t>Proportion implanted</w:t>
            </w:r>
          </w:p>
        </w:tc>
        <w:tc>
          <w:tcPr>
            <w:tcW w:w="1258" w:type="dxa"/>
          </w:tcPr>
          <w:p w14:paraId="3F6A7F4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92.2%</w:t>
            </w:r>
          </w:p>
        </w:tc>
        <w:tc>
          <w:tcPr>
            <w:tcW w:w="1619" w:type="dxa"/>
          </w:tcPr>
          <w:p w14:paraId="73A2CA2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47</w:t>
            </w:r>
          </w:p>
        </w:tc>
        <w:tc>
          <w:tcPr>
            <w:tcW w:w="1619" w:type="dxa"/>
          </w:tcPr>
          <w:p w14:paraId="4732D6F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w:t>
            </w:r>
          </w:p>
        </w:tc>
        <w:tc>
          <w:tcPr>
            <w:tcW w:w="1619" w:type="dxa"/>
          </w:tcPr>
          <w:p w14:paraId="046DD1F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01AACE73" w14:textId="77777777">
        <w:tc>
          <w:tcPr>
            <w:cnfStyle w:val="001000000000" w:firstRow="0" w:lastRow="0" w:firstColumn="1" w:lastColumn="0" w:oddVBand="0" w:evenVBand="0" w:oddHBand="0" w:evenHBand="0" w:firstRowFirstColumn="0" w:firstRowLastColumn="0" w:lastRowFirstColumn="0" w:lastRowLastColumn="0"/>
            <w:tcW w:w="3235" w:type="dxa"/>
          </w:tcPr>
          <w:p w14:paraId="635CC920" w14:textId="77777777" w:rsidR="00F71967" w:rsidRPr="00A45681" w:rsidRDefault="00F71967">
            <w:pPr>
              <w:pStyle w:val="TableText"/>
            </w:pPr>
            <w:r w:rsidRPr="00A45681">
              <w:t xml:space="preserve">Optimal pain relief 24m- </w:t>
            </w:r>
            <w:r>
              <w:t>DTM-SCS</w:t>
            </w:r>
          </w:p>
        </w:tc>
        <w:tc>
          <w:tcPr>
            <w:tcW w:w="1258" w:type="dxa"/>
          </w:tcPr>
          <w:p w14:paraId="799CC8A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88.4%</w:t>
            </w:r>
          </w:p>
        </w:tc>
        <w:tc>
          <w:tcPr>
            <w:tcW w:w="1619" w:type="dxa"/>
          </w:tcPr>
          <w:p w14:paraId="0ECAD4C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38</w:t>
            </w:r>
          </w:p>
        </w:tc>
        <w:tc>
          <w:tcPr>
            <w:tcW w:w="1619" w:type="dxa"/>
          </w:tcPr>
          <w:p w14:paraId="1651F15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w:t>
            </w:r>
          </w:p>
        </w:tc>
        <w:tc>
          <w:tcPr>
            <w:tcW w:w="1619" w:type="dxa"/>
          </w:tcPr>
          <w:p w14:paraId="60A3A98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0184D478" w14:textId="77777777">
        <w:tc>
          <w:tcPr>
            <w:cnfStyle w:val="001000000000" w:firstRow="0" w:lastRow="0" w:firstColumn="1" w:lastColumn="0" w:oddVBand="0" w:evenVBand="0" w:oddHBand="0" w:evenHBand="0" w:firstRowFirstColumn="0" w:firstRowLastColumn="0" w:lastRowFirstColumn="0" w:lastRowLastColumn="0"/>
            <w:tcW w:w="3235" w:type="dxa"/>
          </w:tcPr>
          <w:p w14:paraId="10BECCAD" w14:textId="77777777" w:rsidR="00F71967" w:rsidRPr="00A45681" w:rsidRDefault="00F71967">
            <w:pPr>
              <w:pStyle w:val="TableText"/>
            </w:pPr>
            <w:r w:rsidRPr="00A45681">
              <w:t>Optimal pain relief 24m- CMM</w:t>
            </w:r>
          </w:p>
        </w:tc>
        <w:tc>
          <w:tcPr>
            <w:tcW w:w="1258" w:type="dxa"/>
          </w:tcPr>
          <w:p w14:paraId="02BEB37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3.6%</w:t>
            </w:r>
          </w:p>
        </w:tc>
        <w:tc>
          <w:tcPr>
            <w:tcW w:w="1619" w:type="dxa"/>
          </w:tcPr>
          <w:p w14:paraId="68F8741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p>
        </w:tc>
        <w:tc>
          <w:tcPr>
            <w:tcW w:w="1619" w:type="dxa"/>
          </w:tcPr>
          <w:p w14:paraId="1E8A5A3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54</w:t>
            </w:r>
          </w:p>
        </w:tc>
        <w:tc>
          <w:tcPr>
            <w:tcW w:w="1619" w:type="dxa"/>
          </w:tcPr>
          <w:p w14:paraId="3CB4DCB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0983396B" w14:textId="77777777">
        <w:tc>
          <w:tcPr>
            <w:cnfStyle w:val="001000000000" w:firstRow="0" w:lastRow="0" w:firstColumn="1" w:lastColumn="0" w:oddVBand="0" w:evenVBand="0" w:oddHBand="0" w:evenHBand="0" w:firstRowFirstColumn="0" w:firstRowLastColumn="0" w:lastRowFirstColumn="0" w:lastRowLastColumn="0"/>
            <w:tcW w:w="3235" w:type="dxa"/>
          </w:tcPr>
          <w:p w14:paraId="5FD7AD99" w14:textId="77777777" w:rsidR="00F71967" w:rsidRPr="00A45681" w:rsidRDefault="00F71967">
            <w:pPr>
              <w:pStyle w:val="TableText"/>
            </w:pPr>
            <w:r w:rsidRPr="00A45681">
              <w:t xml:space="preserve">Profound pain relief 24m- </w:t>
            </w:r>
            <w:r>
              <w:t>DTM-SCS</w:t>
            </w:r>
          </w:p>
        </w:tc>
        <w:tc>
          <w:tcPr>
            <w:tcW w:w="1258" w:type="dxa"/>
          </w:tcPr>
          <w:p w14:paraId="702BB4A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60.5%</w:t>
            </w:r>
          </w:p>
        </w:tc>
        <w:tc>
          <w:tcPr>
            <w:tcW w:w="1619" w:type="dxa"/>
          </w:tcPr>
          <w:p w14:paraId="57BE497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26</w:t>
            </w:r>
          </w:p>
        </w:tc>
        <w:tc>
          <w:tcPr>
            <w:tcW w:w="1619" w:type="dxa"/>
          </w:tcPr>
          <w:p w14:paraId="3A14B87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7</w:t>
            </w:r>
          </w:p>
        </w:tc>
        <w:tc>
          <w:tcPr>
            <w:tcW w:w="1619" w:type="dxa"/>
          </w:tcPr>
          <w:p w14:paraId="47F47D9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AD09554" w14:textId="77777777">
        <w:tc>
          <w:tcPr>
            <w:cnfStyle w:val="001000000000" w:firstRow="0" w:lastRow="0" w:firstColumn="1" w:lastColumn="0" w:oddVBand="0" w:evenVBand="0" w:oddHBand="0" w:evenHBand="0" w:firstRowFirstColumn="0" w:firstRowLastColumn="0" w:lastRowFirstColumn="0" w:lastRowLastColumn="0"/>
            <w:tcW w:w="3235" w:type="dxa"/>
          </w:tcPr>
          <w:p w14:paraId="0A3E6164" w14:textId="77777777" w:rsidR="00F71967" w:rsidRPr="00A45681" w:rsidRDefault="00F71967">
            <w:pPr>
              <w:pStyle w:val="TableText"/>
            </w:pPr>
            <w:r w:rsidRPr="00A45681">
              <w:t xml:space="preserve">Probability of discontinuing </w:t>
            </w:r>
            <w:r>
              <w:t>DTM-SCS</w:t>
            </w:r>
            <w:r w:rsidRPr="00A45681">
              <w:t>- 24m</w:t>
            </w:r>
          </w:p>
        </w:tc>
        <w:tc>
          <w:tcPr>
            <w:tcW w:w="1258" w:type="dxa"/>
          </w:tcPr>
          <w:p w14:paraId="162AF08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15.7%</w:t>
            </w:r>
          </w:p>
        </w:tc>
        <w:tc>
          <w:tcPr>
            <w:tcW w:w="1619" w:type="dxa"/>
          </w:tcPr>
          <w:p w14:paraId="085B260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w:t>
            </w:r>
          </w:p>
        </w:tc>
        <w:tc>
          <w:tcPr>
            <w:tcW w:w="1619" w:type="dxa"/>
          </w:tcPr>
          <w:p w14:paraId="2BCF3F2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43</w:t>
            </w:r>
          </w:p>
        </w:tc>
        <w:tc>
          <w:tcPr>
            <w:tcW w:w="1619" w:type="dxa"/>
          </w:tcPr>
          <w:p w14:paraId="48B675C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37603782" w14:textId="77777777">
        <w:tc>
          <w:tcPr>
            <w:cnfStyle w:val="001000000000" w:firstRow="0" w:lastRow="0" w:firstColumn="1" w:lastColumn="0" w:oddVBand="0" w:evenVBand="0" w:oddHBand="0" w:evenHBand="0" w:firstRowFirstColumn="0" w:firstRowLastColumn="0" w:lastRowFirstColumn="0" w:lastRowLastColumn="0"/>
            <w:tcW w:w="3235" w:type="dxa"/>
          </w:tcPr>
          <w:p w14:paraId="4EFD8909" w14:textId="77777777" w:rsidR="00F71967" w:rsidRPr="00A45681" w:rsidRDefault="00F71967">
            <w:pPr>
              <w:pStyle w:val="TableText"/>
            </w:pPr>
            <w:r w:rsidRPr="00A45681">
              <w:t xml:space="preserve">Probability of discontinuing </w:t>
            </w:r>
            <w:r>
              <w:t>DTM-SCS</w:t>
            </w:r>
            <w:r w:rsidRPr="00A45681">
              <w:t>- beyond 24m</w:t>
            </w:r>
          </w:p>
        </w:tc>
        <w:tc>
          <w:tcPr>
            <w:tcW w:w="1258" w:type="dxa"/>
          </w:tcPr>
          <w:p w14:paraId="6F7F101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.85%</w:t>
            </w:r>
          </w:p>
        </w:tc>
        <w:tc>
          <w:tcPr>
            <w:tcW w:w="1619" w:type="dxa"/>
          </w:tcPr>
          <w:p w14:paraId="7898F27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10.</w:t>
            </w:r>
            <w:r>
              <w:t>6</w:t>
            </w:r>
          </w:p>
        </w:tc>
        <w:tc>
          <w:tcPr>
            <w:tcW w:w="1619" w:type="dxa"/>
          </w:tcPr>
          <w:p w14:paraId="1E9A63D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1236.85</w:t>
            </w:r>
          </w:p>
        </w:tc>
        <w:tc>
          <w:tcPr>
            <w:tcW w:w="1619" w:type="dxa"/>
          </w:tcPr>
          <w:p w14:paraId="23F6351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252DDA7C" w14:textId="77777777">
        <w:tc>
          <w:tcPr>
            <w:cnfStyle w:val="001000000000" w:firstRow="0" w:lastRow="0" w:firstColumn="1" w:lastColumn="0" w:oddVBand="0" w:evenVBand="0" w:oddHBand="0" w:evenHBand="0" w:firstRowFirstColumn="0" w:firstRowLastColumn="0" w:lastRowFirstColumn="0" w:lastRowLastColumn="0"/>
            <w:tcW w:w="3235" w:type="dxa"/>
          </w:tcPr>
          <w:p w14:paraId="013E42E2" w14:textId="77777777" w:rsidR="00F71967" w:rsidRPr="00A45681" w:rsidRDefault="00F71967">
            <w:pPr>
              <w:pStyle w:val="TableText"/>
            </w:pPr>
            <w:r>
              <w:t>DTM-SCS</w:t>
            </w:r>
            <w:r w:rsidRPr="00A45681">
              <w:t xml:space="preserve"> complication rate</w:t>
            </w:r>
          </w:p>
        </w:tc>
        <w:tc>
          <w:tcPr>
            <w:tcW w:w="1258" w:type="dxa"/>
          </w:tcPr>
          <w:p w14:paraId="4C98849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29.1%</w:t>
            </w:r>
          </w:p>
        </w:tc>
        <w:tc>
          <w:tcPr>
            <w:tcW w:w="1619" w:type="dxa"/>
          </w:tcPr>
          <w:p w14:paraId="12242A7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16</w:t>
            </w:r>
          </w:p>
        </w:tc>
        <w:tc>
          <w:tcPr>
            <w:tcW w:w="1619" w:type="dxa"/>
          </w:tcPr>
          <w:p w14:paraId="107DFBB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35</w:t>
            </w:r>
          </w:p>
        </w:tc>
        <w:tc>
          <w:tcPr>
            <w:tcW w:w="1619" w:type="dxa"/>
          </w:tcPr>
          <w:p w14:paraId="4C2E3ED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4B9BD2CA" w14:textId="77777777">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D9D9" w:themeFill="background1" w:themeFillShade="D9"/>
          </w:tcPr>
          <w:p w14:paraId="6B237DBE" w14:textId="77777777" w:rsidR="00F71967" w:rsidRPr="00A45681" w:rsidRDefault="00F71967">
            <w:pPr>
              <w:pStyle w:val="TableText"/>
            </w:pPr>
            <w:r>
              <w:t>Healthcare resource use</w:t>
            </w:r>
            <w:r w:rsidRPr="00A45681">
              <w:t xml:space="preserve"> inputs</w:t>
            </w:r>
          </w:p>
        </w:tc>
      </w:tr>
      <w:tr w:rsidR="00F71967" w:rsidRPr="00A45681" w14:paraId="21F74CE4" w14:textId="77777777">
        <w:tc>
          <w:tcPr>
            <w:cnfStyle w:val="001000000000" w:firstRow="0" w:lastRow="0" w:firstColumn="1" w:lastColumn="0" w:oddVBand="0" w:evenVBand="0" w:oddHBand="0" w:evenHBand="0" w:firstRowFirstColumn="0" w:firstRowLastColumn="0" w:lastRowFirstColumn="0" w:lastRowLastColumn="0"/>
            <w:tcW w:w="3235" w:type="dxa"/>
          </w:tcPr>
          <w:p w14:paraId="33F27776" w14:textId="77777777" w:rsidR="00F71967" w:rsidRPr="00A45681" w:rsidRDefault="00F71967">
            <w:pPr>
              <w:pStyle w:val="TableText"/>
            </w:pPr>
            <w:r w:rsidRPr="00A45681">
              <w:t xml:space="preserve">% CMM patients (6 </w:t>
            </w:r>
            <w:proofErr w:type="spellStart"/>
            <w:r w:rsidRPr="00A45681">
              <w:t>mo</w:t>
            </w:r>
            <w:proofErr w:type="spellEnd"/>
            <w:r w:rsidRPr="00A45681">
              <w:t>): physical rehab</w:t>
            </w:r>
          </w:p>
        </w:tc>
        <w:tc>
          <w:tcPr>
            <w:tcW w:w="1258" w:type="dxa"/>
          </w:tcPr>
          <w:p w14:paraId="77DDA8C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35.1%</w:t>
            </w:r>
          </w:p>
        </w:tc>
        <w:tc>
          <w:tcPr>
            <w:tcW w:w="1619" w:type="dxa"/>
          </w:tcPr>
          <w:p w14:paraId="0DA1D6D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20</w:t>
            </w:r>
          </w:p>
        </w:tc>
        <w:tc>
          <w:tcPr>
            <w:tcW w:w="1619" w:type="dxa"/>
          </w:tcPr>
          <w:p w14:paraId="14BC585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37</w:t>
            </w:r>
          </w:p>
        </w:tc>
        <w:tc>
          <w:tcPr>
            <w:tcW w:w="1619" w:type="dxa"/>
          </w:tcPr>
          <w:p w14:paraId="1894DD3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3D33538A" w14:textId="77777777">
        <w:tc>
          <w:tcPr>
            <w:cnfStyle w:val="001000000000" w:firstRow="0" w:lastRow="0" w:firstColumn="1" w:lastColumn="0" w:oddVBand="0" w:evenVBand="0" w:oddHBand="0" w:evenHBand="0" w:firstRowFirstColumn="0" w:firstRowLastColumn="0" w:lastRowFirstColumn="0" w:lastRowLastColumn="0"/>
            <w:tcW w:w="3235" w:type="dxa"/>
          </w:tcPr>
          <w:p w14:paraId="274D8C5D" w14:textId="77777777" w:rsidR="00F71967" w:rsidRPr="00A45681" w:rsidRDefault="00F71967">
            <w:pPr>
              <w:pStyle w:val="TableText"/>
            </w:pPr>
            <w:r w:rsidRPr="00A45681">
              <w:t xml:space="preserve">% CMM patients (6 </w:t>
            </w:r>
            <w:proofErr w:type="spellStart"/>
            <w:r w:rsidRPr="00A45681">
              <w:t>mo</w:t>
            </w:r>
            <w:proofErr w:type="spellEnd"/>
            <w:r w:rsidRPr="00A45681">
              <w:t>): GP</w:t>
            </w:r>
          </w:p>
        </w:tc>
        <w:tc>
          <w:tcPr>
            <w:tcW w:w="1258" w:type="dxa"/>
          </w:tcPr>
          <w:p w14:paraId="650E94D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33.3%</w:t>
            </w:r>
          </w:p>
        </w:tc>
        <w:tc>
          <w:tcPr>
            <w:tcW w:w="1619" w:type="dxa"/>
          </w:tcPr>
          <w:p w14:paraId="7B70D9C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19</w:t>
            </w:r>
          </w:p>
        </w:tc>
        <w:tc>
          <w:tcPr>
            <w:tcW w:w="1619" w:type="dxa"/>
          </w:tcPr>
          <w:p w14:paraId="335F0FF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38</w:t>
            </w:r>
          </w:p>
        </w:tc>
        <w:tc>
          <w:tcPr>
            <w:tcW w:w="1619" w:type="dxa"/>
          </w:tcPr>
          <w:p w14:paraId="60F54A6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6BFDE502" w14:textId="77777777">
        <w:tc>
          <w:tcPr>
            <w:cnfStyle w:val="001000000000" w:firstRow="0" w:lastRow="0" w:firstColumn="1" w:lastColumn="0" w:oddVBand="0" w:evenVBand="0" w:oddHBand="0" w:evenHBand="0" w:firstRowFirstColumn="0" w:firstRowLastColumn="0" w:lastRowFirstColumn="0" w:lastRowLastColumn="0"/>
            <w:tcW w:w="3235" w:type="dxa"/>
          </w:tcPr>
          <w:p w14:paraId="7518A8FA" w14:textId="77777777" w:rsidR="00F71967" w:rsidRPr="00A45681" w:rsidRDefault="00F71967">
            <w:pPr>
              <w:pStyle w:val="TableText"/>
            </w:pPr>
            <w:r w:rsidRPr="00A45681">
              <w:t xml:space="preserve">% CMM patients (6 </w:t>
            </w:r>
            <w:proofErr w:type="spellStart"/>
            <w:r w:rsidRPr="00A45681">
              <w:t>mo</w:t>
            </w:r>
            <w:proofErr w:type="spellEnd"/>
            <w:r w:rsidRPr="00A45681">
              <w:t xml:space="preserve">): Outpatient </w:t>
            </w:r>
          </w:p>
        </w:tc>
        <w:tc>
          <w:tcPr>
            <w:tcW w:w="1258" w:type="dxa"/>
          </w:tcPr>
          <w:p w14:paraId="4E17627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31.6%</w:t>
            </w:r>
          </w:p>
        </w:tc>
        <w:tc>
          <w:tcPr>
            <w:tcW w:w="1619" w:type="dxa"/>
          </w:tcPr>
          <w:p w14:paraId="7229AC1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1619" w:type="dxa"/>
          </w:tcPr>
          <w:p w14:paraId="43BD1E3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39</w:t>
            </w:r>
          </w:p>
        </w:tc>
        <w:tc>
          <w:tcPr>
            <w:tcW w:w="1619" w:type="dxa"/>
          </w:tcPr>
          <w:p w14:paraId="493E097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69E7654" w14:textId="77777777">
        <w:tc>
          <w:tcPr>
            <w:cnfStyle w:val="001000000000" w:firstRow="0" w:lastRow="0" w:firstColumn="1" w:lastColumn="0" w:oddVBand="0" w:evenVBand="0" w:oddHBand="0" w:evenHBand="0" w:firstRowFirstColumn="0" w:firstRowLastColumn="0" w:lastRowFirstColumn="0" w:lastRowLastColumn="0"/>
            <w:tcW w:w="3235" w:type="dxa"/>
          </w:tcPr>
          <w:p w14:paraId="06476236" w14:textId="77777777" w:rsidR="00F71967" w:rsidRPr="00A45681" w:rsidRDefault="00F71967">
            <w:pPr>
              <w:pStyle w:val="TableText"/>
            </w:pPr>
            <w:r w:rsidRPr="00A45681">
              <w:t xml:space="preserve">% CMM patients (6 </w:t>
            </w:r>
            <w:proofErr w:type="spellStart"/>
            <w:r w:rsidRPr="00A45681">
              <w:t>mo</w:t>
            </w:r>
            <w:proofErr w:type="spellEnd"/>
            <w:r w:rsidRPr="00A45681">
              <w:t xml:space="preserve">): inpatient </w:t>
            </w:r>
          </w:p>
        </w:tc>
        <w:tc>
          <w:tcPr>
            <w:tcW w:w="1258" w:type="dxa"/>
          </w:tcPr>
          <w:p w14:paraId="7B8F550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10.5%</w:t>
            </w:r>
          </w:p>
        </w:tc>
        <w:tc>
          <w:tcPr>
            <w:tcW w:w="1619" w:type="dxa"/>
          </w:tcPr>
          <w:p w14:paraId="44BEF71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6</w:t>
            </w:r>
          </w:p>
        </w:tc>
        <w:tc>
          <w:tcPr>
            <w:tcW w:w="1619" w:type="dxa"/>
          </w:tcPr>
          <w:p w14:paraId="6D19201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51</w:t>
            </w:r>
          </w:p>
        </w:tc>
        <w:tc>
          <w:tcPr>
            <w:tcW w:w="1619" w:type="dxa"/>
          </w:tcPr>
          <w:p w14:paraId="77F1E9A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5ADB317C" w14:textId="77777777">
        <w:tc>
          <w:tcPr>
            <w:cnfStyle w:val="001000000000" w:firstRow="0" w:lastRow="0" w:firstColumn="1" w:lastColumn="0" w:oddVBand="0" w:evenVBand="0" w:oddHBand="0" w:evenHBand="0" w:firstRowFirstColumn="0" w:firstRowLastColumn="0" w:lastRowFirstColumn="0" w:lastRowLastColumn="0"/>
            <w:tcW w:w="3235" w:type="dxa"/>
          </w:tcPr>
          <w:p w14:paraId="582E3E52" w14:textId="77777777" w:rsidR="00F71967" w:rsidRPr="004C1784" w:rsidRDefault="00F71967">
            <w:pPr>
              <w:pStyle w:val="TableText"/>
              <w:rPr>
                <w:lang w:val="fr-FR"/>
              </w:rPr>
            </w:pPr>
            <w:r w:rsidRPr="004C1784">
              <w:rPr>
                <w:lang w:val="fr-FR"/>
              </w:rPr>
              <w:t>% CMM patients (6 mo</w:t>
            </w:r>
            <w:proofErr w:type="gramStart"/>
            <w:r w:rsidRPr="004C1784">
              <w:rPr>
                <w:lang w:val="fr-FR"/>
              </w:rPr>
              <w:t>):</w:t>
            </w:r>
            <w:proofErr w:type="gramEnd"/>
            <w:r w:rsidRPr="004C1784">
              <w:rPr>
                <w:lang w:val="fr-FR"/>
              </w:rPr>
              <w:t xml:space="preserve"> </w:t>
            </w:r>
            <w:proofErr w:type="spellStart"/>
            <w:r w:rsidRPr="004C1784">
              <w:rPr>
                <w:lang w:val="fr-FR"/>
              </w:rPr>
              <w:t>spine</w:t>
            </w:r>
            <w:proofErr w:type="spellEnd"/>
            <w:r w:rsidRPr="004C1784">
              <w:rPr>
                <w:lang w:val="fr-FR"/>
              </w:rPr>
              <w:t xml:space="preserve"> injections</w:t>
            </w:r>
          </w:p>
        </w:tc>
        <w:tc>
          <w:tcPr>
            <w:tcW w:w="1258" w:type="dxa"/>
          </w:tcPr>
          <w:p w14:paraId="0119A66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7.0%</w:t>
            </w:r>
          </w:p>
        </w:tc>
        <w:tc>
          <w:tcPr>
            <w:tcW w:w="1619" w:type="dxa"/>
          </w:tcPr>
          <w:p w14:paraId="5011BCB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w:t>
            </w:r>
          </w:p>
        </w:tc>
        <w:tc>
          <w:tcPr>
            <w:tcW w:w="1619" w:type="dxa"/>
          </w:tcPr>
          <w:p w14:paraId="5381CFF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53</w:t>
            </w:r>
          </w:p>
        </w:tc>
        <w:tc>
          <w:tcPr>
            <w:tcW w:w="1619" w:type="dxa"/>
          </w:tcPr>
          <w:p w14:paraId="3614E67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418416D8" w14:textId="77777777">
        <w:tc>
          <w:tcPr>
            <w:cnfStyle w:val="001000000000" w:firstRow="0" w:lastRow="0" w:firstColumn="1" w:lastColumn="0" w:oddVBand="0" w:evenVBand="0" w:oddHBand="0" w:evenHBand="0" w:firstRowFirstColumn="0" w:firstRowLastColumn="0" w:lastRowFirstColumn="0" w:lastRowLastColumn="0"/>
            <w:tcW w:w="3235" w:type="dxa"/>
          </w:tcPr>
          <w:p w14:paraId="2606475A" w14:textId="77777777" w:rsidR="00F71967" w:rsidRPr="00A45681" w:rsidRDefault="00F71967">
            <w:pPr>
              <w:pStyle w:val="TableText"/>
            </w:pPr>
            <w:r w:rsidRPr="00A45681">
              <w:t xml:space="preserve">% CMM patients (6 </w:t>
            </w:r>
            <w:proofErr w:type="spellStart"/>
            <w:r w:rsidRPr="00A45681">
              <w:t>mo</w:t>
            </w:r>
            <w:proofErr w:type="spellEnd"/>
            <w:r w:rsidRPr="00A45681">
              <w:t>): nurse</w:t>
            </w:r>
          </w:p>
        </w:tc>
        <w:tc>
          <w:tcPr>
            <w:tcW w:w="1258" w:type="dxa"/>
          </w:tcPr>
          <w:p w14:paraId="59EC115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1619" w:type="dxa"/>
          </w:tcPr>
          <w:p w14:paraId="5062726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p>
        </w:tc>
        <w:tc>
          <w:tcPr>
            <w:tcW w:w="1619" w:type="dxa"/>
          </w:tcPr>
          <w:p w14:paraId="6BCAAE0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56</w:t>
            </w:r>
          </w:p>
        </w:tc>
        <w:tc>
          <w:tcPr>
            <w:tcW w:w="1619" w:type="dxa"/>
          </w:tcPr>
          <w:p w14:paraId="59843F7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2759DD93" w14:textId="77777777">
        <w:tc>
          <w:tcPr>
            <w:cnfStyle w:val="001000000000" w:firstRow="0" w:lastRow="0" w:firstColumn="1" w:lastColumn="0" w:oddVBand="0" w:evenVBand="0" w:oddHBand="0" w:evenHBand="0" w:firstRowFirstColumn="0" w:firstRowLastColumn="0" w:lastRowFirstColumn="0" w:lastRowLastColumn="0"/>
            <w:tcW w:w="3235" w:type="dxa"/>
          </w:tcPr>
          <w:p w14:paraId="036D290D" w14:textId="77777777" w:rsidR="00F71967" w:rsidRPr="004C1784" w:rsidRDefault="00F71967">
            <w:pPr>
              <w:pStyle w:val="TableText"/>
              <w:rPr>
                <w:lang w:val="de-DE"/>
              </w:rPr>
            </w:pPr>
            <w:r w:rsidRPr="004C1784">
              <w:rPr>
                <w:lang w:val="de-DE"/>
              </w:rPr>
              <w:t xml:space="preserve">% CMM </w:t>
            </w:r>
            <w:proofErr w:type="spellStart"/>
            <w:r w:rsidRPr="004C1784">
              <w:rPr>
                <w:lang w:val="de-DE"/>
              </w:rPr>
              <w:t>patients</w:t>
            </w:r>
            <w:proofErr w:type="spellEnd"/>
            <w:r w:rsidRPr="004C1784">
              <w:rPr>
                <w:lang w:val="de-DE"/>
              </w:rPr>
              <w:t xml:space="preserve"> (6 </w:t>
            </w:r>
            <w:proofErr w:type="spellStart"/>
            <w:r w:rsidRPr="004C1784">
              <w:rPr>
                <w:lang w:val="de-DE"/>
              </w:rPr>
              <w:t>mo</w:t>
            </w:r>
            <w:proofErr w:type="spellEnd"/>
            <w:r w:rsidRPr="004C1784">
              <w:rPr>
                <w:lang w:val="de-DE"/>
              </w:rPr>
              <w:t xml:space="preserve">): </w:t>
            </w:r>
            <w:proofErr w:type="spellStart"/>
            <w:r w:rsidRPr="004C1784">
              <w:rPr>
                <w:lang w:val="de-DE"/>
              </w:rPr>
              <w:t>Psych</w:t>
            </w:r>
            <w:proofErr w:type="spellEnd"/>
            <w:r w:rsidRPr="004C1784">
              <w:rPr>
                <w:lang w:val="de-DE"/>
              </w:rPr>
              <w:t xml:space="preserve"> </w:t>
            </w:r>
            <w:proofErr w:type="spellStart"/>
            <w:r w:rsidRPr="004C1784">
              <w:rPr>
                <w:lang w:val="de-DE"/>
              </w:rPr>
              <w:t>rehab</w:t>
            </w:r>
            <w:proofErr w:type="spellEnd"/>
          </w:p>
        </w:tc>
        <w:tc>
          <w:tcPr>
            <w:tcW w:w="1258" w:type="dxa"/>
          </w:tcPr>
          <w:p w14:paraId="0DCC7D4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8.8%</w:t>
            </w:r>
          </w:p>
        </w:tc>
        <w:tc>
          <w:tcPr>
            <w:tcW w:w="1619" w:type="dxa"/>
          </w:tcPr>
          <w:p w14:paraId="78EE4D4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w:t>
            </w:r>
          </w:p>
        </w:tc>
        <w:tc>
          <w:tcPr>
            <w:tcW w:w="1619" w:type="dxa"/>
          </w:tcPr>
          <w:p w14:paraId="69168F4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52</w:t>
            </w:r>
          </w:p>
        </w:tc>
        <w:tc>
          <w:tcPr>
            <w:tcW w:w="1619" w:type="dxa"/>
          </w:tcPr>
          <w:p w14:paraId="218285F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8B2CD8A" w14:textId="77777777">
        <w:tc>
          <w:tcPr>
            <w:cnfStyle w:val="001000000000" w:firstRow="0" w:lastRow="0" w:firstColumn="1" w:lastColumn="0" w:oddVBand="0" w:evenVBand="0" w:oddHBand="0" w:evenHBand="0" w:firstRowFirstColumn="0" w:firstRowLastColumn="0" w:lastRowFirstColumn="0" w:lastRowLastColumn="0"/>
            <w:tcW w:w="3235" w:type="dxa"/>
          </w:tcPr>
          <w:p w14:paraId="3D961483" w14:textId="77777777" w:rsidR="00F71967" w:rsidRPr="00A45681" w:rsidRDefault="00F71967">
            <w:pPr>
              <w:pStyle w:val="TableText"/>
            </w:pPr>
            <w:r w:rsidRPr="00A45681">
              <w:t xml:space="preserve">% </w:t>
            </w:r>
            <w:r>
              <w:t>DTM-SCS</w:t>
            </w:r>
            <w:r w:rsidRPr="00A45681">
              <w:t xml:space="preserve"> patients (24 </w:t>
            </w:r>
            <w:proofErr w:type="spellStart"/>
            <w:r w:rsidRPr="00A45681">
              <w:t>mo</w:t>
            </w:r>
            <w:proofErr w:type="spellEnd"/>
            <w:r w:rsidRPr="00A45681">
              <w:t>): physical rehab</w:t>
            </w:r>
          </w:p>
        </w:tc>
        <w:tc>
          <w:tcPr>
            <w:tcW w:w="1258" w:type="dxa"/>
          </w:tcPr>
          <w:p w14:paraId="419DC3B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31.4%</w:t>
            </w:r>
          </w:p>
        </w:tc>
        <w:tc>
          <w:tcPr>
            <w:tcW w:w="1619" w:type="dxa"/>
          </w:tcPr>
          <w:p w14:paraId="5C69894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16</w:t>
            </w:r>
          </w:p>
        </w:tc>
        <w:tc>
          <w:tcPr>
            <w:tcW w:w="1619" w:type="dxa"/>
          </w:tcPr>
          <w:p w14:paraId="57C3A40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35</w:t>
            </w:r>
          </w:p>
        </w:tc>
        <w:tc>
          <w:tcPr>
            <w:tcW w:w="1619" w:type="dxa"/>
          </w:tcPr>
          <w:p w14:paraId="0777C44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08CB0A4F" w14:textId="77777777">
        <w:tc>
          <w:tcPr>
            <w:cnfStyle w:val="001000000000" w:firstRow="0" w:lastRow="0" w:firstColumn="1" w:lastColumn="0" w:oddVBand="0" w:evenVBand="0" w:oddHBand="0" w:evenHBand="0" w:firstRowFirstColumn="0" w:firstRowLastColumn="0" w:lastRowFirstColumn="0" w:lastRowLastColumn="0"/>
            <w:tcW w:w="3235" w:type="dxa"/>
          </w:tcPr>
          <w:p w14:paraId="1E83DB83" w14:textId="77777777" w:rsidR="00F71967" w:rsidRPr="00A45681" w:rsidRDefault="00F71967">
            <w:pPr>
              <w:pStyle w:val="TableText"/>
            </w:pPr>
            <w:r w:rsidRPr="00A45681">
              <w:t xml:space="preserve">% </w:t>
            </w:r>
            <w:r>
              <w:t>DTM-SCS</w:t>
            </w:r>
            <w:r w:rsidRPr="00A45681">
              <w:t xml:space="preserve"> patients (24 </w:t>
            </w:r>
            <w:proofErr w:type="spellStart"/>
            <w:r w:rsidRPr="00A45681">
              <w:t>mo</w:t>
            </w:r>
            <w:proofErr w:type="spellEnd"/>
            <w:r w:rsidRPr="00A45681">
              <w:t>): GP</w:t>
            </w:r>
          </w:p>
        </w:tc>
        <w:tc>
          <w:tcPr>
            <w:tcW w:w="1258" w:type="dxa"/>
          </w:tcPr>
          <w:p w14:paraId="4388E2C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27.5%</w:t>
            </w:r>
          </w:p>
        </w:tc>
        <w:tc>
          <w:tcPr>
            <w:tcW w:w="1619" w:type="dxa"/>
          </w:tcPr>
          <w:p w14:paraId="7571540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14</w:t>
            </w:r>
          </w:p>
        </w:tc>
        <w:tc>
          <w:tcPr>
            <w:tcW w:w="1619" w:type="dxa"/>
          </w:tcPr>
          <w:p w14:paraId="17B2231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37</w:t>
            </w:r>
          </w:p>
        </w:tc>
        <w:tc>
          <w:tcPr>
            <w:tcW w:w="1619" w:type="dxa"/>
          </w:tcPr>
          <w:p w14:paraId="27F8A47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76F40FB4" w14:textId="77777777">
        <w:tc>
          <w:tcPr>
            <w:cnfStyle w:val="001000000000" w:firstRow="0" w:lastRow="0" w:firstColumn="1" w:lastColumn="0" w:oddVBand="0" w:evenVBand="0" w:oddHBand="0" w:evenHBand="0" w:firstRowFirstColumn="0" w:firstRowLastColumn="0" w:lastRowFirstColumn="0" w:lastRowLastColumn="0"/>
            <w:tcW w:w="3235" w:type="dxa"/>
          </w:tcPr>
          <w:p w14:paraId="70572355" w14:textId="77777777" w:rsidR="00F71967" w:rsidRPr="004C1784" w:rsidRDefault="00F71967">
            <w:pPr>
              <w:pStyle w:val="TableText"/>
              <w:rPr>
                <w:lang w:val="fr-FR"/>
              </w:rPr>
            </w:pPr>
            <w:r w:rsidRPr="004C1784">
              <w:rPr>
                <w:lang w:val="fr-FR"/>
              </w:rPr>
              <w:t>% DTM-SCS patients (24 mo</w:t>
            </w:r>
            <w:proofErr w:type="gramStart"/>
            <w:r w:rsidRPr="004C1784">
              <w:rPr>
                <w:lang w:val="fr-FR"/>
              </w:rPr>
              <w:t>):</w:t>
            </w:r>
            <w:proofErr w:type="gramEnd"/>
            <w:r w:rsidRPr="004C1784">
              <w:rPr>
                <w:lang w:val="fr-FR"/>
              </w:rPr>
              <w:t xml:space="preserve"> </w:t>
            </w:r>
            <w:proofErr w:type="spellStart"/>
            <w:r w:rsidRPr="004C1784">
              <w:rPr>
                <w:lang w:val="fr-FR"/>
              </w:rPr>
              <w:t>Outpatient</w:t>
            </w:r>
            <w:proofErr w:type="spellEnd"/>
            <w:r w:rsidRPr="004C1784">
              <w:rPr>
                <w:lang w:val="fr-FR"/>
              </w:rPr>
              <w:t xml:space="preserve"> </w:t>
            </w:r>
          </w:p>
        </w:tc>
        <w:tc>
          <w:tcPr>
            <w:tcW w:w="1258" w:type="dxa"/>
          </w:tcPr>
          <w:p w14:paraId="59F35B4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25.5%</w:t>
            </w:r>
          </w:p>
        </w:tc>
        <w:tc>
          <w:tcPr>
            <w:tcW w:w="1619" w:type="dxa"/>
          </w:tcPr>
          <w:p w14:paraId="6801A61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13</w:t>
            </w:r>
          </w:p>
        </w:tc>
        <w:tc>
          <w:tcPr>
            <w:tcW w:w="1619" w:type="dxa"/>
          </w:tcPr>
          <w:p w14:paraId="224E488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38</w:t>
            </w:r>
          </w:p>
        </w:tc>
        <w:tc>
          <w:tcPr>
            <w:tcW w:w="1619" w:type="dxa"/>
          </w:tcPr>
          <w:p w14:paraId="304234E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F6298CA" w14:textId="77777777">
        <w:tc>
          <w:tcPr>
            <w:cnfStyle w:val="001000000000" w:firstRow="0" w:lastRow="0" w:firstColumn="1" w:lastColumn="0" w:oddVBand="0" w:evenVBand="0" w:oddHBand="0" w:evenHBand="0" w:firstRowFirstColumn="0" w:firstRowLastColumn="0" w:lastRowFirstColumn="0" w:lastRowLastColumn="0"/>
            <w:tcW w:w="3235" w:type="dxa"/>
          </w:tcPr>
          <w:p w14:paraId="0C0B566B" w14:textId="77777777" w:rsidR="00F71967" w:rsidRPr="00A45681" w:rsidRDefault="00F71967">
            <w:pPr>
              <w:pStyle w:val="TableText"/>
            </w:pPr>
            <w:r w:rsidRPr="00A45681">
              <w:t xml:space="preserve">% </w:t>
            </w:r>
            <w:r>
              <w:t>DTM-SCS</w:t>
            </w:r>
            <w:r w:rsidRPr="00A45681">
              <w:t xml:space="preserve"> patients (24 </w:t>
            </w:r>
            <w:proofErr w:type="spellStart"/>
            <w:r w:rsidRPr="00A45681">
              <w:t>mo</w:t>
            </w:r>
            <w:proofErr w:type="spellEnd"/>
            <w:r w:rsidRPr="00A45681">
              <w:t xml:space="preserve">): inpatient </w:t>
            </w:r>
          </w:p>
        </w:tc>
        <w:tc>
          <w:tcPr>
            <w:tcW w:w="1258" w:type="dxa"/>
          </w:tcPr>
          <w:p w14:paraId="29FEFB3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3.9%</w:t>
            </w:r>
          </w:p>
        </w:tc>
        <w:tc>
          <w:tcPr>
            <w:tcW w:w="1619" w:type="dxa"/>
          </w:tcPr>
          <w:p w14:paraId="35F9787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p>
        </w:tc>
        <w:tc>
          <w:tcPr>
            <w:tcW w:w="1619" w:type="dxa"/>
          </w:tcPr>
          <w:p w14:paraId="3E8EC87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49</w:t>
            </w:r>
          </w:p>
        </w:tc>
        <w:tc>
          <w:tcPr>
            <w:tcW w:w="1619" w:type="dxa"/>
          </w:tcPr>
          <w:p w14:paraId="06AC69C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381D805C" w14:textId="77777777">
        <w:tc>
          <w:tcPr>
            <w:cnfStyle w:val="001000000000" w:firstRow="0" w:lastRow="0" w:firstColumn="1" w:lastColumn="0" w:oddVBand="0" w:evenVBand="0" w:oddHBand="0" w:evenHBand="0" w:firstRowFirstColumn="0" w:firstRowLastColumn="0" w:lastRowFirstColumn="0" w:lastRowLastColumn="0"/>
            <w:tcW w:w="3235" w:type="dxa"/>
          </w:tcPr>
          <w:p w14:paraId="248C3847" w14:textId="77777777" w:rsidR="00F71967" w:rsidRPr="004C1784" w:rsidRDefault="00F71967">
            <w:pPr>
              <w:pStyle w:val="TableText"/>
              <w:rPr>
                <w:lang w:val="fr-FR"/>
              </w:rPr>
            </w:pPr>
            <w:r w:rsidRPr="004C1784">
              <w:rPr>
                <w:lang w:val="fr-FR"/>
              </w:rPr>
              <w:t>% DTM-SCS patients (24 mo</w:t>
            </w:r>
            <w:proofErr w:type="gramStart"/>
            <w:r w:rsidRPr="004C1784">
              <w:rPr>
                <w:lang w:val="fr-FR"/>
              </w:rPr>
              <w:t>):</w:t>
            </w:r>
            <w:proofErr w:type="gramEnd"/>
            <w:r w:rsidRPr="004C1784">
              <w:rPr>
                <w:lang w:val="fr-FR"/>
              </w:rPr>
              <w:t xml:space="preserve"> </w:t>
            </w:r>
            <w:proofErr w:type="spellStart"/>
            <w:r w:rsidRPr="004C1784">
              <w:rPr>
                <w:lang w:val="fr-FR"/>
              </w:rPr>
              <w:t>spine</w:t>
            </w:r>
            <w:proofErr w:type="spellEnd"/>
            <w:r w:rsidRPr="004C1784">
              <w:rPr>
                <w:lang w:val="fr-FR"/>
              </w:rPr>
              <w:t xml:space="preserve"> injections</w:t>
            </w:r>
          </w:p>
        </w:tc>
        <w:tc>
          <w:tcPr>
            <w:tcW w:w="1258" w:type="dxa"/>
          </w:tcPr>
          <w:p w14:paraId="3257CCC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11.8%</w:t>
            </w:r>
          </w:p>
        </w:tc>
        <w:tc>
          <w:tcPr>
            <w:tcW w:w="1619" w:type="dxa"/>
          </w:tcPr>
          <w:p w14:paraId="6D5848C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6</w:t>
            </w:r>
          </w:p>
        </w:tc>
        <w:tc>
          <w:tcPr>
            <w:tcW w:w="1619" w:type="dxa"/>
          </w:tcPr>
          <w:p w14:paraId="6EED13F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45</w:t>
            </w:r>
          </w:p>
        </w:tc>
        <w:tc>
          <w:tcPr>
            <w:tcW w:w="1619" w:type="dxa"/>
          </w:tcPr>
          <w:p w14:paraId="1823FFE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3D1C16A3" w14:textId="77777777">
        <w:tc>
          <w:tcPr>
            <w:cnfStyle w:val="001000000000" w:firstRow="0" w:lastRow="0" w:firstColumn="1" w:lastColumn="0" w:oddVBand="0" w:evenVBand="0" w:oddHBand="0" w:evenHBand="0" w:firstRowFirstColumn="0" w:firstRowLastColumn="0" w:lastRowFirstColumn="0" w:lastRowLastColumn="0"/>
            <w:tcW w:w="3235" w:type="dxa"/>
          </w:tcPr>
          <w:p w14:paraId="5ED226C8" w14:textId="77777777" w:rsidR="00F71967" w:rsidRPr="00A45681" w:rsidRDefault="00F71967">
            <w:pPr>
              <w:pStyle w:val="TableText"/>
            </w:pPr>
            <w:r w:rsidRPr="00A45681">
              <w:t xml:space="preserve">% </w:t>
            </w:r>
            <w:r>
              <w:t>DTM-SCS</w:t>
            </w:r>
            <w:r w:rsidRPr="00A45681">
              <w:t xml:space="preserve"> patients (24 </w:t>
            </w:r>
            <w:proofErr w:type="spellStart"/>
            <w:r w:rsidRPr="00A45681">
              <w:t>mo</w:t>
            </w:r>
            <w:proofErr w:type="spellEnd"/>
            <w:r w:rsidRPr="00A45681">
              <w:t>): nurse</w:t>
            </w:r>
          </w:p>
        </w:tc>
        <w:tc>
          <w:tcPr>
            <w:tcW w:w="1258" w:type="dxa"/>
          </w:tcPr>
          <w:p w14:paraId="3F26ACE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9.8%</w:t>
            </w:r>
          </w:p>
        </w:tc>
        <w:tc>
          <w:tcPr>
            <w:tcW w:w="1619" w:type="dxa"/>
          </w:tcPr>
          <w:p w14:paraId="49C5245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w:t>
            </w:r>
          </w:p>
        </w:tc>
        <w:tc>
          <w:tcPr>
            <w:tcW w:w="1619" w:type="dxa"/>
          </w:tcPr>
          <w:p w14:paraId="2B0FFD7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46</w:t>
            </w:r>
          </w:p>
        </w:tc>
        <w:tc>
          <w:tcPr>
            <w:tcW w:w="1619" w:type="dxa"/>
          </w:tcPr>
          <w:p w14:paraId="1F7A97B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70D3B325" w14:textId="77777777">
        <w:tc>
          <w:tcPr>
            <w:cnfStyle w:val="001000000000" w:firstRow="0" w:lastRow="0" w:firstColumn="1" w:lastColumn="0" w:oddVBand="0" w:evenVBand="0" w:oddHBand="0" w:evenHBand="0" w:firstRowFirstColumn="0" w:firstRowLastColumn="0" w:lastRowFirstColumn="0" w:lastRowLastColumn="0"/>
            <w:tcW w:w="3235" w:type="dxa"/>
          </w:tcPr>
          <w:p w14:paraId="799D310B" w14:textId="77777777" w:rsidR="00F71967" w:rsidRPr="004C1784" w:rsidRDefault="00F71967">
            <w:pPr>
              <w:pStyle w:val="TableText"/>
              <w:rPr>
                <w:lang w:val="de-DE"/>
              </w:rPr>
            </w:pPr>
            <w:r w:rsidRPr="004C1784">
              <w:rPr>
                <w:lang w:val="de-DE"/>
              </w:rPr>
              <w:t xml:space="preserve">% DTM-SCS </w:t>
            </w:r>
            <w:proofErr w:type="spellStart"/>
            <w:r w:rsidRPr="004C1784">
              <w:rPr>
                <w:lang w:val="de-DE"/>
              </w:rPr>
              <w:t>patients</w:t>
            </w:r>
            <w:proofErr w:type="spellEnd"/>
            <w:r w:rsidRPr="004C1784">
              <w:rPr>
                <w:lang w:val="de-DE"/>
              </w:rPr>
              <w:t xml:space="preserve"> (24 </w:t>
            </w:r>
            <w:proofErr w:type="spellStart"/>
            <w:r w:rsidRPr="004C1784">
              <w:rPr>
                <w:lang w:val="de-DE"/>
              </w:rPr>
              <w:t>mo</w:t>
            </w:r>
            <w:proofErr w:type="spellEnd"/>
            <w:r w:rsidRPr="004C1784">
              <w:rPr>
                <w:lang w:val="de-DE"/>
              </w:rPr>
              <w:t xml:space="preserve">): </w:t>
            </w:r>
            <w:proofErr w:type="spellStart"/>
            <w:r w:rsidRPr="004C1784">
              <w:rPr>
                <w:lang w:val="de-DE"/>
              </w:rPr>
              <w:t>Psych</w:t>
            </w:r>
            <w:proofErr w:type="spellEnd"/>
            <w:r w:rsidRPr="004C1784">
              <w:rPr>
                <w:lang w:val="de-DE"/>
              </w:rPr>
              <w:t xml:space="preserve"> </w:t>
            </w:r>
            <w:proofErr w:type="spellStart"/>
            <w:r w:rsidRPr="004C1784">
              <w:rPr>
                <w:lang w:val="de-DE"/>
              </w:rPr>
              <w:t>rehab</w:t>
            </w:r>
            <w:proofErr w:type="spellEnd"/>
          </w:p>
        </w:tc>
        <w:tc>
          <w:tcPr>
            <w:tcW w:w="1258" w:type="dxa"/>
          </w:tcPr>
          <w:p w14:paraId="1E6F7E4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2.0%</w:t>
            </w:r>
          </w:p>
        </w:tc>
        <w:tc>
          <w:tcPr>
            <w:tcW w:w="1619" w:type="dxa"/>
          </w:tcPr>
          <w:p w14:paraId="364CAA2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p>
        </w:tc>
        <w:tc>
          <w:tcPr>
            <w:tcW w:w="1619" w:type="dxa"/>
          </w:tcPr>
          <w:p w14:paraId="3627BE9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50</w:t>
            </w:r>
          </w:p>
        </w:tc>
        <w:tc>
          <w:tcPr>
            <w:tcW w:w="1619" w:type="dxa"/>
          </w:tcPr>
          <w:p w14:paraId="2DC81B7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3F17B197" w14:textId="77777777">
        <w:tc>
          <w:tcPr>
            <w:cnfStyle w:val="001000000000" w:firstRow="0" w:lastRow="0" w:firstColumn="1" w:lastColumn="0" w:oddVBand="0" w:evenVBand="0" w:oddHBand="0" w:evenHBand="0" w:firstRowFirstColumn="0" w:firstRowLastColumn="0" w:lastRowFirstColumn="0" w:lastRowLastColumn="0"/>
            <w:tcW w:w="3235" w:type="dxa"/>
          </w:tcPr>
          <w:p w14:paraId="048C94BF" w14:textId="77777777" w:rsidR="00F71967" w:rsidRPr="00A45681" w:rsidRDefault="00F71967">
            <w:pPr>
              <w:pStyle w:val="TableText"/>
            </w:pPr>
            <w:r w:rsidRPr="00A45681">
              <w:t>Mean visits CMM (6mo): physical rehab</w:t>
            </w:r>
          </w:p>
        </w:tc>
        <w:tc>
          <w:tcPr>
            <w:tcW w:w="1258" w:type="dxa"/>
          </w:tcPr>
          <w:p w14:paraId="2033121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14.</w:t>
            </w:r>
            <w:r>
              <w:t>6</w:t>
            </w:r>
          </w:p>
        </w:tc>
        <w:tc>
          <w:tcPr>
            <w:tcW w:w="1619" w:type="dxa"/>
          </w:tcPr>
          <w:p w14:paraId="6248F63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r>
              <w:t>3</w:t>
            </w:r>
          </w:p>
        </w:tc>
        <w:tc>
          <w:tcPr>
            <w:tcW w:w="1619" w:type="dxa"/>
          </w:tcPr>
          <w:p w14:paraId="241B306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.8</w:t>
            </w:r>
            <w:r>
              <w:t>0</w:t>
            </w:r>
          </w:p>
        </w:tc>
        <w:tc>
          <w:tcPr>
            <w:tcW w:w="1619" w:type="dxa"/>
          </w:tcPr>
          <w:p w14:paraId="421C48F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p w14:paraId="52270C8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p>
        </w:tc>
      </w:tr>
      <w:tr w:rsidR="00F71967" w:rsidRPr="00A45681" w14:paraId="7C6763FC" w14:textId="77777777">
        <w:tc>
          <w:tcPr>
            <w:cnfStyle w:val="001000000000" w:firstRow="0" w:lastRow="0" w:firstColumn="1" w:lastColumn="0" w:oddVBand="0" w:evenVBand="0" w:oddHBand="0" w:evenHBand="0" w:firstRowFirstColumn="0" w:firstRowLastColumn="0" w:lastRowFirstColumn="0" w:lastRowLastColumn="0"/>
            <w:tcW w:w="3235" w:type="dxa"/>
          </w:tcPr>
          <w:p w14:paraId="0B04C9F2" w14:textId="77777777" w:rsidR="00F71967" w:rsidRPr="00A45681" w:rsidRDefault="00F71967">
            <w:pPr>
              <w:pStyle w:val="TableText"/>
            </w:pPr>
            <w:r w:rsidRPr="00A45681">
              <w:t xml:space="preserve">Mean visits CMM (6 </w:t>
            </w:r>
            <w:proofErr w:type="spellStart"/>
            <w:r w:rsidRPr="00A45681">
              <w:t>mo</w:t>
            </w:r>
            <w:proofErr w:type="spellEnd"/>
            <w:r w:rsidRPr="00A45681">
              <w:t>): GP</w:t>
            </w:r>
          </w:p>
        </w:tc>
        <w:tc>
          <w:tcPr>
            <w:tcW w:w="1258" w:type="dxa"/>
          </w:tcPr>
          <w:p w14:paraId="51C4057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5</w:t>
            </w:r>
          </w:p>
        </w:tc>
        <w:tc>
          <w:tcPr>
            <w:tcW w:w="1619" w:type="dxa"/>
          </w:tcPr>
          <w:p w14:paraId="68122A5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23.</w:t>
            </w:r>
            <w:r>
              <w:t>1</w:t>
            </w:r>
          </w:p>
        </w:tc>
        <w:tc>
          <w:tcPr>
            <w:tcW w:w="1619" w:type="dxa"/>
          </w:tcPr>
          <w:p w14:paraId="1BEF982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.11</w:t>
            </w:r>
          </w:p>
        </w:tc>
        <w:tc>
          <w:tcPr>
            <w:tcW w:w="1619" w:type="dxa"/>
          </w:tcPr>
          <w:p w14:paraId="51AD321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53DEA4F7" w14:textId="77777777">
        <w:tc>
          <w:tcPr>
            <w:cnfStyle w:val="001000000000" w:firstRow="0" w:lastRow="0" w:firstColumn="1" w:lastColumn="0" w:oddVBand="0" w:evenVBand="0" w:oddHBand="0" w:evenHBand="0" w:firstRowFirstColumn="0" w:firstRowLastColumn="0" w:lastRowFirstColumn="0" w:lastRowLastColumn="0"/>
            <w:tcW w:w="3235" w:type="dxa"/>
          </w:tcPr>
          <w:p w14:paraId="2573AD44" w14:textId="77777777" w:rsidR="00F71967" w:rsidRPr="00A45681" w:rsidRDefault="00F71967">
            <w:pPr>
              <w:pStyle w:val="TableText"/>
            </w:pPr>
            <w:r w:rsidRPr="00A45681">
              <w:t xml:space="preserve">Mean visits CMM (6 </w:t>
            </w:r>
            <w:proofErr w:type="spellStart"/>
            <w:r w:rsidRPr="00A45681">
              <w:t>mo</w:t>
            </w:r>
            <w:proofErr w:type="spellEnd"/>
            <w:r w:rsidRPr="00A45681">
              <w:t xml:space="preserve">): Outpatient </w:t>
            </w:r>
          </w:p>
        </w:tc>
        <w:tc>
          <w:tcPr>
            <w:tcW w:w="1258" w:type="dxa"/>
          </w:tcPr>
          <w:p w14:paraId="61CAC0C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w:t>
            </w:r>
            <w:r>
              <w:t>2</w:t>
            </w:r>
          </w:p>
        </w:tc>
        <w:tc>
          <w:tcPr>
            <w:tcW w:w="1619" w:type="dxa"/>
          </w:tcPr>
          <w:p w14:paraId="3A52592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22.9</w:t>
            </w:r>
          </w:p>
        </w:tc>
        <w:tc>
          <w:tcPr>
            <w:tcW w:w="1619" w:type="dxa"/>
          </w:tcPr>
          <w:p w14:paraId="0433E6B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.14</w:t>
            </w:r>
          </w:p>
        </w:tc>
        <w:tc>
          <w:tcPr>
            <w:tcW w:w="1619" w:type="dxa"/>
          </w:tcPr>
          <w:p w14:paraId="5627E73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9511CDE" w14:textId="77777777">
        <w:tc>
          <w:tcPr>
            <w:cnfStyle w:val="001000000000" w:firstRow="0" w:lastRow="0" w:firstColumn="1" w:lastColumn="0" w:oddVBand="0" w:evenVBand="0" w:oddHBand="0" w:evenHBand="0" w:firstRowFirstColumn="0" w:firstRowLastColumn="0" w:lastRowFirstColumn="0" w:lastRowLastColumn="0"/>
            <w:tcW w:w="3235" w:type="dxa"/>
          </w:tcPr>
          <w:p w14:paraId="1F6B6C1A" w14:textId="77777777" w:rsidR="00F71967" w:rsidRPr="00A45681" w:rsidRDefault="00F71967">
            <w:pPr>
              <w:pStyle w:val="TableText"/>
            </w:pPr>
            <w:r w:rsidRPr="00A45681">
              <w:t xml:space="preserve">Mean visits CMM (6 </w:t>
            </w:r>
            <w:proofErr w:type="spellStart"/>
            <w:r w:rsidRPr="00A45681">
              <w:t>mo</w:t>
            </w:r>
            <w:proofErr w:type="spellEnd"/>
            <w:r w:rsidRPr="00A45681">
              <w:t xml:space="preserve">): inpatient </w:t>
            </w:r>
          </w:p>
        </w:tc>
        <w:tc>
          <w:tcPr>
            <w:tcW w:w="1258" w:type="dxa"/>
          </w:tcPr>
          <w:p w14:paraId="771EE92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1619" w:type="dxa"/>
          </w:tcPr>
          <w:p w14:paraId="77E3507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14.</w:t>
            </w:r>
            <w:r>
              <w:t>8</w:t>
            </w:r>
          </w:p>
        </w:tc>
        <w:tc>
          <w:tcPr>
            <w:tcW w:w="1619" w:type="dxa"/>
          </w:tcPr>
          <w:p w14:paraId="6693A4A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.12</w:t>
            </w:r>
          </w:p>
        </w:tc>
        <w:tc>
          <w:tcPr>
            <w:tcW w:w="1619" w:type="dxa"/>
          </w:tcPr>
          <w:p w14:paraId="49205B0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65D0795" w14:textId="77777777">
        <w:tc>
          <w:tcPr>
            <w:cnfStyle w:val="001000000000" w:firstRow="0" w:lastRow="0" w:firstColumn="1" w:lastColumn="0" w:oddVBand="0" w:evenVBand="0" w:oddHBand="0" w:evenHBand="0" w:firstRowFirstColumn="0" w:firstRowLastColumn="0" w:lastRowFirstColumn="0" w:lastRowLastColumn="0"/>
            <w:tcW w:w="3235" w:type="dxa"/>
          </w:tcPr>
          <w:p w14:paraId="37CD5E1F" w14:textId="77777777" w:rsidR="00F71967" w:rsidRPr="00A45681" w:rsidRDefault="00F71967">
            <w:pPr>
              <w:pStyle w:val="TableText"/>
            </w:pPr>
            <w:r w:rsidRPr="00A45681">
              <w:t xml:space="preserve">Mean visits CMM (6 </w:t>
            </w:r>
            <w:proofErr w:type="spellStart"/>
            <w:r w:rsidRPr="00A45681">
              <w:t>mo</w:t>
            </w:r>
            <w:proofErr w:type="spellEnd"/>
            <w:r w:rsidRPr="00A45681">
              <w:t>): spine injections</w:t>
            </w:r>
          </w:p>
        </w:tc>
        <w:tc>
          <w:tcPr>
            <w:tcW w:w="1258" w:type="dxa"/>
          </w:tcPr>
          <w:p w14:paraId="5CA08D4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1.5</w:t>
            </w:r>
          </w:p>
        </w:tc>
        <w:tc>
          <w:tcPr>
            <w:tcW w:w="1619" w:type="dxa"/>
          </w:tcPr>
          <w:p w14:paraId="1658913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27.0</w:t>
            </w:r>
          </w:p>
        </w:tc>
        <w:tc>
          <w:tcPr>
            <w:tcW w:w="1619" w:type="dxa"/>
          </w:tcPr>
          <w:p w14:paraId="5EC8D70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.06</w:t>
            </w:r>
          </w:p>
        </w:tc>
        <w:tc>
          <w:tcPr>
            <w:tcW w:w="1619" w:type="dxa"/>
          </w:tcPr>
          <w:p w14:paraId="59EF24A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63270C1" w14:textId="77777777">
        <w:tc>
          <w:tcPr>
            <w:cnfStyle w:val="001000000000" w:firstRow="0" w:lastRow="0" w:firstColumn="1" w:lastColumn="0" w:oddVBand="0" w:evenVBand="0" w:oddHBand="0" w:evenHBand="0" w:firstRowFirstColumn="0" w:firstRowLastColumn="0" w:lastRowFirstColumn="0" w:lastRowLastColumn="0"/>
            <w:tcW w:w="3235" w:type="dxa"/>
          </w:tcPr>
          <w:p w14:paraId="79F8C9D3" w14:textId="77777777" w:rsidR="00F71967" w:rsidRPr="00A45681" w:rsidRDefault="00F71967">
            <w:pPr>
              <w:pStyle w:val="TableText"/>
            </w:pPr>
            <w:r w:rsidRPr="00A45681">
              <w:t xml:space="preserve">Mean visits CMM (6 </w:t>
            </w:r>
            <w:proofErr w:type="spellStart"/>
            <w:r w:rsidRPr="00A45681">
              <w:t>mo</w:t>
            </w:r>
            <w:proofErr w:type="spellEnd"/>
            <w:r w:rsidRPr="00A45681">
              <w:t>): nurse</w:t>
            </w:r>
          </w:p>
        </w:tc>
        <w:tc>
          <w:tcPr>
            <w:tcW w:w="1258" w:type="dxa"/>
          </w:tcPr>
          <w:p w14:paraId="586396A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p>
        </w:tc>
        <w:tc>
          <w:tcPr>
            <w:tcW w:w="1619" w:type="dxa"/>
          </w:tcPr>
          <w:p w14:paraId="7F97F11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w:t>
            </w:r>
          </w:p>
        </w:tc>
        <w:tc>
          <w:tcPr>
            <w:tcW w:w="1619" w:type="dxa"/>
          </w:tcPr>
          <w:p w14:paraId="0307F5F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w:t>
            </w:r>
          </w:p>
        </w:tc>
        <w:tc>
          <w:tcPr>
            <w:tcW w:w="1619" w:type="dxa"/>
          </w:tcPr>
          <w:p w14:paraId="6372CD1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0C461835" w14:textId="77777777">
        <w:tc>
          <w:tcPr>
            <w:cnfStyle w:val="001000000000" w:firstRow="0" w:lastRow="0" w:firstColumn="1" w:lastColumn="0" w:oddVBand="0" w:evenVBand="0" w:oddHBand="0" w:evenHBand="0" w:firstRowFirstColumn="0" w:firstRowLastColumn="0" w:lastRowFirstColumn="0" w:lastRowLastColumn="0"/>
            <w:tcW w:w="3235" w:type="dxa"/>
          </w:tcPr>
          <w:p w14:paraId="181C6998" w14:textId="77777777" w:rsidR="00F71967" w:rsidRPr="00A45681" w:rsidRDefault="00F71967">
            <w:pPr>
              <w:pStyle w:val="TableText"/>
            </w:pPr>
            <w:r w:rsidRPr="00A45681">
              <w:t xml:space="preserve">Mean visits CMM (6 </w:t>
            </w:r>
            <w:proofErr w:type="spellStart"/>
            <w:r w:rsidRPr="00A45681">
              <w:t>mo</w:t>
            </w:r>
            <w:proofErr w:type="spellEnd"/>
            <w:r w:rsidRPr="00A45681">
              <w:t>): Psych rehab</w:t>
            </w:r>
          </w:p>
        </w:tc>
        <w:tc>
          <w:tcPr>
            <w:tcW w:w="1258" w:type="dxa"/>
          </w:tcPr>
          <w:p w14:paraId="150B98A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1.8</w:t>
            </w:r>
          </w:p>
        </w:tc>
        <w:tc>
          <w:tcPr>
            <w:tcW w:w="1619" w:type="dxa"/>
          </w:tcPr>
          <w:p w14:paraId="78EC0D7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9.5</w:t>
            </w:r>
          </w:p>
        </w:tc>
        <w:tc>
          <w:tcPr>
            <w:tcW w:w="1619" w:type="dxa"/>
          </w:tcPr>
          <w:p w14:paraId="12CE77E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.19</w:t>
            </w:r>
          </w:p>
        </w:tc>
        <w:tc>
          <w:tcPr>
            <w:tcW w:w="1619" w:type="dxa"/>
          </w:tcPr>
          <w:p w14:paraId="15DAF71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CE2BF30" w14:textId="77777777">
        <w:tc>
          <w:tcPr>
            <w:cnfStyle w:val="001000000000" w:firstRow="0" w:lastRow="0" w:firstColumn="1" w:lastColumn="0" w:oddVBand="0" w:evenVBand="0" w:oddHBand="0" w:evenHBand="0" w:firstRowFirstColumn="0" w:firstRowLastColumn="0" w:lastRowFirstColumn="0" w:lastRowLastColumn="0"/>
            <w:tcW w:w="3235" w:type="dxa"/>
          </w:tcPr>
          <w:p w14:paraId="781B5D7A"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physical rehab</w:t>
            </w:r>
          </w:p>
        </w:tc>
        <w:tc>
          <w:tcPr>
            <w:tcW w:w="1258" w:type="dxa"/>
          </w:tcPr>
          <w:p w14:paraId="4CDE025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25.2</w:t>
            </w:r>
          </w:p>
        </w:tc>
        <w:tc>
          <w:tcPr>
            <w:tcW w:w="1619" w:type="dxa"/>
          </w:tcPr>
          <w:p w14:paraId="7C0B8D9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31.</w:t>
            </w:r>
            <w:r>
              <w:t>2</w:t>
            </w:r>
          </w:p>
        </w:tc>
        <w:tc>
          <w:tcPr>
            <w:tcW w:w="1619" w:type="dxa"/>
          </w:tcPr>
          <w:p w14:paraId="6244454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.81</w:t>
            </w:r>
          </w:p>
        </w:tc>
        <w:tc>
          <w:tcPr>
            <w:tcW w:w="1619" w:type="dxa"/>
          </w:tcPr>
          <w:p w14:paraId="7022AA0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50D3EFEB" w14:textId="77777777">
        <w:tc>
          <w:tcPr>
            <w:cnfStyle w:val="001000000000" w:firstRow="0" w:lastRow="0" w:firstColumn="1" w:lastColumn="0" w:oddVBand="0" w:evenVBand="0" w:oddHBand="0" w:evenHBand="0" w:firstRowFirstColumn="0" w:firstRowLastColumn="0" w:lastRowFirstColumn="0" w:lastRowLastColumn="0"/>
            <w:tcW w:w="3235" w:type="dxa"/>
          </w:tcPr>
          <w:p w14:paraId="21CD880E"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GP</w:t>
            </w:r>
          </w:p>
        </w:tc>
        <w:tc>
          <w:tcPr>
            <w:tcW w:w="1258" w:type="dxa"/>
          </w:tcPr>
          <w:p w14:paraId="64E93F0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3</w:t>
            </w:r>
          </w:p>
        </w:tc>
        <w:tc>
          <w:tcPr>
            <w:tcW w:w="1619" w:type="dxa"/>
          </w:tcPr>
          <w:p w14:paraId="6324B7E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12.</w:t>
            </w:r>
            <w:r>
              <w:t>1</w:t>
            </w:r>
          </w:p>
        </w:tc>
        <w:tc>
          <w:tcPr>
            <w:tcW w:w="1619" w:type="dxa"/>
          </w:tcPr>
          <w:p w14:paraId="12AF0AA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.19</w:t>
            </w:r>
          </w:p>
        </w:tc>
        <w:tc>
          <w:tcPr>
            <w:tcW w:w="1619" w:type="dxa"/>
          </w:tcPr>
          <w:p w14:paraId="60379EC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360F86F6" w14:textId="77777777">
        <w:tc>
          <w:tcPr>
            <w:cnfStyle w:val="001000000000" w:firstRow="0" w:lastRow="0" w:firstColumn="1" w:lastColumn="0" w:oddVBand="0" w:evenVBand="0" w:oddHBand="0" w:evenHBand="0" w:firstRowFirstColumn="0" w:firstRowLastColumn="0" w:lastRowFirstColumn="0" w:lastRowLastColumn="0"/>
            <w:tcW w:w="3235" w:type="dxa"/>
          </w:tcPr>
          <w:p w14:paraId="6DA7F537"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xml:space="preserve">): Outpatient </w:t>
            </w:r>
          </w:p>
        </w:tc>
        <w:tc>
          <w:tcPr>
            <w:tcW w:w="1258" w:type="dxa"/>
          </w:tcPr>
          <w:p w14:paraId="5F773FE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2.7</w:t>
            </w:r>
          </w:p>
        </w:tc>
        <w:tc>
          <w:tcPr>
            <w:tcW w:w="1619" w:type="dxa"/>
          </w:tcPr>
          <w:p w14:paraId="7CDC7E8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40.</w:t>
            </w:r>
            <w:r>
              <w:t>8</w:t>
            </w:r>
          </w:p>
        </w:tc>
        <w:tc>
          <w:tcPr>
            <w:tcW w:w="1619" w:type="dxa"/>
          </w:tcPr>
          <w:p w14:paraId="31EEDE8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.01</w:t>
            </w:r>
          </w:p>
        </w:tc>
        <w:tc>
          <w:tcPr>
            <w:tcW w:w="1619" w:type="dxa"/>
          </w:tcPr>
          <w:p w14:paraId="33DCBB7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E4B18B9" w14:textId="77777777">
        <w:tc>
          <w:tcPr>
            <w:cnfStyle w:val="001000000000" w:firstRow="0" w:lastRow="0" w:firstColumn="1" w:lastColumn="0" w:oddVBand="0" w:evenVBand="0" w:oddHBand="0" w:evenHBand="0" w:firstRowFirstColumn="0" w:firstRowLastColumn="0" w:lastRowFirstColumn="0" w:lastRowLastColumn="0"/>
            <w:tcW w:w="3235" w:type="dxa"/>
          </w:tcPr>
          <w:p w14:paraId="0CB96BF4"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xml:space="preserve">): inpatient </w:t>
            </w:r>
          </w:p>
        </w:tc>
        <w:tc>
          <w:tcPr>
            <w:tcW w:w="1258" w:type="dxa"/>
          </w:tcPr>
          <w:p w14:paraId="406F284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p>
        </w:tc>
        <w:tc>
          <w:tcPr>
            <w:tcW w:w="1619" w:type="dxa"/>
          </w:tcPr>
          <w:p w14:paraId="03695EA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w:t>
            </w:r>
          </w:p>
        </w:tc>
        <w:tc>
          <w:tcPr>
            <w:tcW w:w="1619" w:type="dxa"/>
          </w:tcPr>
          <w:p w14:paraId="7C60CFE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.01</w:t>
            </w:r>
          </w:p>
        </w:tc>
        <w:tc>
          <w:tcPr>
            <w:tcW w:w="1619" w:type="dxa"/>
          </w:tcPr>
          <w:p w14:paraId="2913F92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2049E9B9" w14:textId="77777777">
        <w:tc>
          <w:tcPr>
            <w:cnfStyle w:val="001000000000" w:firstRow="0" w:lastRow="0" w:firstColumn="1" w:lastColumn="0" w:oddVBand="0" w:evenVBand="0" w:oddHBand="0" w:evenHBand="0" w:firstRowFirstColumn="0" w:firstRowLastColumn="0" w:lastRowFirstColumn="0" w:lastRowLastColumn="0"/>
            <w:tcW w:w="3235" w:type="dxa"/>
          </w:tcPr>
          <w:p w14:paraId="22006832"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spine injections</w:t>
            </w:r>
          </w:p>
        </w:tc>
        <w:tc>
          <w:tcPr>
            <w:tcW w:w="1258" w:type="dxa"/>
          </w:tcPr>
          <w:p w14:paraId="04AA0AB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p>
        </w:tc>
        <w:tc>
          <w:tcPr>
            <w:tcW w:w="1619" w:type="dxa"/>
          </w:tcPr>
          <w:p w14:paraId="0A6A3CC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w:t>
            </w:r>
            <w:r>
              <w:t>6</w:t>
            </w:r>
          </w:p>
        </w:tc>
        <w:tc>
          <w:tcPr>
            <w:tcW w:w="1619" w:type="dxa"/>
          </w:tcPr>
          <w:p w14:paraId="28A9F1B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.01</w:t>
            </w:r>
          </w:p>
        </w:tc>
        <w:tc>
          <w:tcPr>
            <w:tcW w:w="1619" w:type="dxa"/>
          </w:tcPr>
          <w:p w14:paraId="1AAAAA0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D6CA080" w14:textId="77777777">
        <w:tc>
          <w:tcPr>
            <w:cnfStyle w:val="001000000000" w:firstRow="0" w:lastRow="0" w:firstColumn="1" w:lastColumn="0" w:oddVBand="0" w:evenVBand="0" w:oddHBand="0" w:evenHBand="0" w:firstRowFirstColumn="0" w:firstRowLastColumn="0" w:lastRowFirstColumn="0" w:lastRowLastColumn="0"/>
            <w:tcW w:w="3235" w:type="dxa"/>
          </w:tcPr>
          <w:p w14:paraId="4E981880"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nurse</w:t>
            </w:r>
          </w:p>
        </w:tc>
        <w:tc>
          <w:tcPr>
            <w:tcW w:w="1258" w:type="dxa"/>
          </w:tcPr>
          <w:p w14:paraId="3BF0CC7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13.6</w:t>
            </w:r>
          </w:p>
        </w:tc>
        <w:tc>
          <w:tcPr>
            <w:tcW w:w="1619" w:type="dxa"/>
          </w:tcPr>
          <w:p w14:paraId="1FE1465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55.</w:t>
            </w:r>
            <w:r>
              <w:t>1</w:t>
            </w:r>
          </w:p>
        </w:tc>
        <w:tc>
          <w:tcPr>
            <w:tcW w:w="1619" w:type="dxa"/>
          </w:tcPr>
          <w:p w14:paraId="2053CE7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.01</w:t>
            </w:r>
          </w:p>
        </w:tc>
        <w:tc>
          <w:tcPr>
            <w:tcW w:w="1619" w:type="dxa"/>
          </w:tcPr>
          <w:p w14:paraId="4A24B62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2C1B1684" w14:textId="77777777">
        <w:tc>
          <w:tcPr>
            <w:cnfStyle w:val="001000000000" w:firstRow="0" w:lastRow="0" w:firstColumn="1" w:lastColumn="0" w:oddVBand="0" w:evenVBand="0" w:oddHBand="0" w:evenHBand="0" w:firstRowFirstColumn="0" w:firstRowLastColumn="0" w:lastRowFirstColumn="0" w:lastRowLastColumn="0"/>
            <w:tcW w:w="3235" w:type="dxa"/>
          </w:tcPr>
          <w:p w14:paraId="4B564064" w14:textId="77777777" w:rsidR="00F71967" w:rsidRPr="00A45681" w:rsidRDefault="00F71967">
            <w:pPr>
              <w:pStyle w:val="TableText"/>
            </w:pPr>
            <w:r w:rsidRPr="00A45681">
              <w:t xml:space="preserve">Mean visits </w:t>
            </w:r>
            <w:r>
              <w:t>DTM-SCS</w:t>
            </w:r>
            <w:r w:rsidRPr="00A45681">
              <w:t xml:space="preserve"> (24 </w:t>
            </w:r>
            <w:proofErr w:type="spellStart"/>
            <w:r w:rsidRPr="00A45681">
              <w:t>mo</w:t>
            </w:r>
            <w:proofErr w:type="spellEnd"/>
            <w:r w:rsidRPr="00A45681">
              <w:t>): Psych rehab</w:t>
            </w:r>
          </w:p>
        </w:tc>
        <w:tc>
          <w:tcPr>
            <w:tcW w:w="1258" w:type="dxa"/>
          </w:tcPr>
          <w:p w14:paraId="46F119C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w:t>
            </w:r>
          </w:p>
        </w:tc>
        <w:tc>
          <w:tcPr>
            <w:tcW w:w="1619" w:type="dxa"/>
          </w:tcPr>
          <w:p w14:paraId="2A763B1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w:t>
            </w:r>
          </w:p>
        </w:tc>
        <w:tc>
          <w:tcPr>
            <w:tcW w:w="1619" w:type="dxa"/>
          </w:tcPr>
          <w:p w14:paraId="14C58E6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t>0</w:t>
            </w:r>
            <w:r w:rsidRPr="00A45681">
              <w:t>.01</w:t>
            </w:r>
          </w:p>
        </w:tc>
        <w:tc>
          <w:tcPr>
            <w:tcW w:w="1619" w:type="dxa"/>
          </w:tcPr>
          <w:p w14:paraId="79F44C2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579F09BA" w14:textId="77777777">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D9D9" w:themeFill="background1" w:themeFillShade="D9"/>
          </w:tcPr>
          <w:p w14:paraId="263B9A66" w14:textId="77777777" w:rsidR="00F71967" w:rsidRPr="00A45681" w:rsidRDefault="00F71967">
            <w:pPr>
              <w:pStyle w:val="TableText"/>
            </w:pPr>
            <w:r w:rsidRPr="00A45681">
              <w:t>Cost inputs</w:t>
            </w:r>
          </w:p>
        </w:tc>
      </w:tr>
      <w:tr w:rsidR="00F71967" w:rsidRPr="00A45681" w14:paraId="1D81B57D" w14:textId="77777777">
        <w:tc>
          <w:tcPr>
            <w:cnfStyle w:val="001000000000" w:firstRow="0" w:lastRow="0" w:firstColumn="1" w:lastColumn="0" w:oddVBand="0" w:evenVBand="0" w:oddHBand="0" w:evenHBand="0" w:firstRowFirstColumn="0" w:firstRowLastColumn="0" w:lastRowFirstColumn="0" w:lastRowLastColumn="0"/>
            <w:tcW w:w="3235" w:type="dxa"/>
          </w:tcPr>
          <w:p w14:paraId="0B451A23" w14:textId="77777777" w:rsidR="00F71967" w:rsidRPr="00A45681" w:rsidRDefault="00F71967">
            <w:pPr>
              <w:pStyle w:val="TableText"/>
            </w:pPr>
            <w:r w:rsidRPr="00A45681">
              <w:t>Trial implant procedure</w:t>
            </w:r>
          </w:p>
        </w:tc>
        <w:tc>
          <w:tcPr>
            <w:tcW w:w="1258" w:type="dxa"/>
            <w:vAlign w:val="center"/>
          </w:tcPr>
          <w:p w14:paraId="750863F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€ 3,152</w:t>
            </w:r>
          </w:p>
        </w:tc>
        <w:tc>
          <w:tcPr>
            <w:tcW w:w="1619" w:type="dxa"/>
            <w:vAlign w:val="center"/>
          </w:tcPr>
          <w:p w14:paraId="5DEFDDD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561F26C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€ 33</w:t>
            </w:r>
          </w:p>
        </w:tc>
        <w:tc>
          <w:tcPr>
            <w:tcW w:w="1619" w:type="dxa"/>
          </w:tcPr>
          <w:p w14:paraId="041E67D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B09C0B6" w14:textId="77777777">
        <w:tc>
          <w:tcPr>
            <w:cnfStyle w:val="001000000000" w:firstRow="0" w:lastRow="0" w:firstColumn="1" w:lastColumn="0" w:oddVBand="0" w:evenVBand="0" w:oddHBand="0" w:evenHBand="0" w:firstRowFirstColumn="0" w:firstRowLastColumn="0" w:lastRowFirstColumn="0" w:lastRowLastColumn="0"/>
            <w:tcW w:w="3235" w:type="dxa"/>
          </w:tcPr>
          <w:p w14:paraId="141C39DB" w14:textId="77777777" w:rsidR="00F71967" w:rsidRPr="00A45681" w:rsidRDefault="00F71967">
            <w:pPr>
              <w:pStyle w:val="TableText"/>
            </w:pPr>
            <w:r w:rsidRPr="00A45681">
              <w:t>Full implant procedure</w:t>
            </w:r>
          </w:p>
        </w:tc>
        <w:tc>
          <w:tcPr>
            <w:tcW w:w="1258" w:type="dxa"/>
            <w:vAlign w:val="center"/>
          </w:tcPr>
          <w:p w14:paraId="19E437F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€ 1,462</w:t>
            </w:r>
          </w:p>
        </w:tc>
        <w:tc>
          <w:tcPr>
            <w:tcW w:w="1619" w:type="dxa"/>
            <w:vAlign w:val="center"/>
          </w:tcPr>
          <w:p w14:paraId="6342C09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12E22E0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€ 15</w:t>
            </w:r>
          </w:p>
        </w:tc>
        <w:tc>
          <w:tcPr>
            <w:tcW w:w="1619" w:type="dxa"/>
          </w:tcPr>
          <w:p w14:paraId="0A0BA01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390FE75B" w14:textId="77777777">
        <w:tc>
          <w:tcPr>
            <w:cnfStyle w:val="001000000000" w:firstRow="0" w:lastRow="0" w:firstColumn="1" w:lastColumn="0" w:oddVBand="0" w:evenVBand="0" w:oddHBand="0" w:evenHBand="0" w:firstRowFirstColumn="0" w:firstRowLastColumn="0" w:lastRowFirstColumn="0" w:lastRowLastColumn="0"/>
            <w:tcW w:w="3235" w:type="dxa"/>
          </w:tcPr>
          <w:p w14:paraId="4032F9F5" w14:textId="77777777" w:rsidR="00F71967" w:rsidRPr="00A45681" w:rsidRDefault="00F71967">
            <w:pPr>
              <w:pStyle w:val="TableText"/>
            </w:pPr>
            <w:r w:rsidRPr="00A45681">
              <w:t>Device</w:t>
            </w:r>
            <w:r>
              <w:t>-</w:t>
            </w:r>
            <w:r w:rsidRPr="00A45681">
              <w:t>replacement procedure (device-only)</w:t>
            </w:r>
          </w:p>
        </w:tc>
        <w:tc>
          <w:tcPr>
            <w:tcW w:w="1258" w:type="dxa"/>
            <w:vAlign w:val="center"/>
          </w:tcPr>
          <w:p w14:paraId="7EABFEC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€ 1,462</w:t>
            </w:r>
          </w:p>
        </w:tc>
        <w:tc>
          <w:tcPr>
            <w:tcW w:w="1619" w:type="dxa"/>
            <w:vAlign w:val="center"/>
          </w:tcPr>
          <w:p w14:paraId="275ACD4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6182B9B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€ 15</w:t>
            </w:r>
          </w:p>
        </w:tc>
        <w:tc>
          <w:tcPr>
            <w:tcW w:w="1619" w:type="dxa"/>
          </w:tcPr>
          <w:p w14:paraId="6F1CA5C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5E894CD5" w14:textId="77777777">
        <w:tc>
          <w:tcPr>
            <w:cnfStyle w:val="001000000000" w:firstRow="0" w:lastRow="0" w:firstColumn="1" w:lastColumn="0" w:oddVBand="0" w:evenVBand="0" w:oddHBand="0" w:evenHBand="0" w:firstRowFirstColumn="0" w:firstRowLastColumn="0" w:lastRowFirstColumn="0" w:lastRowLastColumn="0"/>
            <w:tcW w:w="3235" w:type="dxa"/>
          </w:tcPr>
          <w:p w14:paraId="322B6CD8" w14:textId="77777777" w:rsidR="00F71967" w:rsidRPr="00A45681" w:rsidRDefault="00F71967">
            <w:pPr>
              <w:pStyle w:val="TableText"/>
            </w:pPr>
            <w:r w:rsidRPr="00A45681">
              <w:t>Device explant procedure</w:t>
            </w:r>
          </w:p>
        </w:tc>
        <w:tc>
          <w:tcPr>
            <w:tcW w:w="1258" w:type="dxa"/>
            <w:vAlign w:val="center"/>
          </w:tcPr>
          <w:p w14:paraId="46FB6BB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€ 1,462</w:t>
            </w:r>
          </w:p>
        </w:tc>
        <w:tc>
          <w:tcPr>
            <w:tcW w:w="1619" w:type="dxa"/>
            <w:vAlign w:val="center"/>
          </w:tcPr>
          <w:p w14:paraId="365F3B3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7E70A07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€ 15</w:t>
            </w:r>
          </w:p>
        </w:tc>
        <w:tc>
          <w:tcPr>
            <w:tcW w:w="1619" w:type="dxa"/>
          </w:tcPr>
          <w:p w14:paraId="41C931D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1018C0B1" w14:textId="77777777">
        <w:tc>
          <w:tcPr>
            <w:cnfStyle w:val="001000000000" w:firstRow="0" w:lastRow="0" w:firstColumn="1" w:lastColumn="0" w:oddVBand="0" w:evenVBand="0" w:oddHBand="0" w:evenHBand="0" w:firstRowFirstColumn="0" w:firstRowLastColumn="0" w:lastRowFirstColumn="0" w:lastRowLastColumn="0"/>
            <w:tcW w:w="3235" w:type="dxa"/>
          </w:tcPr>
          <w:p w14:paraId="545577C5" w14:textId="77777777" w:rsidR="00F71967" w:rsidRPr="00A45681" w:rsidRDefault="00F71967">
            <w:pPr>
              <w:pStyle w:val="TableText"/>
            </w:pPr>
            <w:r w:rsidRPr="00A45681">
              <w:t>Explant of test electrode (if failed test stimulation)</w:t>
            </w:r>
          </w:p>
        </w:tc>
        <w:tc>
          <w:tcPr>
            <w:tcW w:w="1258" w:type="dxa"/>
            <w:vAlign w:val="center"/>
          </w:tcPr>
          <w:p w14:paraId="6DE0AC1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€ 1,148</w:t>
            </w:r>
          </w:p>
        </w:tc>
        <w:tc>
          <w:tcPr>
            <w:tcW w:w="1619" w:type="dxa"/>
            <w:vAlign w:val="center"/>
          </w:tcPr>
          <w:p w14:paraId="5F36BAE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51AE2EB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€ 12</w:t>
            </w:r>
          </w:p>
        </w:tc>
        <w:tc>
          <w:tcPr>
            <w:tcW w:w="1619" w:type="dxa"/>
          </w:tcPr>
          <w:p w14:paraId="22436F7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96964F1" w14:textId="77777777">
        <w:tc>
          <w:tcPr>
            <w:cnfStyle w:val="001000000000" w:firstRow="0" w:lastRow="0" w:firstColumn="1" w:lastColumn="0" w:oddVBand="0" w:evenVBand="0" w:oddHBand="0" w:evenHBand="0" w:firstRowFirstColumn="0" w:firstRowLastColumn="0" w:lastRowFirstColumn="0" w:lastRowLastColumn="0"/>
            <w:tcW w:w="3235" w:type="dxa"/>
          </w:tcPr>
          <w:p w14:paraId="20A4F535" w14:textId="77777777" w:rsidR="00F71967" w:rsidRPr="00A45681" w:rsidRDefault="00F71967">
            <w:pPr>
              <w:pStyle w:val="TableText"/>
            </w:pPr>
            <w:r w:rsidRPr="00A45681">
              <w:t>Trial leads/extensions</w:t>
            </w:r>
          </w:p>
        </w:tc>
        <w:tc>
          <w:tcPr>
            <w:tcW w:w="1258" w:type="dxa"/>
            <w:vAlign w:val="center"/>
          </w:tcPr>
          <w:p w14:paraId="735FC0D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€ 1,090</w:t>
            </w:r>
          </w:p>
        </w:tc>
        <w:tc>
          <w:tcPr>
            <w:tcW w:w="1619" w:type="dxa"/>
            <w:vAlign w:val="center"/>
          </w:tcPr>
          <w:p w14:paraId="3B7659C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465F781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€ 11</w:t>
            </w:r>
          </w:p>
        </w:tc>
        <w:tc>
          <w:tcPr>
            <w:tcW w:w="1619" w:type="dxa"/>
          </w:tcPr>
          <w:p w14:paraId="578FF9A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F1EF1F5" w14:textId="77777777">
        <w:tc>
          <w:tcPr>
            <w:cnfStyle w:val="001000000000" w:firstRow="0" w:lastRow="0" w:firstColumn="1" w:lastColumn="0" w:oddVBand="0" w:evenVBand="0" w:oddHBand="0" w:evenHBand="0" w:firstRowFirstColumn="0" w:firstRowLastColumn="0" w:lastRowFirstColumn="0" w:lastRowLastColumn="0"/>
            <w:tcW w:w="3235" w:type="dxa"/>
          </w:tcPr>
          <w:p w14:paraId="6B525341" w14:textId="77777777" w:rsidR="00F71967" w:rsidRPr="00A45681" w:rsidRDefault="00F71967">
            <w:pPr>
              <w:pStyle w:val="TableText"/>
            </w:pPr>
            <w:proofErr w:type="spellStart"/>
            <w:r w:rsidRPr="00A45681">
              <w:t>Intellis</w:t>
            </w:r>
            <w:proofErr w:type="spellEnd"/>
            <w:r w:rsidRPr="00A45681">
              <w:t xml:space="preserve"> IPG (</w:t>
            </w:r>
            <w:r>
              <w:t>DTM-SCS</w:t>
            </w:r>
            <w:r w:rsidRPr="00A45681">
              <w:t>)</w:t>
            </w:r>
          </w:p>
        </w:tc>
        <w:tc>
          <w:tcPr>
            <w:tcW w:w="1258" w:type="dxa"/>
            <w:vAlign w:val="center"/>
          </w:tcPr>
          <w:p w14:paraId="5050DF6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€ 17,334</w:t>
            </w:r>
          </w:p>
        </w:tc>
        <w:tc>
          <w:tcPr>
            <w:tcW w:w="1619" w:type="dxa"/>
            <w:vAlign w:val="center"/>
          </w:tcPr>
          <w:p w14:paraId="499800F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w:t>
            </w:r>
          </w:p>
        </w:tc>
        <w:tc>
          <w:tcPr>
            <w:tcW w:w="1619" w:type="dxa"/>
            <w:vAlign w:val="center"/>
          </w:tcPr>
          <w:p w14:paraId="676A99B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w:t>
            </w:r>
          </w:p>
        </w:tc>
        <w:tc>
          <w:tcPr>
            <w:tcW w:w="1619" w:type="dxa"/>
          </w:tcPr>
          <w:p w14:paraId="7F97D6F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E2722F5" w14:textId="77777777">
        <w:tc>
          <w:tcPr>
            <w:cnfStyle w:val="001000000000" w:firstRow="0" w:lastRow="0" w:firstColumn="1" w:lastColumn="0" w:oddVBand="0" w:evenVBand="0" w:oddHBand="0" w:evenHBand="0" w:firstRowFirstColumn="0" w:firstRowLastColumn="0" w:lastRowFirstColumn="0" w:lastRowLastColumn="0"/>
            <w:tcW w:w="3235" w:type="dxa"/>
          </w:tcPr>
          <w:p w14:paraId="61354C99" w14:textId="77777777" w:rsidR="00F71967" w:rsidRPr="00A45681" w:rsidRDefault="00F71967">
            <w:pPr>
              <w:pStyle w:val="TableText"/>
            </w:pPr>
            <w:r w:rsidRPr="00A45681">
              <w:t>Leads/extensions</w:t>
            </w:r>
          </w:p>
        </w:tc>
        <w:tc>
          <w:tcPr>
            <w:tcW w:w="1258" w:type="dxa"/>
            <w:vAlign w:val="center"/>
          </w:tcPr>
          <w:p w14:paraId="54C8688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€ 1,090</w:t>
            </w:r>
          </w:p>
        </w:tc>
        <w:tc>
          <w:tcPr>
            <w:tcW w:w="1619" w:type="dxa"/>
            <w:vAlign w:val="center"/>
          </w:tcPr>
          <w:p w14:paraId="275E6F1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6CD9793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€ 180</w:t>
            </w:r>
          </w:p>
        </w:tc>
        <w:tc>
          <w:tcPr>
            <w:tcW w:w="1619" w:type="dxa"/>
          </w:tcPr>
          <w:p w14:paraId="6E0CDA7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DFE54D3" w14:textId="77777777">
        <w:tc>
          <w:tcPr>
            <w:cnfStyle w:val="001000000000" w:firstRow="0" w:lastRow="0" w:firstColumn="1" w:lastColumn="0" w:oddVBand="0" w:evenVBand="0" w:oddHBand="0" w:evenHBand="0" w:firstRowFirstColumn="0" w:firstRowLastColumn="0" w:lastRowFirstColumn="0" w:lastRowLastColumn="0"/>
            <w:tcW w:w="3235" w:type="dxa"/>
          </w:tcPr>
          <w:p w14:paraId="3E7515B4" w14:textId="77777777" w:rsidR="00F71967" w:rsidRPr="00A45681" w:rsidRDefault="00F71967">
            <w:pPr>
              <w:pStyle w:val="TableText"/>
            </w:pPr>
            <w:r w:rsidRPr="00A45681">
              <w:t>Patient recharger</w:t>
            </w:r>
          </w:p>
        </w:tc>
        <w:tc>
          <w:tcPr>
            <w:tcW w:w="1258" w:type="dxa"/>
            <w:vAlign w:val="center"/>
          </w:tcPr>
          <w:p w14:paraId="2CCE683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€ 1,486</w:t>
            </w:r>
          </w:p>
        </w:tc>
        <w:tc>
          <w:tcPr>
            <w:tcW w:w="1619" w:type="dxa"/>
            <w:vAlign w:val="center"/>
          </w:tcPr>
          <w:p w14:paraId="0581E1C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62C02FB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€ 11</w:t>
            </w:r>
          </w:p>
        </w:tc>
        <w:tc>
          <w:tcPr>
            <w:tcW w:w="1619" w:type="dxa"/>
          </w:tcPr>
          <w:p w14:paraId="01F2785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58779D55" w14:textId="77777777">
        <w:tc>
          <w:tcPr>
            <w:cnfStyle w:val="001000000000" w:firstRow="0" w:lastRow="0" w:firstColumn="1" w:lastColumn="0" w:oddVBand="0" w:evenVBand="0" w:oddHBand="0" w:evenHBand="0" w:firstRowFirstColumn="0" w:firstRowLastColumn="0" w:lastRowFirstColumn="0" w:lastRowLastColumn="0"/>
            <w:tcW w:w="3235" w:type="dxa"/>
          </w:tcPr>
          <w:p w14:paraId="31091299" w14:textId="77777777" w:rsidR="00F71967" w:rsidRPr="00A45681" w:rsidRDefault="00F71967">
            <w:pPr>
              <w:pStyle w:val="TableText"/>
            </w:pPr>
            <w:r w:rsidRPr="00A45681">
              <w:t>Patient programmer</w:t>
            </w:r>
          </w:p>
        </w:tc>
        <w:tc>
          <w:tcPr>
            <w:tcW w:w="1258" w:type="dxa"/>
            <w:vAlign w:val="center"/>
          </w:tcPr>
          <w:p w14:paraId="441B504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€ 597</w:t>
            </w:r>
          </w:p>
        </w:tc>
        <w:tc>
          <w:tcPr>
            <w:tcW w:w="1619" w:type="dxa"/>
            <w:vAlign w:val="center"/>
          </w:tcPr>
          <w:p w14:paraId="66E44FD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5FD8024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€ 15</w:t>
            </w:r>
          </w:p>
        </w:tc>
        <w:tc>
          <w:tcPr>
            <w:tcW w:w="1619" w:type="dxa"/>
          </w:tcPr>
          <w:p w14:paraId="7CDD7FA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A3EFD0A" w14:textId="77777777">
        <w:tc>
          <w:tcPr>
            <w:cnfStyle w:val="001000000000" w:firstRow="0" w:lastRow="0" w:firstColumn="1" w:lastColumn="0" w:oddVBand="0" w:evenVBand="0" w:oddHBand="0" w:evenHBand="0" w:firstRowFirstColumn="0" w:firstRowLastColumn="0" w:lastRowFirstColumn="0" w:lastRowLastColumn="0"/>
            <w:tcW w:w="3235" w:type="dxa"/>
          </w:tcPr>
          <w:p w14:paraId="7FDBBA64" w14:textId="77777777" w:rsidR="00F71967" w:rsidRPr="00A45681" w:rsidRDefault="00F71967">
            <w:pPr>
              <w:pStyle w:val="TableText"/>
            </w:pPr>
            <w:r w:rsidRPr="00A45681">
              <w:t>Physical rehab</w:t>
            </w:r>
          </w:p>
        </w:tc>
        <w:tc>
          <w:tcPr>
            <w:tcW w:w="1258" w:type="dxa"/>
            <w:vAlign w:val="center"/>
          </w:tcPr>
          <w:p w14:paraId="2B8A797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€ 56</w:t>
            </w:r>
          </w:p>
        </w:tc>
        <w:tc>
          <w:tcPr>
            <w:tcW w:w="1619" w:type="dxa"/>
            <w:vAlign w:val="center"/>
          </w:tcPr>
          <w:p w14:paraId="7A630D6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4506A26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w:t>
            </w:r>
          </w:p>
        </w:tc>
        <w:tc>
          <w:tcPr>
            <w:tcW w:w="1619" w:type="dxa"/>
          </w:tcPr>
          <w:p w14:paraId="2A903B4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15C6FD44" w14:textId="77777777">
        <w:tc>
          <w:tcPr>
            <w:cnfStyle w:val="001000000000" w:firstRow="0" w:lastRow="0" w:firstColumn="1" w:lastColumn="0" w:oddVBand="0" w:evenVBand="0" w:oddHBand="0" w:evenHBand="0" w:firstRowFirstColumn="0" w:firstRowLastColumn="0" w:lastRowFirstColumn="0" w:lastRowLastColumn="0"/>
            <w:tcW w:w="3235" w:type="dxa"/>
          </w:tcPr>
          <w:p w14:paraId="5D7E5833" w14:textId="77777777" w:rsidR="00F71967" w:rsidRPr="00A45681" w:rsidRDefault="00F71967">
            <w:pPr>
              <w:pStyle w:val="TableText"/>
            </w:pPr>
            <w:r w:rsidRPr="00A45681">
              <w:t>GP</w:t>
            </w:r>
          </w:p>
        </w:tc>
        <w:tc>
          <w:tcPr>
            <w:tcW w:w="1258" w:type="dxa"/>
            <w:vAlign w:val="center"/>
          </w:tcPr>
          <w:p w14:paraId="530A883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€ 32</w:t>
            </w:r>
          </w:p>
        </w:tc>
        <w:tc>
          <w:tcPr>
            <w:tcW w:w="1619" w:type="dxa"/>
            <w:vAlign w:val="center"/>
          </w:tcPr>
          <w:p w14:paraId="5617E70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6E0754A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€ 0</w:t>
            </w:r>
          </w:p>
        </w:tc>
        <w:tc>
          <w:tcPr>
            <w:tcW w:w="1619" w:type="dxa"/>
          </w:tcPr>
          <w:p w14:paraId="2A478BB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5D5D0DA" w14:textId="77777777">
        <w:tc>
          <w:tcPr>
            <w:cnfStyle w:val="001000000000" w:firstRow="0" w:lastRow="0" w:firstColumn="1" w:lastColumn="0" w:oddVBand="0" w:evenVBand="0" w:oddHBand="0" w:evenHBand="0" w:firstRowFirstColumn="0" w:firstRowLastColumn="0" w:lastRowFirstColumn="0" w:lastRowLastColumn="0"/>
            <w:tcW w:w="3235" w:type="dxa"/>
          </w:tcPr>
          <w:p w14:paraId="0DEEC5C4" w14:textId="77777777" w:rsidR="00F71967" w:rsidRPr="00A45681" w:rsidRDefault="00F71967">
            <w:pPr>
              <w:pStyle w:val="TableText"/>
            </w:pPr>
            <w:r w:rsidRPr="00A45681">
              <w:t>Outpatient</w:t>
            </w:r>
          </w:p>
        </w:tc>
        <w:tc>
          <w:tcPr>
            <w:tcW w:w="1258" w:type="dxa"/>
            <w:vAlign w:val="center"/>
          </w:tcPr>
          <w:p w14:paraId="1C259C3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€ 33</w:t>
            </w:r>
          </w:p>
        </w:tc>
        <w:tc>
          <w:tcPr>
            <w:tcW w:w="1619" w:type="dxa"/>
            <w:vAlign w:val="center"/>
          </w:tcPr>
          <w:p w14:paraId="69E5A8D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2A8A296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€ 0</w:t>
            </w:r>
          </w:p>
        </w:tc>
        <w:tc>
          <w:tcPr>
            <w:tcW w:w="1619" w:type="dxa"/>
          </w:tcPr>
          <w:p w14:paraId="116409B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63B2D296" w14:textId="77777777">
        <w:tc>
          <w:tcPr>
            <w:cnfStyle w:val="001000000000" w:firstRow="0" w:lastRow="0" w:firstColumn="1" w:lastColumn="0" w:oddVBand="0" w:evenVBand="0" w:oddHBand="0" w:evenHBand="0" w:firstRowFirstColumn="0" w:firstRowLastColumn="0" w:lastRowFirstColumn="0" w:lastRowLastColumn="0"/>
            <w:tcW w:w="3235" w:type="dxa"/>
          </w:tcPr>
          <w:p w14:paraId="36BA2273" w14:textId="77777777" w:rsidR="00F71967" w:rsidRPr="00A45681" w:rsidRDefault="00F71967">
            <w:pPr>
              <w:pStyle w:val="TableText"/>
            </w:pPr>
            <w:r w:rsidRPr="00A45681">
              <w:t>Inpatient</w:t>
            </w:r>
          </w:p>
        </w:tc>
        <w:tc>
          <w:tcPr>
            <w:tcW w:w="1258" w:type="dxa"/>
            <w:vAlign w:val="center"/>
          </w:tcPr>
          <w:p w14:paraId="1DC854C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€ 1,375</w:t>
            </w:r>
          </w:p>
        </w:tc>
        <w:tc>
          <w:tcPr>
            <w:tcW w:w="1619" w:type="dxa"/>
            <w:vAlign w:val="center"/>
          </w:tcPr>
          <w:p w14:paraId="2969C05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5905C11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€ 14</w:t>
            </w:r>
          </w:p>
        </w:tc>
        <w:tc>
          <w:tcPr>
            <w:tcW w:w="1619" w:type="dxa"/>
          </w:tcPr>
          <w:p w14:paraId="4CCCB11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3BCD9471" w14:textId="77777777">
        <w:tc>
          <w:tcPr>
            <w:cnfStyle w:val="001000000000" w:firstRow="0" w:lastRow="0" w:firstColumn="1" w:lastColumn="0" w:oddVBand="0" w:evenVBand="0" w:oddHBand="0" w:evenHBand="0" w:firstRowFirstColumn="0" w:firstRowLastColumn="0" w:lastRowFirstColumn="0" w:lastRowLastColumn="0"/>
            <w:tcW w:w="3235" w:type="dxa"/>
          </w:tcPr>
          <w:p w14:paraId="5E45C1C5" w14:textId="77777777" w:rsidR="00F71967" w:rsidRPr="00A45681" w:rsidRDefault="00F71967">
            <w:pPr>
              <w:pStyle w:val="TableText"/>
            </w:pPr>
            <w:r w:rsidRPr="00A45681">
              <w:t>Spinal injection</w:t>
            </w:r>
          </w:p>
        </w:tc>
        <w:tc>
          <w:tcPr>
            <w:tcW w:w="1258" w:type="dxa"/>
            <w:vAlign w:val="center"/>
          </w:tcPr>
          <w:p w14:paraId="3527976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€ 950</w:t>
            </w:r>
          </w:p>
        </w:tc>
        <w:tc>
          <w:tcPr>
            <w:tcW w:w="1619" w:type="dxa"/>
            <w:vAlign w:val="center"/>
          </w:tcPr>
          <w:p w14:paraId="4AE744E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254AEB2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€ 10</w:t>
            </w:r>
          </w:p>
        </w:tc>
        <w:tc>
          <w:tcPr>
            <w:tcW w:w="1619" w:type="dxa"/>
          </w:tcPr>
          <w:p w14:paraId="462CB2A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AE133B3" w14:textId="77777777">
        <w:tc>
          <w:tcPr>
            <w:cnfStyle w:val="001000000000" w:firstRow="0" w:lastRow="0" w:firstColumn="1" w:lastColumn="0" w:oddVBand="0" w:evenVBand="0" w:oddHBand="0" w:evenHBand="0" w:firstRowFirstColumn="0" w:firstRowLastColumn="0" w:lastRowFirstColumn="0" w:lastRowLastColumn="0"/>
            <w:tcW w:w="3235" w:type="dxa"/>
          </w:tcPr>
          <w:p w14:paraId="58C4979A" w14:textId="77777777" w:rsidR="00F71967" w:rsidRPr="00A45681" w:rsidRDefault="00F71967">
            <w:pPr>
              <w:pStyle w:val="TableText"/>
            </w:pPr>
            <w:r w:rsidRPr="00A45681">
              <w:t>nurse</w:t>
            </w:r>
          </w:p>
        </w:tc>
        <w:tc>
          <w:tcPr>
            <w:tcW w:w="1258" w:type="dxa"/>
            <w:vAlign w:val="center"/>
          </w:tcPr>
          <w:p w14:paraId="08F8E60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€ 10</w:t>
            </w:r>
          </w:p>
        </w:tc>
        <w:tc>
          <w:tcPr>
            <w:tcW w:w="1619" w:type="dxa"/>
            <w:vAlign w:val="center"/>
          </w:tcPr>
          <w:p w14:paraId="4F9CA64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47A2E90C"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€ 0</w:t>
            </w:r>
          </w:p>
        </w:tc>
        <w:tc>
          <w:tcPr>
            <w:tcW w:w="1619" w:type="dxa"/>
          </w:tcPr>
          <w:p w14:paraId="4FD35E9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4FD608AC" w14:textId="77777777">
        <w:tc>
          <w:tcPr>
            <w:cnfStyle w:val="001000000000" w:firstRow="0" w:lastRow="0" w:firstColumn="1" w:lastColumn="0" w:oddVBand="0" w:evenVBand="0" w:oddHBand="0" w:evenHBand="0" w:firstRowFirstColumn="0" w:firstRowLastColumn="0" w:lastRowFirstColumn="0" w:lastRowLastColumn="0"/>
            <w:tcW w:w="3235" w:type="dxa"/>
          </w:tcPr>
          <w:p w14:paraId="2C89609A" w14:textId="77777777" w:rsidR="00F71967" w:rsidRPr="00A45681" w:rsidRDefault="00F71967">
            <w:pPr>
              <w:pStyle w:val="TableText"/>
            </w:pPr>
            <w:r w:rsidRPr="00A45681">
              <w:t>Psychological rehab</w:t>
            </w:r>
          </w:p>
        </w:tc>
        <w:tc>
          <w:tcPr>
            <w:tcW w:w="1258" w:type="dxa"/>
            <w:vAlign w:val="center"/>
          </w:tcPr>
          <w:p w14:paraId="2D4BB01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€ 87</w:t>
            </w:r>
          </w:p>
        </w:tc>
        <w:tc>
          <w:tcPr>
            <w:tcW w:w="1619" w:type="dxa"/>
            <w:vAlign w:val="center"/>
          </w:tcPr>
          <w:p w14:paraId="4BB01CE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3E51B7F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w:t>
            </w:r>
          </w:p>
        </w:tc>
        <w:tc>
          <w:tcPr>
            <w:tcW w:w="1619" w:type="dxa"/>
          </w:tcPr>
          <w:p w14:paraId="600C383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1FFDAEB8" w14:textId="77777777">
        <w:tc>
          <w:tcPr>
            <w:cnfStyle w:val="001000000000" w:firstRow="0" w:lastRow="0" w:firstColumn="1" w:lastColumn="0" w:oddVBand="0" w:evenVBand="0" w:oddHBand="0" w:evenHBand="0" w:firstRowFirstColumn="0" w:firstRowLastColumn="0" w:lastRowFirstColumn="0" w:lastRowLastColumn="0"/>
            <w:tcW w:w="3235" w:type="dxa"/>
          </w:tcPr>
          <w:p w14:paraId="61179522" w14:textId="77777777" w:rsidR="00F71967" w:rsidRPr="00A45681" w:rsidRDefault="00F71967">
            <w:pPr>
              <w:pStyle w:val="TableText"/>
            </w:pPr>
            <w:r w:rsidRPr="00A45681">
              <w:t>Cost per device re-programming visit</w:t>
            </w:r>
          </w:p>
        </w:tc>
        <w:tc>
          <w:tcPr>
            <w:tcW w:w="1258" w:type="dxa"/>
            <w:vAlign w:val="center"/>
          </w:tcPr>
          <w:p w14:paraId="60C133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€ 56</w:t>
            </w:r>
          </w:p>
        </w:tc>
        <w:tc>
          <w:tcPr>
            <w:tcW w:w="1619" w:type="dxa"/>
            <w:vAlign w:val="center"/>
          </w:tcPr>
          <w:p w14:paraId="6EE9985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€ 96</w:t>
            </w:r>
          </w:p>
        </w:tc>
        <w:tc>
          <w:tcPr>
            <w:tcW w:w="1619" w:type="dxa"/>
            <w:vAlign w:val="center"/>
          </w:tcPr>
          <w:p w14:paraId="12864FE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w:t>
            </w:r>
          </w:p>
        </w:tc>
        <w:tc>
          <w:tcPr>
            <w:tcW w:w="1619" w:type="dxa"/>
          </w:tcPr>
          <w:p w14:paraId="45B3DBA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7D403E85" w14:textId="77777777">
        <w:tc>
          <w:tcPr>
            <w:cnfStyle w:val="001000000000" w:firstRow="0" w:lastRow="0" w:firstColumn="1" w:lastColumn="0" w:oddVBand="0" w:evenVBand="0" w:oddHBand="0" w:evenHBand="0" w:firstRowFirstColumn="0" w:firstRowLastColumn="0" w:lastRowFirstColumn="0" w:lastRowLastColumn="0"/>
            <w:tcW w:w="3235" w:type="dxa"/>
          </w:tcPr>
          <w:p w14:paraId="62248CA7" w14:textId="77777777" w:rsidR="00F71967" w:rsidRPr="00A45681" w:rsidRDefault="00F71967">
            <w:pPr>
              <w:pStyle w:val="TableText"/>
            </w:pPr>
            <w:r w:rsidRPr="00A45681">
              <w:t>% reduction in CMM costs post 24 months (CMM only)</w:t>
            </w:r>
          </w:p>
        </w:tc>
        <w:tc>
          <w:tcPr>
            <w:tcW w:w="1258" w:type="dxa"/>
            <w:vAlign w:val="center"/>
          </w:tcPr>
          <w:p w14:paraId="2F34CB4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€ 0</w:t>
            </w:r>
          </w:p>
        </w:tc>
        <w:tc>
          <w:tcPr>
            <w:tcW w:w="1619" w:type="dxa"/>
            <w:vAlign w:val="center"/>
          </w:tcPr>
          <w:p w14:paraId="1766DF6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€ 332</w:t>
            </w:r>
          </w:p>
        </w:tc>
        <w:tc>
          <w:tcPr>
            <w:tcW w:w="1619" w:type="dxa"/>
            <w:vAlign w:val="center"/>
          </w:tcPr>
          <w:p w14:paraId="6096056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€ 2,128</w:t>
            </w:r>
          </w:p>
        </w:tc>
        <w:tc>
          <w:tcPr>
            <w:tcW w:w="1619" w:type="dxa"/>
          </w:tcPr>
          <w:p w14:paraId="765A321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548857BC" w14:textId="77777777">
        <w:tc>
          <w:tcPr>
            <w:cnfStyle w:val="001000000000" w:firstRow="0" w:lastRow="0" w:firstColumn="1" w:lastColumn="0" w:oddVBand="0" w:evenVBand="0" w:oddHBand="0" w:evenHBand="0" w:firstRowFirstColumn="0" w:firstRowLastColumn="0" w:lastRowFirstColumn="0" w:lastRowLastColumn="0"/>
            <w:tcW w:w="3235" w:type="dxa"/>
          </w:tcPr>
          <w:p w14:paraId="24AB6DED" w14:textId="77777777" w:rsidR="00F71967" w:rsidRPr="00A45681" w:rsidRDefault="00F71967">
            <w:pPr>
              <w:pStyle w:val="TableText"/>
            </w:pPr>
            <w:r w:rsidRPr="00A45681">
              <w:t xml:space="preserve">Mean drug cost CMM (6 </w:t>
            </w:r>
            <w:proofErr w:type="spellStart"/>
            <w:r w:rsidRPr="00A45681">
              <w:t>mo</w:t>
            </w:r>
            <w:proofErr w:type="spellEnd"/>
            <w:r w:rsidRPr="00A45681">
              <w:t>)</w:t>
            </w:r>
          </w:p>
        </w:tc>
        <w:tc>
          <w:tcPr>
            <w:tcW w:w="1258" w:type="dxa"/>
            <w:vAlign w:val="center"/>
          </w:tcPr>
          <w:p w14:paraId="5FA4EF7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€ 997</w:t>
            </w:r>
          </w:p>
        </w:tc>
        <w:tc>
          <w:tcPr>
            <w:tcW w:w="1619" w:type="dxa"/>
            <w:vAlign w:val="center"/>
          </w:tcPr>
          <w:p w14:paraId="5582B3C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€ 2</w:t>
            </w:r>
          </w:p>
        </w:tc>
        <w:tc>
          <w:tcPr>
            <w:tcW w:w="1619" w:type="dxa"/>
            <w:vAlign w:val="center"/>
          </w:tcPr>
          <w:p w14:paraId="1238424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€ 421</w:t>
            </w:r>
          </w:p>
        </w:tc>
        <w:tc>
          <w:tcPr>
            <w:tcW w:w="1619" w:type="dxa"/>
          </w:tcPr>
          <w:p w14:paraId="13523A0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0F9616F6" w14:textId="77777777">
        <w:tc>
          <w:tcPr>
            <w:cnfStyle w:val="001000000000" w:firstRow="0" w:lastRow="0" w:firstColumn="1" w:lastColumn="0" w:oddVBand="0" w:evenVBand="0" w:oddHBand="0" w:evenHBand="0" w:firstRowFirstColumn="0" w:firstRowLastColumn="0" w:lastRowFirstColumn="0" w:lastRowLastColumn="0"/>
            <w:tcW w:w="3235" w:type="dxa"/>
          </w:tcPr>
          <w:p w14:paraId="0D9AAE8D" w14:textId="77777777" w:rsidR="00F71967" w:rsidRPr="00A45681" w:rsidRDefault="00F71967">
            <w:pPr>
              <w:pStyle w:val="TableText"/>
            </w:pPr>
            <w:r w:rsidRPr="00A45681">
              <w:t xml:space="preserve">Mean drug cost </w:t>
            </w:r>
            <w:r>
              <w:t>DTM-SCS</w:t>
            </w:r>
            <w:r w:rsidRPr="00A45681">
              <w:t xml:space="preserve"> (24 </w:t>
            </w:r>
            <w:proofErr w:type="spellStart"/>
            <w:r w:rsidRPr="00A45681">
              <w:t>mo</w:t>
            </w:r>
            <w:proofErr w:type="spellEnd"/>
            <w:r w:rsidRPr="00A45681">
              <w:t>)</w:t>
            </w:r>
          </w:p>
        </w:tc>
        <w:tc>
          <w:tcPr>
            <w:tcW w:w="1258" w:type="dxa"/>
            <w:vAlign w:val="center"/>
          </w:tcPr>
          <w:p w14:paraId="0227163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€ 383</w:t>
            </w:r>
          </w:p>
        </w:tc>
        <w:tc>
          <w:tcPr>
            <w:tcW w:w="1619" w:type="dxa"/>
            <w:vAlign w:val="center"/>
          </w:tcPr>
          <w:p w14:paraId="308CF2C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€ 16</w:t>
            </w:r>
          </w:p>
        </w:tc>
        <w:tc>
          <w:tcPr>
            <w:tcW w:w="1619" w:type="dxa"/>
            <w:vAlign w:val="center"/>
          </w:tcPr>
          <w:p w14:paraId="2A4ACD9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213C3E">
              <w:t>€ 24</w:t>
            </w:r>
          </w:p>
        </w:tc>
        <w:tc>
          <w:tcPr>
            <w:tcW w:w="1619" w:type="dxa"/>
          </w:tcPr>
          <w:p w14:paraId="12BD9F5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Gamma</w:t>
            </w:r>
          </w:p>
        </w:tc>
      </w:tr>
      <w:tr w:rsidR="00F71967" w:rsidRPr="00A45681" w14:paraId="35C68198" w14:textId="77777777">
        <w:tc>
          <w:tcPr>
            <w:cnfStyle w:val="001000000000" w:firstRow="0" w:lastRow="0" w:firstColumn="1" w:lastColumn="0" w:oddVBand="0" w:evenVBand="0" w:oddHBand="0" w:evenHBand="0" w:firstRowFirstColumn="0" w:firstRowLastColumn="0" w:lastRowFirstColumn="0" w:lastRowLastColumn="0"/>
            <w:tcW w:w="3235" w:type="dxa"/>
          </w:tcPr>
          <w:p w14:paraId="0BFB8CC0" w14:textId="77777777" w:rsidR="00F71967" w:rsidRPr="00A45681" w:rsidRDefault="00F71967">
            <w:pPr>
              <w:pStyle w:val="TableText"/>
            </w:pPr>
            <w:r w:rsidRPr="00A45681">
              <w:t>% drug use CMM</w:t>
            </w:r>
          </w:p>
        </w:tc>
        <w:tc>
          <w:tcPr>
            <w:tcW w:w="1258" w:type="dxa"/>
          </w:tcPr>
          <w:p w14:paraId="4C5349C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87.7%</w:t>
            </w:r>
          </w:p>
        </w:tc>
        <w:tc>
          <w:tcPr>
            <w:tcW w:w="1619" w:type="dxa"/>
          </w:tcPr>
          <w:p w14:paraId="3241978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50</w:t>
            </w:r>
          </w:p>
        </w:tc>
        <w:tc>
          <w:tcPr>
            <w:tcW w:w="1619" w:type="dxa"/>
          </w:tcPr>
          <w:p w14:paraId="195F002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7</w:t>
            </w:r>
          </w:p>
        </w:tc>
        <w:tc>
          <w:tcPr>
            <w:tcW w:w="1619" w:type="dxa"/>
          </w:tcPr>
          <w:p w14:paraId="6C9546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67771BAF" w14:textId="77777777">
        <w:tc>
          <w:tcPr>
            <w:cnfStyle w:val="001000000000" w:firstRow="0" w:lastRow="0" w:firstColumn="1" w:lastColumn="0" w:oddVBand="0" w:evenVBand="0" w:oddHBand="0" w:evenHBand="0" w:firstRowFirstColumn="0" w:firstRowLastColumn="0" w:lastRowFirstColumn="0" w:lastRowLastColumn="0"/>
            <w:tcW w:w="3235" w:type="dxa"/>
          </w:tcPr>
          <w:p w14:paraId="1B667704" w14:textId="77777777" w:rsidR="00F71967" w:rsidRPr="00A45681" w:rsidRDefault="00F71967">
            <w:pPr>
              <w:pStyle w:val="TableText"/>
            </w:pPr>
            <w:r w:rsidRPr="00A45681">
              <w:t xml:space="preserve">% drug use </w:t>
            </w:r>
            <w:r>
              <w:t>DTM-SCS</w:t>
            </w:r>
          </w:p>
        </w:tc>
        <w:tc>
          <w:tcPr>
            <w:tcW w:w="1258" w:type="dxa"/>
          </w:tcPr>
          <w:p w14:paraId="44F0A34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88.2%</w:t>
            </w:r>
          </w:p>
        </w:tc>
        <w:tc>
          <w:tcPr>
            <w:tcW w:w="1619" w:type="dxa"/>
          </w:tcPr>
          <w:p w14:paraId="5EB4B7E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45</w:t>
            </w:r>
          </w:p>
        </w:tc>
        <w:tc>
          <w:tcPr>
            <w:tcW w:w="1619" w:type="dxa"/>
          </w:tcPr>
          <w:p w14:paraId="5600F6D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6</w:t>
            </w:r>
          </w:p>
        </w:tc>
        <w:tc>
          <w:tcPr>
            <w:tcW w:w="1619" w:type="dxa"/>
          </w:tcPr>
          <w:p w14:paraId="7E0A2D4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8FDA6DE" w14:textId="77777777">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9D9D9" w:themeFill="background1" w:themeFillShade="D9"/>
          </w:tcPr>
          <w:p w14:paraId="5F6DF931" w14:textId="77777777" w:rsidR="00F71967" w:rsidRPr="00A45681" w:rsidRDefault="00F71967">
            <w:pPr>
              <w:pStyle w:val="TableText"/>
            </w:pPr>
            <w:r w:rsidRPr="00A45681">
              <w:t>Utility inputs</w:t>
            </w:r>
          </w:p>
        </w:tc>
      </w:tr>
      <w:tr w:rsidR="00F71967" w:rsidRPr="00A45681" w14:paraId="686FCEB9" w14:textId="77777777">
        <w:tc>
          <w:tcPr>
            <w:cnfStyle w:val="001000000000" w:firstRow="0" w:lastRow="0" w:firstColumn="1" w:lastColumn="0" w:oddVBand="0" w:evenVBand="0" w:oddHBand="0" w:evenHBand="0" w:firstRowFirstColumn="0" w:firstRowLastColumn="0" w:lastRowFirstColumn="0" w:lastRowLastColumn="0"/>
            <w:tcW w:w="3235" w:type="dxa"/>
          </w:tcPr>
          <w:p w14:paraId="55F752DC" w14:textId="77777777" w:rsidR="00F71967" w:rsidRPr="00A45681" w:rsidRDefault="00F71967">
            <w:pPr>
              <w:pStyle w:val="TableText"/>
            </w:pPr>
            <w:r w:rsidRPr="00A45681">
              <w:t>Optimal/profound pain relief without complication</w:t>
            </w:r>
          </w:p>
        </w:tc>
        <w:tc>
          <w:tcPr>
            <w:tcW w:w="1258" w:type="dxa"/>
          </w:tcPr>
          <w:p w14:paraId="0C32B55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0.74</w:t>
            </w:r>
          </w:p>
        </w:tc>
        <w:tc>
          <w:tcPr>
            <w:tcW w:w="1619" w:type="dxa"/>
          </w:tcPr>
          <w:p w14:paraId="10628D6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w:t>
            </w:r>
            <w:r>
              <w:t>6</w:t>
            </w:r>
          </w:p>
        </w:tc>
        <w:tc>
          <w:tcPr>
            <w:tcW w:w="1619" w:type="dxa"/>
          </w:tcPr>
          <w:p w14:paraId="2FD7DCB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r>
              <w:t>6</w:t>
            </w:r>
          </w:p>
        </w:tc>
        <w:tc>
          <w:tcPr>
            <w:tcW w:w="1619" w:type="dxa"/>
          </w:tcPr>
          <w:p w14:paraId="073A738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7F6CD5E8" w14:textId="77777777">
        <w:tc>
          <w:tcPr>
            <w:cnfStyle w:val="001000000000" w:firstRow="0" w:lastRow="0" w:firstColumn="1" w:lastColumn="0" w:oddVBand="0" w:evenVBand="0" w:oddHBand="0" w:evenHBand="0" w:firstRowFirstColumn="0" w:firstRowLastColumn="0" w:lastRowFirstColumn="0" w:lastRowLastColumn="0"/>
            <w:tcW w:w="3235" w:type="dxa"/>
          </w:tcPr>
          <w:p w14:paraId="245A7BA1" w14:textId="77777777" w:rsidR="00F71967" w:rsidRPr="00A45681" w:rsidRDefault="00F71967">
            <w:pPr>
              <w:pStyle w:val="TableText"/>
            </w:pPr>
            <w:r w:rsidRPr="00A45681">
              <w:t>Optimal/profound pain relief with complication</w:t>
            </w:r>
          </w:p>
        </w:tc>
        <w:tc>
          <w:tcPr>
            <w:tcW w:w="1258" w:type="dxa"/>
          </w:tcPr>
          <w:p w14:paraId="3E45A2F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0.69</w:t>
            </w:r>
          </w:p>
        </w:tc>
        <w:tc>
          <w:tcPr>
            <w:tcW w:w="1619" w:type="dxa"/>
          </w:tcPr>
          <w:p w14:paraId="1089782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5</w:t>
            </w:r>
          </w:p>
        </w:tc>
        <w:tc>
          <w:tcPr>
            <w:tcW w:w="1619" w:type="dxa"/>
          </w:tcPr>
          <w:p w14:paraId="04D45B2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r>
              <w:t>1</w:t>
            </w:r>
          </w:p>
        </w:tc>
        <w:tc>
          <w:tcPr>
            <w:tcW w:w="1619" w:type="dxa"/>
          </w:tcPr>
          <w:p w14:paraId="61B88901"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1F64C424" w14:textId="77777777">
        <w:tc>
          <w:tcPr>
            <w:cnfStyle w:val="001000000000" w:firstRow="0" w:lastRow="0" w:firstColumn="1" w:lastColumn="0" w:oddVBand="0" w:evenVBand="0" w:oddHBand="0" w:evenHBand="0" w:firstRowFirstColumn="0" w:firstRowLastColumn="0" w:lastRowFirstColumn="0" w:lastRowLastColumn="0"/>
            <w:tcW w:w="3235" w:type="dxa"/>
          </w:tcPr>
          <w:p w14:paraId="0D5730BA" w14:textId="77777777" w:rsidR="00F71967" w:rsidRPr="00A45681" w:rsidRDefault="00F71967">
            <w:pPr>
              <w:pStyle w:val="TableText"/>
            </w:pPr>
            <w:r w:rsidRPr="00A45681">
              <w:t>Sub-optimal pain relief</w:t>
            </w:r>
          </w:p>
        </w:tc>
        <w:tc>
          <w:tcPr>
            <w:tcW w:w="1258" w:type="dxa"/>
          </w:tcPr>
          <w:p w14:paraId="64F5046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0.54</w:t>
            </w:r>
          </w:p>
        </w:tc>
        <w:tc>
          <w:tcPr>
            <w:tcW w:w="1619" w:type="dxa"/>
          </w:tcPr>
          <w:p w14:paraId="26B672B5"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4.0</w:t>
            </w:r>
          </w:p>
        </w:tc>
        <w:tc>
          <w:tcPr>
            <w:tcW w:w="1619" w:type="dxa"/>
          </w:tcPr>
          <w:p w14:paraId="405B3F5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3.4</w:t>
            </w:r>
          </w:p>
        </w:tc>
        <w:tc>
          <w:tcPr>
            <w:tcW w:w="1619" w:type="dxa"/>
          </w:tcPr>
          <w:p w14:paraId="07994E7D"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7F0E8111" w14:textId="77777777">
        <w:tc>
          <w:tcPr>
            <w:cnfStyle w:val="001000000000" w:firstRow="0" w:lastRow="0" w:firstColumn="1" w:lastColumn="0" w:oddVBand="0" w:evenVBand="0" w:oddHBand="0" w:evenHBand="0" w:firstRowFirstColumn="0" w:firstRowLastColumn="0" w:lastRowFirstColumn="0" w:lastRowLastColumn="0"/>
            <w:tcW w:w="3235" w:type="dxa"/>
          </w:tcPr>
          <w:p w14:paraId="77C54B6D" w14:textId="77777777" w:rsidR="00F71967" w:rsidRPr="00A45681" w:rsidRDefault="00F71967">
            <w:pPr>
              <w:pStyle w:val="TableText"/>
            </w:pPr>
            <w:r w:rsidRPr="00A45681">
              <w:t>No pain relief</w:t>
            </w:r>
          </w:p>
        </w:tc>
        <w:tc>
          <w:tcPr>
            <w:tcW w:w="1258" w:type="dxa"/>
          </w:tcPr>
          <w:p w14:paraId="66EB973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0.40</w:t>
            </w:r>
          </w:p>
        </w:tc>
        <w:tc>
          <w:tcPr>
            <w:tcW w:w="1619" w:type="dxa"/>
          </w:tcPr>
          <w:p w14:paraId="77144A14"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w:t>
            </w:r>
            <w:r>
              <w:t>4</w:t>
            </w:r>
          </w:p>
        </w:tc>
        <w:tc>
          <w:tcPr>
            <w:tcW w:w="1619" w:type="dxa"/>
          </w:tcPr>
          <w:p w14:paraId="606AD733"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1</w:t>
            </w:r>
          </w:p>
        </w:tc>
        <w:tc>
          <w:tcPr>
            <w:tcW w:w="1619" w:type="dxa"/>
          </w:tcPr>
          <w:p w14:paraId="7DCEBBF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2721ADF6" w14:textId="77777777">
        <w:tc>
          <w:tcPr>
            <w:cnfStyle w:val="001000000000" w:firstRow="0" w:lastRow="0" w:firstColumn="1" w:lastColumn="0" w:oddVBand="0" w:evenVBand="0" w:oddHBand="0" w:evenHBand="0" w:firstRowFirstColumn="0" w:firstRowLastColumn="0" w:lastRowFirstColumn="0" w:lastRowLastColumn="0"/>
            <w:tcW w:w="3235" w:type="dxa"/>
          </w:tcPr>
          <w:p w14:paraId="6A7A772A" w14:textId="77777777" w:rsidR="00F71967" w:rsidRPr="00A45681" w:rsidRDefault="00F71967">
            <w:pPr>
              <w:pStyle w:val="TableText"/>
            </w:pPr>
            <w:r w:rsidRPr="00A45681">
              <w:t>Profound pain relief without complications</w:t>
            </w:r>
          </w:p>
        </w:tc>
        <w:tc>
          <w:tcPr>
            <w:tcW w:w="1258" w:type="dxa"/>
          </w:tcPr>
          <w:p w14:paraId="773A683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0.78</w:t>
            </w:r>
          </w:p>
        </w:tc>
        <w:tc>
          <w:tcPr>
            <w:tcW w:w="1619" w:type="dxa"/>
          </w:tcPr>
          <w:p w14:paraId="16BBE2CA"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4.0</w:t>
            </w:r>
          </w:p>
        </w:tc>
        <w:tc>
          <w:tcPr>
            <w:tcW w:w="1619" w:type="dxa"/>
          </w:tcPr>
          <w:p w14:paraId="40F821B2"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1.1</w:t>
            </w:r>
          </w:p>
        </w:tc>
        <w:tc>
          <w:tcPr>
            <w:tcW w:w="1619" w:type="dxa"/>
          </w:tcPr>
          <w:p w14:paraId="0A3179FE"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244DFCC1" w14:textId="77777777">
        <w:tc>
          <w:tcPr>
            <w:cnfStyle w:val="001000000000" w:firstRow="0" w:lastRow="0" w:firstColumn="1" w:lastColumn="0" w:oddVBand="0" w:evenVBand="0" w:oddHBand="0" w:evenHBand="0" w:firstRowFirstColumn="0" w:firstRowLastColumn="0" w:lastRowFirstColumn="0" w:lastRowLastColumn="0"/>
            <w:tcW w:w="3235" w:type="dxa"/>
          </w:tcPr>
          <w:p w14:paraId="521B820B" w14:textId="77777777" w:rsidR="00F71967" w:rsidRPr="00A45681" w:rsidRDefault="00F71967">
            <w:pPr>
              <w:pStyle w:val="TableText"/>
            </w:pPr>
            <w:r w:rsidRPr="00A45681">
              <w:t>Profound pain relief with complications</w:t>
            </w:r>
          </w:p>
        </w:tc>
        <w:tc>
          <w:tcPr>
            <w:tcW w:w="1258" w:type="dxa"/>
          </w:tcPr>
          <w:p w14:paraId="0458CB5F"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0.74</w:t>
            </w:r>
          </w:p>
        </w:tc>
        <w:tc>
          <w:tcPr>
            <w:tcW w:w="1619" w:type="dxa"/>
          </w:tcPr>
          <w:p w14:paraId="5D7EBA26"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1.9</w:t>
            </w:r>
          </w:p>
        </w:tc>
        <w:tc>
          <w:tcPr>
            <w:tcW w:w="1619" w:type="dxa"/>
          </w:tcPr>
          <w:p w14:paraId="61B83E50"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0.6</w:t>
            </w:r>
            <w:r>
              <w:t>7</w:t>
            </w:r>
          </w:p>
        </w:tc>
        <w:tc>
          <w:tcPr>
            <w:tcW w:w="1619" w:type="dxa"/>
          </w:tcPr>
          <w:p w14:paraId="743B5C39"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r w:rsidR="00F71967" w:rsidRPr="00A45681" w14:paraId="4BD343F4" w14:textId="77777777">
        <w:tc>
          <w:tcPr>
            <w:cnfStyle w:val="001000000000" w:firstRow="0" w:lastRow="0" w:firstColumn="1" w:lastColumn="0" w:oddVBand="0" w:evenVBand="0" w:oddHBand="0" w:evenHBand="0" w:firstRowFirstColumn="0" w:firstRowLastColumn="0" w:lastRowFirstColumn="0" w:lastRowLastColumn="0"/>
            <w:tcW w:w="3235" w:type="dxa"/>
          </w:tcPr>
          <w:p w14:paraId="5EE6504D" w14:textId="77777777" w:rsidR="00F71967" w:rsidRPr="00A45681" w:rsidRDefault="00F71967">
            <w:pPr>
              <w:pStyle w:val="TableText"/>
            </w:pPr>
            <w:r w:rsidRPr="00A45681">
              <w:t xml:space="preserve">Sub-optimal profound </w:t>
            </w:r>
          </w:p>
        </w:tc>
        <w:tc>
          <w:tcPr>
            <w:tcW w:w="1258" w:type="dxa"/>
          </w:tcPr>
          <w:p w14:paraId="44A3922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0.63</w:t>
            </w:r>
          </w:p>
        </w:tc>
        <w:tc>
          <w:tcPr>
            <w:tcW w:w="1619" w:type="dxa"/>
          </w:tcPr>
          <w:p w14:paraId="522AEFDB"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4.</w:t>
            </w:r>
            <w:r>
              <w:t>1</w:t>
            </w:r>
          </w:p>
        </w:tc>
        <w:tc>
          <w:tcPr>
            <w:tcW w:w="1619" w:type="dxa"/>
          </w:tcPr>
          <w:p w14:paraId="544090E7"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2.</w:t>
            </w:r>
            <w:r>
              <w:t>4</w:t>
            </w:r>
          </w:p>
        </w:tc>
        <w:tc>
          <w:tcPr>
            <w:tcW w:w="1619" w:type="dxa"/>
          </w:tcPr>
          <w:p w14:paraId="4C03E0C8" w14:textId="77777777" w:rsidR="00F71967" w:rsidRPr="00A45681" w:rsidRDefault="00F71967">
            <w:pPr>
              <w:pStyle w:val="TableText"/>
              <w:cnfStyle w:val="000000000000" w:firstRow="0" w:lastRow="0" w:firstColumn="0" w:lastColumn="0" w:oddVBand="0" w:evenVBand="0" w:oddHBand="0" w:evenHBand="0" w:firstRowFirstColumn="0" w:firstRowLastColumn="0" w:lastRowFirstColumn="0" w:lastRowLastColumn="0"/>
            </w:pPr>
            <w:r w:rsidRPr="00A45681">
              <w:t>Beta</w:t>
            </w:r>
          </w:p>
        </w:tc>
      </w:tr>
    </w:tbl>
    <w:p w14:paraId="36B621A9" w14:textId="23518F52" w:rsidR="0020697A" w:rsidRDefault="0020697A">
      <w:pPr>
        <w:spacing w:before="0" w:after="0"/>
        <w:rPr>
          <w:b/>
          <w:bCs/>
          <w:caps/>
        </w:rPr>
      </w:pPr>
      <w:bookmarkStart w:id="52" w:name="_Toc227849532"/>
      <w:bookmarkEnd w:id="52"/>
    </w:p>
    <w:p w14:paraId="42BDBDFB" w14:textId="10FCBF61" w:rsidR="0096458B" w:rsidRPr="0096458B" w:rsidRDefault="005F3B75" w:rsidP="004B6559">
      <w:pPr>
        <w:pStyle w:val="Heading1"/>
      </w:pPr>
      <w:bookmarkStart w:id="53" w:name="_Toc227849609"/>
      <w:bookmarkStart w:id="54" w:name="_Toc227849661"/>
      <w:bookmarkStart w:id="55" w:name="_Toc197964069"/>
      <w:bookmarkStart w:id="56" w:name="_Toc227850347"/>
      <w:bookmarkEnd w:id="53"/>
      <w:bookmarkEnd w:id="54"/>
      <w:r w:rsidRPr="00316E53">
        <w:rPr>
          <w:caps w:val="0"/>
        </w:rPr>
        <w:t xml:space="preserve">Supplementary Material </w:t>
      </w:r>
      <w:r>
        <w:rPr>
          <w:caps w:val="0"/>
        </w:rPr>
        <w:t>References</w:t>
      </w:r>
      <w:r w:rsidRPr="00316E53">
        <w:rPr>
          <w:caps w:val="0"/>
        </w:rPr>
        <w:t xml:space="preserve"> 1</w:t>
      </w:r>
      <w:bookmarkEnd w:id="55"/>
      <w:bookmarkEnd w:id="56"/>
    </w:p>
    <w:p w14:paraId="63E26F53" w14:textId="168E1CDF" w:rsidR="00F71967" w:rsidRPr="00921858" w:rsidRDefault="00F71967" w:rsidP="009A1111">
      <w:pPr>
        <w:ind w:left="567" w:hanging="567"/>
      </w:pPr>
      <w:r w:rsidRPr="00F71967">
        <w:rPr>
          <w:b/>
          <w:bCs/>
          <w:caps/>
        </w:rPr>
        <w:fldChar w:fldCharType="begin"/>
      </w:r>
      <w:r w:rsidRPr="00F71967">
        <w:instrText>ADDIN BB</w:instrText>
      </w:r>
      <w:r w:rsidRPr="00F71967">
        <w:rPr>
          <w:b/>
          <w:bCs/>
          <w:caps/>
        </w:rPr>
        <w:fldChar w:fldCharType="separate"/>
      </w:r>
      <w:r w:rsidRPr="00921858">
        <w:t>1.</w:t>
      </w:r>
      <w:r w:rsidRPr="00F71967">
        <w:tab/>
      </w:r>
      <w:r w:rsidR="00C20133" w:rsidRPr="009A1111">
        <w:t>Kallewaard JW, Billet B, Van Paesschen R et al. European randomized controlled trial evaluating differential target multiplexed spinal cord stimulation and conventional medical management in subjects with persistent back pain ineligible for spine surgery: 24-month results. Eur J Pain. 2024;28(10):1745-1761.</w:t>
      </w:r>
    </w:p>
    <w:p w14:paraId="00D5BD5D" w14:textId="77777777" w:rsidR="00F71967" w:rsidRPr="00F71967" w:rsidRDefault="00F71967" w:rsidP="00F71967">
      <w:pPr>
        <w:pStyle w:val="References"/>
      </w:pPr>
      <w:r w:rsidRPr="00F71967">
        <w:t>2.</w:t>
      </w:r>
      <w:r w:rsidRPr="00F71967">
        <w:tab/>
        <w:t>Taylor RS, Ryan J, O’Donnell R, Eldabe S, Kumar K, North RB. The cost-effectiveness of spinal cord stimulation in the treatment of failed back surgery syndrome. Clin J Pain. 2010;26(6):463-469.</w:t>
      </w:r>
    </w:p>
    <w:p w14:paraId="22CE5614" w14:textId="77777777" w:rsidR="00F71967" w:rsidRPr="00F71967" w:rsidRDefault="00F71967" w:rsidP="00F71967">
      <w:pPr>
        <w:pStyle w:val="References"/>
      </w:pPr>
      <w:r w:rsidRPr="00F71967">
        <w:t>3.</w:t>
      </w:r>
      <w:r w:rsidRPr="00F71967">
        <w:tab/>
        <w:t>Van Buyten JP, Wille F, Smet I et al. Therapy-related explants after spinal cord stimulation: Results of an international retrospective chart review study. Neuromodulation. 2017;20(7):642-649.</w:t>
      </w:r>
    </w:p>
    <w:p w14:paraId="60C90712" w14:textId="77777777" w:rsidR="00F71967" w:rsidRPr="00F71967" w:rsidRDefault="00F71967" w:rsidP="00F71967">
      <w:pPr>
        <w:pStyle w:val="References"/>
      </w:pPr>
      <w:r w:rsidRPr="00F71967">
        <w:t>4.</w:t>
      </w:r>
      <w:r w:rsidRPr="00F71967">
        <w:tab/>
        <w:t>Medtronic Plc. Product Performance Report. Summary of data from the Medtronic post-market registry. 2020</w:t>
      </w:r>
    </w:p>
    <w:p w14:paraId="1B211FA9" w14:textId="77777777" w:rsidR="00F71967" w:rsidRPr="00F71967" w:rsidRDefault="00F71967" w:rsidP="00F71967">
      <w:pPr>
        <w:pStyle w:val="References"/>
      </w:pPr>
      <w:r w:rsidRPr="00F71967">
        <w:t>5.</w:t>
      </w:r>
      <w:r w:rsidRPr="00F71967">
        <w:tab/>
        <w:t>Medtronic Plc. Data on File. 2022</w:t>
      </w:r>
    </w:p>
    <w:p w14:paraId="60C857A8" w14:textId="77777777" w:rsidR="00F71967" w:rsidRPr="00F71967" w:rsidRDefault="00F71967" w:rsidP="00F71967">
      <w:pPr>
        <w:pStyle w:val="References"/>
      </w:pPr>
      <w:r w:rsidRPr="00F71967">
        <w:t>6.</w:t>
      </w:r>
      <w:r w:rsidRPr="00F71967">
        <w:tab/>
        <w:t>[Life expectancy and life tables: Evolution of life expectancy at birth in years, Belgium (1996-2023)]. STATBEL. Available from: https://statbel.fgov.be/en/themes/population/mortality-life-expectancy-and-causes-death/life-expectancy-and-life-tables#panel-12. Accessed 28 Apr 2025.</w:t>
      </w:r>
    </w:p>
    <w:p w14:paraId="00D7A9E4" w14:textId="77777777" w:rsidR="00F71967" w:rsidRPr="00F71967" w:rsidRDefault="00F71967" w:rsidP="00F71967">
      <w:pPr>
        <w:pStyle w:val="References"/>
      </w:pPr>
      <w:r w:rsidRPr="00F71967">
        <w:t>7.</w:t>
      </w:r>
      <w:r w:rsidRPr="00F71967">
        <w:tab/>
        <w:t>Financiële feedback per pathologie. eTCT. Available from: https://tct.fgov.be/webetct/etct-web/national_data?lang=nl. Accessed 28 Apr 2025.</w:t>
      </w:r>
    </w:p>
    <w:p w14:paraId="6C9D4BD8" w14:textId="77777777" w:rsidR="00F71967" w:rsidRPr="00F71967" w:rsidRDefault="00F71967" w:rsidP="00F71967">
      <w:pPr>
        <w:pStyle w:val="References"/>
      </w:pPr>
      <w:r w:rsidRPr="00F71967">
        <w:t>8.</w:t>
      </w:r>
      <w:r w:rsidRPr="00F71967">
        <w:tab/>
        <w:t>[Nomenclature - Texts]. National Institute for Sickness and Disability Insurance (Belgium). Available from: https://www.riziv.fgov.be/nl/nomenclatuur/nomenclatuur-teksten. Accessed 30 Jan 2025.</w:t>
      </w:r>
    </w:p>
    <w:p w14:paraId="69738A43" w14:textId="77777777" w:rsidR="00F71967" w:rsidRPr="00F71967" w:rsidRDefault="00F71967" w:rsidP="00F71967">
      <w:pPr>
        <w:pStyle w:val="References"/>
      </w:pPr>
      <w:r w:rsidRPr="00F71967">
        <w:t>9.</w:t>
      </w:r>
      <w:r w:rsidRPr="00F71967">
        <w:tab/>
        <w:t>[Implants and invasive medical devices: List of supplies and nominative lists of individual devices]. National Institute for Sickness and Disability Insurance (Belgium). Available from: https://www.riziv.fgov.be/nl/professionals/individuele-zorgverleners/verstrekkers-van-implantaten/implantaten-en-invasieve-medische-hulpmiddelen-lijst-van-de-verstrekkingen-en-nominatieve-lijsten-van-de-individuele-hulpmiddelen. Accessed 4 Nov 2024.</w:t>
      </w:r>
    </w:p>
    <w:p w14:paraId="108C2E32" w14:textId="77777777" w:rsidR="00F71967" w:rsidRPr="00F71967" w:rsidRDefault="00F71967" w:rsidP="00F71967">
      <w:pPr>
        <w:pStyle w:val="References"/>
      </w:pPr>
      <w:r w:rsidRPr="00F71967">
        <w:t>10.</w:t>
      </w:r>
      <w:r w:rsidRPr="00F71967">
        <w:tab/>
        <w:t>[Reimbursable medicines and radiopharmaceutical products]. National Institute for Sickness and Disability Insurance (Belgium). Available from: https://webappsa.riziv-inami.fgov.be/ssp/ProductSearch. Accessed 5 Jul 2025.</w:t>
      </w:r>
    </w:p>
    <w:p w14:paraId="6CD4DF52" w14:textId="77777777" w:rsidR="00F71967" w:rsidRPr="00F71967" w:rsidRDefault="00F71967" w:rsidP="00F71967">
      <w:pPr>
        <w:pStyle w:val="References"/>
      </w:pPr>
      <w:r w:rsidRPr="00F71967">
        <w:t>11.</w:t>
      </w:r>
      <w:r w:rsidRPr="00F71967">
        <w:tab/>
        <w:t>[Hospital nursing day rates]. National Institute for Sickness and Disability Insurance (Belgium). Available from: https://www.riziv.fgov.be/nl/thema-s/verzorging-kosten-en-terugbetaling/wat-het-ziekenfonds-terugbetaalt/verzorging-in-ziekenhuizen/verpleegdagprijzen-ziekenhuizen. Accessed 28 Apr 2025.</w:t>
      </w:r>
    </w:p>
    <w:p w14:paraId="602A205E" w14:textId="54C47084" w:rsidR="00FF46D9" w:rsidRPr="00F71967" w:rsidRDefault="00F71967" w:rsidP="00F71967">
      <w:pPr>
        <w:pStyle w:val="References"/>
      </w:pPr>
      <w:r w:rsidRPr="00F71967">
        <w:fldChar w:fldCharType="end"/>
      </w:r>
    </w:p>
    <w:sectPr w:rsidR="00FF46D9" w:rsidRPr="00F71967" w:rsidSect="00C90118">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B663" w14:textId="77777777" w:rsidR="00A50403" w:rsidRDefault="00A50403" w:rsidP="00503DBA">
      <w:r>
        <w:separator/>
      </w:r>
    </w:p>
    <w:p w14:paraId="23E2C111" w14:textId="77777777" w:rsidR="00A50403" w:rsidRDefault="00A50403" w:rsidP="00503DBA"/>
  </w:endnote>
  <w:endnote w:type="continuationSeparator" w:id="0">
    <w:p w14:paraId="4CC8E834" w14:textId="77777777" w:rsidR="00A50403" w:rsidRDefault="00A50403" w:rsidP="00503DBA">
      <w:r>
        <w:continuationSeparator/>
      </w:r>
    </w:p>
    <w:p w14:paraId="5280EE27" w14:textId="77777777" w:rsidR="00A50403" w:rsidRDefault="00A50403" w:rsidP="00503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D5A" w14:textId="77777777" w:rsidR="00F71967" w:rsidRDefault="00F71967" w:rsidP="00D73AD7">
    <w:pPr>
      <w:pStyle w:val="Footer"/>
    </w:pPr>
    <w:r w:rsidRPr="00DA2770">
      <w:rPr>
        <w:rStyle w:val="PageNumber"/>
      </w:rPr>
      <w:fldChar w:fldCharType="begin"/>
    </w:r>
    <w:r w:rsidRPr="00DA2770">
      <w:rPr>
        <w:rStyle w:val="PageNumber"/>
      </w:rPr>
      <w:instrText xml:space="preserve"> PAGE </w:instrText>
    </w:r>
    <w:r w:rsidRPr="00DA2770">
      <w:rPr>
        <w:rStyle w:val="PageNumber"/>
      </w:rPr>
      <w:fldChar w:fldCharType="separate"/>
    </w:r>
    <w:r>
      <w:rPr>
        <w:rStyle w:val="PageNumber"/>
        <w:noProof/>
      </w:rPr>
      <w:t>1</w:t>
    </w:r>
    <w:r w:rsidRPr="00DA277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0F3" w14:textId="3D35E6D3" w:rsidR="00421185" w:rsidRDefault="006439AA" w:rsidP="00D73AD7">
    <w:pPr>
      <w:pStyle w:val="Footer"/>
    </w:pPr>
    <w:r w:rsidRPr="00DA2770">
      <w:rPr>
        <w:rStyle w:val="PageNumber"/>
      </w:rPr>
      <w:fldChar w:fldCharType="begin"/>
    </w:r>
    <w:r w:rsidRPr="00DA2770">
      <w:rPr>
        <w:rStyle w:val="PageNumber"/>
      </w:rPr>
      <w:instrText xml:space="preserve"> PAGE </w:instrText>
    </w:r>
    <w:r w:rsidRPr="00DA2770">
      <w:rPr>
        <w:rStyle w:val="PageNumber"/>
      </w:rPr>
      <w:fldChar w:fldCharType="separate"/>
    </w:r>
    <w:r w:rsidR="008639B8">
      <w:rPr>
        <w:rStyle w:val="PageNumber"/>
        <w:noProof/>
      </w:rPr>
      <w:t>1</w:t>
    </w:r>
    <w:r w:rsidRPr="00DA277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A2AB" w14:textId="77777777" w:rsidR="00A50403" w:rsidRDefault="00A50403" w:rsidP="00503DBA">
      <w:r>
        <w:separator/>
      </w:r>
    </w:p>
    <w:p w14:paraId="22182834" w14:textId="77777777" w:rsidR="00A50403" w:rsidRDefault="00A50403" w:rsidP="00503DBA"/>
  </w:footnote>
  <w:footnote w:type="continuationSeparator" w:id="0">
    <w:p w14:paraId="72D386DF" w14:textId="77777777" w:rsidR="00A50403" w:rsidRDefault="00A50403" w:rsidP="00503DBA">
      <w:r>
        <w:continuationSeparator/>
      </w:r>
    </w:p>
    <w:p w14:paraId="37EA18FD" w14:textId="77777777" w:rsidR="00A50403" w:rsidRDefault="00A50403" w:rsidP="00503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F85" w14:textId="500EA720" w:rsidR="00F71967" w:rsidRPr="009275E6" w:rsidRDefault="00F71967" w:rsidP="00B620C4">
    <w:pPr>
      <w:pStyle w:val="Header"/>
      <w:rPr>
        <w:i/>
        <w:iCs/>
        <w:color w:val="00B0F0"/>
      </w:rPr>
    </w:pPr>
    <w:r w:rsidRPr="009275E6">
      <w:rPr>
        <w:i/>
        <w:iCs/>
      </w:rPr>
      <w:t>Supplementa</w:t>
    </w:r>
    <w:r>
      <w:rPr>
        <w:i/>
        <w:iCs/>
      </w:rPr>
      <w:t>ry</w:t>
    </w:r>
    <w:r w:rsidRPr="009275E6">
      <w:rPr>
        <w:i/>
        <w:iCs/>
      </w:rPr>
      <w:t xml:space="preserve"> Online</w:t>
    </w:r>
    <w:r w:rsidR="00155B65">
      <w:rPr>
        <w:i/>
        <w:iCs/>
      </w:rPr>
      <w:t xml:space="preserve"> Material</w:t>
    </w:r>
    <w:r w:rsidR="009237D5">
      <w:rPr>
        <w:i/>
        <w:iCs/>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3C0C" w14:textId="680FC573" w:rsidR="00A05DBC" w:rsidRPr="00312B9B" w:rsidRDefault="00A05DBC">
    <w:pPr>
      <w:pStyle w:val="Header"/>
      <w:rPr>
        <w:i/>
        <w:iCs/>
      </w:rPr>
    </w:pPr>
    <w:r w:rsidRPr="00312B9B">
      <w:rPr>
        <w:i/>
        <w:iCs/>
      </w:rPr>
      <w:t>Supplementary Online Material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54FF" w14:textId="198ED8EF" w:rsidR="00421185" w:rsidRPr="009275E6" w:rsidRDefault="00C90118" w:rsidP="00B620C4">
    <w:pPr>
      <w:pStyle w:val="Header"/>
      <w:rPr>
        <w:i/>
        <w:iCs/>
        <w:color w:val="00B0F0"/>
      </w:rPr>
    </w:pPr>
    <w:r w:rsidRPr="009275E6">
      <w:rPr>
        <w:i/>
        <w:iCs/>
      </w:rPr>
      <w:t>Supplementa</w:t>
    </w:r>
    <w:r w:rsidR="00DF7339">
      <w:rPr>
        <w:i/>
        <w:iCs/>
      </w:rPr>
      <w:t>ry</w:t>
    </w:r>
    <w:r w:rsidRPr="009275E6">
      <w:rPr>
        <w:i/>
        <w:iCs/>
      </w:rPr>
      <w:t xml:space="preserve"> Online </w:t>
    </w:r>
    <w:r w:rsidR="00A05DBC">
      <w:rPr>
        <w:i/>
        <w:iCs/>
      </w:rPr>
      <w:t>Material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90A9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100511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B3C9C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026886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F5A5BF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54009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7A654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BEB21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469DF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B6A263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60C9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424511"/>
    <w:multiLevelType w:val="hybridMultilevel"/>
    <w:tmpl w:val="AAB6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A04EE"/>
    <w:multiLevelType w:val="hybridMultilevel"/>
    <w:tmpl w:val="A40CDDC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EBE096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E1740B"/>
    <w:multiLevelType w:val="multilevel"/>
    <w:tmpl w:val="9EDE3D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4E4585"/>
    <w:multiLevelType w:val="hybridMultilevel"/>
    <w:tmpl w:val="EED289A6"/>
    <w:lvl w:ilvl="0" w:tplc="81A640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2814BF"/>
    <w:multiLevelType w:val="hybridMultilevel"/>
    <w:tmpl w:val="20D2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412EF"/>
    <w:multiLevelType w:val="hybridMultilevel"/>
    <w:tmpl w:val="0D8A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71F6A"/>
    <w:multiLevelType w:val="hybridMultilevel"/>
    <w:tmpl w:val="96F0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95A37"/>
    <w:multiLevelType w:val="multilevel"/>
    <w:tmpl w:val="041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21466874">
    <w:abstractNumId w:val="10"/>
  </w:num>
  <w:num w:numId="2" w16cid:durableId="778255887">
    <w:abstractNumId w:val="8"/>
  </w:num>
  <w:num w:numId="3" w16cid:durableId="1008941524">
    <w:abstractNumId w:val="7"/>
  </w:num>
  <w:num w:numId="4" w16cid:durableId="413018712">
    <w:abstractNumId w:val="6"/>
  </w:num>
  <w:num w:numId="5" w16cid:durableId="42869685">
    <w:abstractNumId w:val="5"/>
  </w:num>
  <w:num w:numId="6" w16cid:durableId="144274669">
    <w:abstractNumId w:val="9"/>
  </w:num>
  <w:num w:numId="7" w16cid:durableId="1697076774">
    <w:abstractNumId w:val="4"/>
  </w:num>
  <w:num w:numId="8" w16cid:durableId="222911326">
    <w:abstractNumId w:val="3"/>
  </w:num>
  <w:num w:numId="9" w16cid:durableId="1446850582">
    <w:abstractNumId w:val="2"/>
  </w:num>
  <w:num w:numId="10" w16cid:durableId="932280016">
    <w:abstractNumId w:val="1"/>
  </w:num>
  <w:num w:numId="11" w16cid:durableId="113867502">
    <w:abstractNumId w:val="0"/>
  </w:num>
  <w:num w:numId="12" w16cid:durableId="2144077253">
    <w:abstractNumId w:val="17"/>
  </w:num>
  <w:num w:numId="13" w16cid:durableId="2034452305">
    <w:abstractNumId w:val="18"/>
  </w:num>
  <w:num w:numId="14" w16cid:durableId="1231037164">
    <w:abstractNumId w:val="16"/>
  </w:num>
  <w:num w:numId="15" w16cid:durableId="940065923">
    <w:abstractNumId w:val="11"/>
  </w:num>
  <w:num w:numId="16" w16cid:durableId="2034916504">
    <w:abstractNumId w:val="15"/>
  </w:num>
  <w:num w:numId="17" w16cid:durableId="1060442811">
    <w:abstractNumId w:val="12"/>
  </w:num>
  <w:num w:numId="18" w16cid:durableId="960109927">
    <w:abstractNumId w:val="13"/>
  </w:num>
  <w:num w:numId="19" w16cid:durableId="1529947928">
    <w:abstractNumId w:val="19"/>
  </w:num>
  <w:num w:numId="20" w16cid:durableId="752122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B7"/>
    <w:rsid w:val="00013E6C"/>
    <w:rsid w:val="000170CD"/>
    <w:rsid w:val="000338DD"/>
    <w:rsid w:val="00034153"/>
    <w:rsid w:val="000379E0"/>
    <w:rsid w:val="00056231"/>
    <w:rsid w:val="00056654"/>
    <w:rsid w:val="000574FF"/>
    <w:rsid w:val="00066D93"/>
    <w:rsid w:val="00070C08"/>
    <w:rsid w:val="000774CF"/>
    <w:rsid w:val="00077DFA"/>
    <w:rsid w:val="00077F66"/>
    <w:rsid w:val="0008436A"/>
    <w:rsid w:val="00085561"/>
    <w:rsid w:val="00085782"/>
    <w:rsid w:val="000861B8"/>
    <w:rsid w:val="00086960"/>
    <w:rsid w:val="000937D6"/>
    <w:rsid w:val="00093CEA"/>
    <w:rsid w:val="00094A36"/>
    <w:rsid w:val="00096800"/>
    <w:rsid w:val="000A067A"/>
    <w:rsid w:val="000C54F3"/>
    <w:rsid w:val="000E46EF"/>
    <w:rsid w:val="0010132C"/>
    <w:rsid w:val="00117BCC"/>
    <w:rsid w:val="001279F9"/>
    <w:rsid w:val="00130F66"/>
    <w:rsid w:val="001342ED"/>
    <w:rsid w:val="001346B1"/>
    <w:rsid w:val="001411B5"/>
    <w:rsid w:val="00141613"/>
    <w:rsid w:val="001416BF"/>
    <w:rsid w:val="001428EE"/>
    <w:rsid w:val="0014469E"/>
    <w:rsid w:val="00144F18"/>
    <w:rsid w:val="00155B65"/>
    <w:rsid w:val="001626F7"/>
    <w:rsid w:val="001637BC"/>
    <w:rsid w:val="00166497"/>
    <w:rsid w:val="00170F6E"/>
    <w:rsid w:val="00172324"/>
    <w:rsid w:val="00181799"/>
    <w:rsid w:val="00195CD3"/>
    <w:rsid w:val="001A0F90"/>
    <w:rsid w:val="001B55CE"/>
    <w:rsid w:val="001C086B"/>
    <w:rsid w:val="001C462F"/>
    <w:rsid w:val="001C4F6A"/>
    <w:rsid w:val="001D5385"/>
    <w:rsid w:val="001E78AF"/>
    <w:rsid w:val="001F436C"/>
    <w:rsid w:val="001F7EB6"/>
    <w:rsid w:val="0020697A"/>
    <w:rsid w:val="00210965"/>
    <w:rsid w:val="00210B19"/>
    <w:rsid w:val="00212468"/>
    <w:rsid w:val="00213B38"/>
    <w:rsid w:val="00213C3E"/>
    <w:rsid w:val="002146A8"/>
    <w:rsid w:val="00220418"/>
    <w:rsid w:val="00220A1B"/>
    <w:rsid w:val="0022246E"/>
    <w:rsid w:val="00224041"/>
    <w:rsid w:val="0023399D"/>
    <w:rsid w:val="00235E30"/>
    <w:rsid w:val="0024209B"/>
    <w:rsid w:val="00254E98"/>
    <w:rsid w:val="00262B8A"/>
    <w:rsid w:val="00263928"/>
    <w:rsid w:val="0026569E"/>
    <w:rsid w:val="0026782F"/>
    <w:rsid w:val="0027530E"/>
    <w:rsid w:val="00283C29"/>
    <w:rsid w:val="00291737"/>
    <w:rsid w:val="00291D8B"/>
    <w:rsid w:val="002A16E2"/>
    <w:rsid w:val="002C067B"/>
    <w:rsid w:val="002C080A"/>
    <w:rsid w:val="002D1CC4"/>
    <w:rsid w:val="002D1EEF"/>
    <w:rsid w:val="002D5C8B"/>
    <w:rsid w:val="002D712D"/>
    <w:rsid w:val="002D7467"/>
    <w:rsid w:val="002E038C"/>
    <w:rsid w:val="002E675E"/>
    <w:rsid w:val="00312B9B"/>
    <w:rsid w:val="00313B40"/>
    <w:rsid w:val="00316E53"/>
    <w:rsid w:val="0031735C"/>
    <w:rsid w:val="003356D7"/>
    <w:rsid w:val="00341490"/>
    <w:rsid w:val="00350EB7"/>
    <w:rsid w:val="003516F7"/>
    <w:rsid w:val="00351A94"/>
    <w:rsid w:val="00353DAE"/>
    <w:rsid w:val="00355C3F"/>
    <w:rsid w:val="00355EDE"/>
    <w:rsid w:val="0035738E"/>
    <w:rsid w:val="0035755E"/>
    <w:rsid w:val="00361DE0"/>
    <w:rsid w:val="00373679"/>
    <w:rsid w:val="00375A82"/>
    <w:rsid w:val="0037759F"/>
    <w:rsid w:val="00380F75"/>
    <w:rsid w:val="0038170E"/>
    <w:rsid w:val="00381B78"/>
    <w:rsid w:val="003874D8"/>
    <w:rsid w:val="003969D9"/>
    <w:rsid w:val="003A0059"/>
    <w:rsid w:val="003B16A4"/>
    <w:rsid w:val="003B69FD"/>
    <w:rsid w:val="003C03C3"/>
    <w:rsid w:val="003E66A2"/>
    <w:rsid w:val="003F4D96"/>
    <w:rsid w:val="0040135C"/>
    <w:rsid w:val="00402FC1"/>
    <w:rsid w:val="00403C2B"/>
    <w:rsid w:val="00405210"/>
    <w:rsid w:val="00417485"/>
    <w:rsid w:val="00421185"/>
    <w:rsid w:val="00464DBC"/>
    <w:rsid w:val="004672FC"/>
    <w:rsid w:val="004719E0"/>
    <w:rsid w:val="004744BC"/>
    <w:rsid w:val="00481CD8"/>
    <w:rsid w:val="00485850"/>
    <w:rsid w:val="00486673"/>
    <w:rsid w:val="004A53DC"/>
    <w:rsid w:val="004B044C"/>
    <w:rsid w:val="004B10A2"/>
    <w:rsid w:val="004B3B1D"/>
    <w:rsid w:val="004B6559"/>
    <w:rsid w:val="004C1784"/>
    <w:rsid w:val="004D7E81"/>
    <w:rsid w:val="004E42E6"/>
    <w:rsid w:val="004E73F8"/>
    <w:rsid w:val="004F7282"/>
    <w:rsid w:val="005030DF"/>
    <w:rsid w:val="00503DBA"/>
    <w:rsid w:val="00516DF5"/>
    <w:rsid w:val="0053214F"/>
    <w:rsid w:val="00535006"/>
    <w:rsid w:val="00541C8F"/>
    <w:rsid w:val="00543D9F"/>
    <w:rsid w:val="00547DD1"/>
    <w:rsid w:val="005534EF"/>
    <w:rsid w:val="00560EDE"/>
    <w:rsid w:val="00562FCF"/>
    <w:rsid w:val="00565E3B"/>
    <w:rsid w:val="00566D04"/>
    <w:rsid w:val="00575020"/>
    <w:rsid w:val="005764EC"/>
    <w:rsid w:val="0057681E"/>
    <w:rsid w:val="0059567A"/>
    <w:rsid w:val="005A3A90"/>
    <w:rsid w:val="005A6DE5"/>
    <w:rsid w:val="005B0C1D"/>
    <w:rsid w:val="005C623A"/>
    <w:rsid w:val="005D01C6"/>
    <w:rsid w:val="005E2C3B"/>
    <w:rsid w:val="005E607B"/>
    <w:rsid w:val="005F0D23"/>
    <w:rsid w:val="005F0F98"/>
    <w:rsid w:val="005F2C45"/>
    <w:rsid w:val="005F3B75"/>
    <w:rsid w:val="005F546A"/>
    <w:rsid w:val="0060720E"/>
    <w:rsid w:val="006136EE"/>
    <w:rsid w:val="00615C2C"/>
    <w:rsid w:val="00625C19"/>
    <w:rsid w:val="0062716E"/>
    <w:rsid w:val="006439AA"/>
    <w:rsid w:val="006457A1"/>
    <w:rsid w:val="00665C3F"/>
    <w:rsid w:val="00667D39"/>
    <w:rsid w:val="00670E33"/>
    <w:rsid w:val="00671010"/>
    <w:rsid w:val="006720F7"/>
    <w:rsid w:val="00677D0A"/>
    <w:rsid w:val="006958B6"/>
    <w:rsid w:val="00696F40"/>
    <w:rsid w:val="006A1B43"/>
    <w:rsid w:val="006A7E38"/>
    <w:rsid w:val="006B30B0"/>
    <w:rsid w:val="006B41EA"/>
    <w:rsid w:val="006B7D30"/>
    <w:rsid w:val="006C35F2"/>
    <w:rsid w:val="006C3E2C"/>
    <w:rsid w:val="006C51B9"/>
    <w:rsid w:val="006C6024"/>
    <w:rsid w:val="006C6AA6"/>
    <w:rsid w:val="006D3104"/>
    <w:rsid w:val="006D66BF"/>
    <w:rsid w:val="006D72AC"/>
    <w:rsid w:val="006D7DCE"/>
    <w:rsid w:val="006D7F65"/>
    <w:rsid w:val="006E5949"/>
    <w:rsid w:val="006E6C30"/>
    <w:rsid w:val="006F4C5C"/>
    <w:rsid w:val="006F646E"/>
    <w:rsid w:val="00702172"/>
    <w:rsid w:val="007034DC"/>
    <w:rsid w:val="00704528"/>
    <w:rsid w:val="007055AF"/>
    <w:rsid w:val="007123D5"/>
    <w:rsid w:val="007138CF"/>
    <w:rsid w:val="00742D5C"/>
    <w:rsid w:val="00752565"/>
    <w:rsid w:val="0075605A"/>
    <w:rsid w:val="00756D89"/>
    <w:rsid w:val="00770208"/>
    <w:rsid w:val="007756E4"/>
    <w:rsid w:val="007769F4"/>
    <w:rsid w:val="0078278E"/>
    <w:rsid w:val="00792C5A"/>
    <w:rsid w:val="00793C82"/>
    <w:rsid w:val="007B7F40"/>
    <w:rsid w:val="007D0305"/>
    <w:rsid w:val="007D3689"/>
    <w:rsid w:val="007D489F"/>
    <w:rsid w:val="007E3265"/>
    <w:rsid w:val="007E5EDC"/>
    <w:rsid w:val="007E7775"/>
    <w:rsid w:val="007F22C5"/>
    <w:rsid w:val="007F59AE"/>
    <w:rsid w:val="008052C2"/>
    <w:rsid w:val="008130D1"/>
    <w:rsid w:val="00814B3F"/>
    <w:rsid w:val="0082136F"/>
    <w:rsid w:val="00830ABD"/>
    <w:rsid w:val="0083226C"/>
    <w:rsid w:val="00842903"/>
    <w:rsid w:val="00842A18"/>
    <w:rsid w:val="00851097"/>
    <w:rsid w:val="0085524B"/>
    <w:rsid w:val="008563F0"/>
    <w:rsid w:val="0086182A"/>
    <w:rsid w:val="008639B8"/>
    <w:rsid w:val="008660F8"/>
    <w:rsid w:val="00875723"/>
    <w:rsid w:val="00893DB0"/>
    <w:rsid w:val="00895B74"/>
    <w:rsid w:val="008A768D"/>
    <w:rsid w:val="008B268C"/>
    <w:rsid w:val="008B4120"/>
    <w:rsid w:val="008D0F58"/>
    <w:rsid w:val="008D54B5"/>
    <w:rsid w:val="008D5ADE"/>
    <w:rsid w:val="008F5D8B"/>
    <w:rsid w:val="009001EA"/>
    <w:rsid w:val="00907AA8"/>
    <w:rsid w:val="00912F72"/>
    <w:rsid w:val="0092177A"/>
    <w:rsid w:val="00921858"/>
    <w:rsid w:val="009223F3"/>
    <w:rsid w:val="0092329A"/>
    <w:rsid w:val="00923303"/>
    <w:rsid w:val="009237D5"/>
    <w:rsid w:val="009275E6"/>
    <w:rsid w:val="0093620D"/>
    <w:rsid w:val="00943231"/>
    <w:rsid w:val="0096197B"/>
    <w:rsid w:val="0096458B"/>
    <w:rsid w:val="00985711"/>
    <w:rsid w:val="00991DBF"/>
    <w:rsid w:val="009929AC"/>
    <w:rsid w:val="009930B8"/>
    <w:rsid w:val="009A1111"/>
    <w:rsid w:val="009A7A55"/>
    <w:rsid w:val="009B7BA6"/>
    <w:rsid w:val="009C4B2C"/>
    <w:rsid w:val="009C7FD0"/>
    <w:rsid w:val="009D1629"/>
    <w:rsid w:val="009D4C07"/>
    <w:rsid w:val="009D521C"/>
    <w:rsid w:val="009D787A"/>
    <w:rsid w:val="009E3E00"/>
    <w:rsid w:val="009F3194"/>
    <w:rsid w:val="009F635C"/>
    <w:rsid w:val="00A04374"/>
    <w:rsid w:val="00A05DBC"/>
    <w:rsid w:val="00A07500"/>
    <w:rsid w:val="00A22B50"/>
    <w:rsid w:val="00A262CC"/>
    <w:rsid w:val="00A30A7A"/>
    <w:rsid w:val="00A32C1A"/>
    <w:rsid w:val="00A353A1"/>
    <w:rsid w:val="00A40812"/>
    <w:rsid w:val="00A43708"/>
    <w:rsid w:val="00A43E1A"/>
    <w:rsid w:val="00A45681"/>
    <w:rsid w:val="00A50403"/>
    <w:rsid w:val="00A54C04"/>
    <w:rsid w:val="00A5622A"/>
    <w:rsid w:val="00A603E1"/>
    <w:rsid w:val="00A613C1"/>
    <w:rsid w:val="00A8056C"/>
    <w:rsid w:val="00A9305A"/>
    <w:rsid w:val="00AA13A1"/>
    <w:rsid w:val="00AB5A99"/>
    <w:rsid w:val="00AC571B"/>
    <w:rsid w:val="00AD0CA3"/>
    <w:rsid w:val="00AD1927"/>
    <w:rsid w:val="00AD2910"/>
    <w:rsid w:val="00AD6979"/>
    <w:rsid w:val="00B13DC2"/>
    <w:rsid w:val="00B51968"/>
    <w:rsid w:val="00B56982"/>
    <w:rsid w:val="00B61F1C"/>
    <w:rsid w:val="00B620C4"/>
    <w:rsid w:val="00B62322"/>
    <w:rsid w:val="00B63581"/>
    <w:rsid w:val="00B64FD0"/>
    <w:rsid w:val="00B65BC3"/>
    <w:rsid w:val="00B67E6A"/>
    <w:rsid w:val="00B704C5"/>
    <w:rsid w:val="00B7535F"/>
    <w:rsid w:val="00B817D0"/>
    <w:rsid w:val="00B914E4"/>
    <w:rsid w:val="00B91FB4"/>
    <w:rsid w:val="00B92D11"/>
    <w:rsid w:val="00B96AA9"/>
    <w:rsid w:val="00BB1E42"/>
    <w:rsid w:val="00BB576B"/>
    <w:rsid w:val="00BB5FF1"/>
    <w:rsid w:val="00BE0823"/>
    <w:rsid w:val="00BE5EC2"/>
    <w:rsid w:val="00BF499C"/>
    <w:rsid w:val="00C11A47"/>
    <w:rsid w:val="00C15839"/>
    <w:rsid w:val="00C20133"/>
    <w:rsid w:val="00C21B32"/>
    <w:rsid w:val="00C35EE9"/>
    <w:rsid w:val="00C41238"/>
    <w:rsid w:val="00C43B73"/>
    <w:rsid w:val="00C43CA7"/>
    <w:rsid w:val="00C53468"/>
    <w:rsid w:val="00C56DB9"/>
    <w:rsid w:val="00C57641"/>
    <w:rsid w:val="00C60A0D"/>
    <w:rsid w:val="00C631C6"/>
    <w:rsid w:val="00C767B4"/>
    <w:rsid w:val="00C85625"/>
    <w:rsid w:val="00C8609B"/>
    <w:rsid w:val="00C87131"/>
    <w:rsid w:val="00C90118"/>
    <w:rsid w:val="00C922A6"/>
    <w:rsid w:val="00C9432C"/>
    <w:rsid w:val="00C95749"/>
    <w:rsid w:val="00CA01FB"/>
    <w:rsid w:val="00CA4002"/>
    <w:rsid w:val="00CB0088"/>
    <w:rsid w:val="00CB0C84"/>
    <w:rsid w:val="00CB1520"/>
    <w:rsid w:val="00CC6AF8"/>
    <w:rsid w:val="00CC7AD9"/>
    <w:rsid w:val="00CD25C4"/>
    <w:rsid w:val="00CD6694"/>
    <w:rsid w:val="00CE3FA3"/>
    <w:rsid w:val="00CE5A0A"/>
    <w:rsid w:val="00D05BBD"/>
    <w:rsid w:val="00D10BFB"/>
    <w:rsid w:val="00D14EED"/>
    <w:rsid w:val="00D2765A"/>
    <w:rsid w:val="00D31F82"/>
    <w:rsid w:val="00D344B1"/>
    <w:rsid w:val="00D3534A"/>
    <w:rsid w:val="00D45165"/>
    <w:rsid w:val="00D4533E"/>
    <w:rsid w:val="00D45D71"/>
    <w:rsid w:val="00D566DB"/>
    <w:rsid w:val="00D6164D"/>
    <w:rsid w:val="00D65FFB"/>
    <w:rsid w:val="00D73AD7"/>
    <w:rsid w:val="00D74390"/>
    <w:rsid w:val="00D755EC"/>
    <w:rsid w:val="00D81166"/>
    <w:rsid w:val="00D8281D"/>
    <w:rsid w:val="00D8378B"/>
    <w:rsid w:val="00D86162"/>
    <w:rsid w:val="00D902BD"/>
    <w:rsid w:val="00DA10B9"/>
    <w:rsid w:val="00DA2770"/>
    <w:rsid w:val="00DB0F1A"/>
    <w:rsid w:val="00DB138D"/>
    <w:rsid w:val="00DC01BB"/>
    <w:rsid w:val="00DC498D"/>
    <w:rsid w:val="00DD1C6C"/>
    <w:rsid w:val="00DD7E52"/>
    <w:rsid w:val="00DE0E4E"/>
    <w:rsid w:val="00DE3473"/>
    <w:rsid w:val="00DF0EFF"/>
    <w:rsid w:val="00DF7339"/>
    <w:rsid w:val="00E058A6"/>
    <w:rsid w:val="00E15403"/>
    <w:rsid w:val="00E40E60"/>
    <w:rsid w:val="00E43C90"/>
    <w:rsid w:val="00E51221"/>
    <w:rsid w:val="00E60A93"/>
    <w:rsid w:val="00E62925"/>
    <w:rsid w:val="00E66C7A"/>
    <w:rsid w:val="00E712CA"/>
    <w:rsid w:val="00E85604"/>
    <w:rsid w:val="00E93F12"/>
    <w:rsid w:val="00E940FE"/>
    <w:rsid w:val="00EA6713"/>
    <w:rsid w:val="00EB1222"/>
    <w:rsid w:val="00EB48BC"/>
    <w:rsid w:val="00EB70AA"/>
    <w:rsid w:val="00EB7CB3"/>
    <w:rsid w:val="00ED07FC"/>
    <w:rsid w:val="00ED12AE"/>
    <w:rsid w:val="00ED6B70"/>
    <w:rsid w:val="00EE60E6"/>
    <w:rsid w:val="00EE76BA"/>
    <w:rsid w:val="00EF1840"/>
    <w:rsid w:val="00EF19DD"/>
    <w:rsid w:val="00EF2655"/>
    <w:rsid w:val="00EF6482"/>
    <w:rsid w:val="00F114D5"/>
    <w:rsid w:val="00F13EFC"/>
    <w:rsid w:val="00F1725D"/>
    <w:rsid w:val="00F17617"/>
    <w:rsid w:val="00F249EF"/>
    <w:rsid w:val="00F43F32"/>
    <w:rsid w:val="00F54616"/>
    <w:rsid w:val="00F600C4"/>
    <w:rsid w:val="00F623F6"/>
    <w:rsid w:val="00F62A83"/>
    <w:rsid w:val="00F64E3A"/>
    <w:rsid w:val="00F71256"/>
    <w:rsid w:val="00F71967"/>
    <w:rsid w:val="00F743A3"/>
    <w:rsid w:val="00F813E6"/>
    <w:rsid w:val="00F8620A"/>
    <w:rsid w:val="00F8668F"/>
    <w:rsid w:val="00F94E61"/>
    <w:rsid w:val="00F96AF1"/>
    <w:rsid w:val="00F96D93"/>
    <w:rsid w:val="00F974C8"/>
    <w:rsid w:val="00FD2391"/>
    <w:rsid w:val="00FE1847"/>
    <w:rsid w:val="00FE3ADE"/>
    <w:rsid w:val="00FE7777"/>
    <w:rsid w:val="00FF46D9"/>
    <w:rsid w:val="7837F61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6F279"/>
  <w14:defaultImageDpi w14:val="300"/>
  <w15:docId w15:val="{FC13FCE3-1432-43B5-9A27-024C8CA1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3DBA"/>
    <w:pPr>
      <w:spacing w:before="240" w:after="240"/>
    </w:pPr>
    <w:rPr>
      <w:rFonts w:cs="Arial"/>
      <w:sz w:val="22"/>
      <w:szCs w:val="22"/>
    </w:rPr>
  </w:style>
  <w:style w:type="paragraph" w:styleId="Heading1">
    <w:name w:val="heading 1"/>
    <w:basedOn w:val="Normal"/>
    <w:next w:val="Normal"/>
    <w:link w:val="Heading1Char"/>
    <w:uiPriority w:val="9"/>
    <w:qFormat/>
    <w:rsid w:val="00A43E1A"/>
    <w:pPr>
      <w:keepNext/>
      <w:numPr>
        <w:numId w:val="19"/>
      </w:numPr>
      <w:outlineLvl w:val="0"/>
    </w:pPr>
    <w:rPr>
      <w:b/>
      <w:bCs/>
      <w:caps/>
    </w:rPr>
  </w:style>
  <w:style w:type="paragraph" w:styleId="Heading2">
    <w:name w:val="heading 2"/>
    <w:basedOn w:val="Normal"/>
    <w:next w:val="Normal"/>
    <w:link w:val="Heading2Char"/>
    <w:uiPriority w:val="9"/>
    <w:unhideWhenUsed/>
    <w:qFormat/>
    <w:rsid w:val="00A45681"/>
    <w:pPr>
      <w:keepNext/>
      <w:numPr>
        <w:ilvl w:val="1"/>
        <w:numId w:val="19"/>
      </w:numPr>
      <w:spacing w:before="120" w:after="120"/>
      <w:outlineLvl w:val="1"/>
    </w:pPr>
    <w:rPr>
      <w:b/>
    </w:rPr>
  </w:style>
  <w:style w:type="paragraph" w:styleId="Heading3">
    <w:name w:val="heading 3"/>
    <w:basedOn w:val="Normal"/>
    <w:next w:val="Normal"/>
    <w:link w:val="Heading3Char"/>
    <w:uiPriority w:val="9"/>
    <w:unhideWhenUsed/>
    <w:qFormat/>
    <w:rsid w:val="002D5C8B"/>
    <w:pPr>
      <w:keepNext/>
      <w:numPr>
        <w:ilvl w:val="2"/>
        <w:numId w:val="19"/>
      </w:numPr>
      <w:spacing w:before="120" w:after="120"/>
      <w:outlineLvl w:val="2"/>
    </w:pPr>
    <w:rPr>
      <w:i/>
    </w:rPr>
  </w:style>
  <w:style w:type="paragraph" w:styleId="Heading4">
    <w:name w:val="heading 4"/>
    <w:basedOn w:val="Normal"/>
    <w:next w:val="Normal"/>
    <w:link w:val="Heading4Char"/>
    <w:uiPriority w:val="9"/>
    <w:semiHidden/>
    <w:unhideWhenUsed/>
    <w:qFormat/>
    <w:rsid w:val="009C4B2C"/>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4B2C"/>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4B2C"/>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4B2C"/>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4B2C"/>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4B2C"/>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613"/>
    <w:rPr>
      <w:rFonts w:ascii="Arial" w:hAnsi="Arial"/>
      <w:color w:val="F79646" w:themeColor="accent6"/>
      <w:u w:val="single"/>
    </w:rPr>
  </w:style>
  <w:style w:type="paragraph" w:styleId="Header">
    <w:name w:val="header"/>
    <w:basedOn w:val="Normal"/>
    <w:link w:val="HeaderChar"/>
    <w:uiPriority w:val="99"/>
    <w:unhideWhenUsed/>
    <w:rsid w:val="006439AA"/>
    <w:pPr>
      <w:tabs>
        <w:tab w:val="center" w:pos="4320"/>
        <w:tab w:val="right" w:pos="8640"/>
      </w:tabs>
    </w:pPr>
  </w:style>
  <w:style w:type="character" w:customStyle="1" w:styleId="HeaderChar">
    <w:name w:val="Header Char"/>
    <w:basedOn w:val="DefaultParagraphFont"/>
    <w:link w:val="Header"/>
    <w:uiPriority w:val="99"/>
    <w:rsid w:val="006439AA"/>
    <w:rPr>
      <w:rFonts w:ascii="Arial" w:hAnsi="Arial"/>
    </w:rPr>
  </w:style>
  <w:style w:type="paragraph" w:styleId="Footer">
    <w:name w:val="footer"/>
    <w:basedOn w:val="Normal"/>
    <w:link w:val="FooterChar"/>
    <w:uiPriority w:val="99"/>
    <w:unhideWhenUsed/>
    <w:rsid w:val="00DA2770"/>
    <w:pPr>
      <w:tabs>
        <w:tab w:val="center" w:pos="4320"/>
        <w:tab w:val="right" w:pos="8640"/>
      </w:tabs>
      <w:jc w:val="center"/>
    </w:pPr>
  </w:style>
  <w:style w:type="character" w:customStyle="1" w:styleId="FooterChar">
    <w:name w:val="Footer Char"/>
    <w:basedOn w:val="DefaultParagraphFont"/>
    <w:link w:val="Footer"/>
    <w:uiPriority w:val="99"/>
    <w:rsid w:val="00DA2770"/>
  </w:style>
  <w:style w:type="character" w:styleId="PageNumber">
    <w:name w:val="page number"/>
    <w:basedOn w:val="DefaultParagraphFont"/>
    <w:uiPriority w:val="99"/>
    <w:unhideWhenUsed/>
    <w:rsid w:val="006439AA"/>
  </w:style>
  <w:style w:type="table" w:styleId="TableGrid">
    <w:name w:val="Table Grid"/>
    <w:basedOn w:val="TableNormal"/>
    <w:uiPriority w:val="59"/>
    <w:rsid w:val="0039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A2770"/>
    <w:pPr>
      <w:jc w:val="center"/>
    </w:pPr>
    <w:rPr>
      <w:b/>
    </w:rPr>
  </w:style>
  <w:style w:type="character" w:customStyle="1" w:styleId="TitleChar">
    <w:name w:val="Title Char"/>
    <w:basedOn w:val="DefaultParagraphFont"/>
    <w:link w:val="Title"/>
    <w:uiPriority w:val="10"/>
    <w:rsid w:val="00DA2770"/>
    <w:rPr>
      <w:b/>
    </w:rPr>
  </w:style>
  <w:style w:type="paragraph" w:customStyle="1" w:styleId="MajorSectionHeading">
    <w:name w:val="Major Section Heading"/>
    <w:basedOn w:val="Normal"/>
    <w:qFormat/>
    <w:rsid w:val="00DA2770"/>
    <w:pPr>
      <w:pageBreakBefore/>
    </w:pPr>
    <w:rPr>
      <w:b/>
      <w:bCs/>
      <w:caps/>
    </w:rPr>
  </w:style>
  <w:style w:type="character" w:customStyle="1" w:styleId="Heading1Char">
    <w:name w:val="Heading 1 Char"/>
    <w:basedOn w:val="DefaultParagraphFont"/>
    <w:link w:val="Heading1"/>
    <w:uiPriority w:val="9"/>
    <w:rsid w:val="00A43E1A"/>
    <w:rPr>
      <w:b/>
      <w:bCs/>
      <w:caps/>
    </w:rPr>
  </w:style>
  <w:style w:type="character" w:customStyle="1" w:styleId="Heading2Char">
    <w:name w:val="Heading 2 Char"/>
    <w:basedOn w:val="DefaultParagraphFont"/>
    <w:link w:val="Heading2"/>
    <w:uiPriority w:val="9"/>
    <w:rsid w:val="00A45681"/>
    <w:rPr>
      <w:rFonts w:cs="Arial"/>
      <w:b/>
      <w:sz w:val="22"/>
      <w:szCs w:val="22"/>
    </w:rPr>
  </w:style>
  <w:style w:type="paragraph" w:customStyle="1" w:styleId="References">
    <w:name w:val="References"/>
    <w:basedOn w:val="Normal"/>
    <w:qFormat/>
    <w:rsid w:val="00DA2770"/>
    <w:pPr>
      <w:ind w:left="540" w:hanging="540"/>
    </w:pPr>
  </w:style>
  <w:style w:type="paragraph" w:styleId="BalloonText">
    <w:name w:val="Balloon Text"/>
    <w:basedOn w:val="Normal"/>
    <w:link w:val="BalloonTextChar"/>
    <w:uiPriority w:val="99"/>
    <w:semiHidden/>
    <w:unhideWhenUsed/>
    <w:rsid w:val="00DA2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2770"/>
    <w:rPr>
      <w:rFonts w:ascii="Lucida Grande" w:hAnsi="Lucida Grande" w:cs="Lucida Grande"/>
      <w:sz w:val="18"/>
      <w:szCs w:val="18"/>
    </w:rPr>
  </w:style>
  <w:style w:type="character" w:customStyle="1" w:styleId="Heading3Char">
    <w:name w:val="Heading 3 Char"/>
    <w:basedOn w:val="DefaultParagraphFont"/>
    <w:link w:val="Heading3"/>
    <w:uiPriority w:val="9"/>
    <w:rsid w:val="002D5C8B"/>
    <w:rPr>
      <w:rFonts w:cs="Arial"/>
      <w:i/>
      <w:sz w:val="22"/>
      <w:szCs w:val="22"/>
    </w:rPr>
  </w:style>
  <w:style w:type="paragraph" w:styleId="ListParagraph">
    <w:name w:val="List Paragraph"/>
    <w:basedOn w:val="Normal"/>
    <w:uiPriority w:val="34"/>
    <w:qFormat/>
    <w:rsid w:val="00991DBF"/>
    <w:pPr>
      <w:ind w:left="720"/>
      <w:contextualSpacing/>
    </w:pPr>
  </w:style>
  <w:style w:type="paragraph" w:customStyle="1" w:styleId="Metrics">
    <w:name w:val="Metrics"/>
    <w:basedOn w:val="Normal"/>
    <w:qFormat/>
    <w:rsid w:val="00DA10B9"/>
    <w:rPr>
      <w:sz w:val="21"/>
      <w:szCs w:val="21"/>
    </w:rPr>
  </w:style>
  <w:style w:type="paragraph" w:customStyle="1" w:styleId="TableHeading">
    <w:name w:val="Table Heading"/>
    <w:basedOn w:val="Heading2"/>
    <w:next w:val="Normal"/>
    <w:qFormat/>
    <w:rsid w:val="007D0305"/>
    <w:pPr>
      <w:pageBreakBefore/>
    </w:pPr>
    <w:rPr>
      <w:rFonts w:ascii="Times New Roman" w:hAnsi="Times New Roman"/>
    </w:rPr>
  </w:style>
  <w:style w:type="character" w:styleId="CommentReference">
    <w:name w:val="annotation reference"/>
    <w:basedOn w:val="DefaultParagraphFont"/>
    <w:uiPriority w:val="99"/>
    <w:semiHidden/>
    <w:unhideWhenUsed/>
    <w:rsid w:val="009D521C"/>
    <w:rPr>
      <w:sz w:val="16"/>
      <w:szCs w:val="16"/>
    </w:rPr>
  </w:style>
  <w:style w:type="paragraph" w:styleId="CommentText">
    <w:name w:val="annotation text"/>
    <w:basedOn w:val="Normal"/>
    <w:link w:val="CommentTextChar"/>
    <w:uiPriority w:val="99"/>
    <w:unhideWhenUsed/>
    <w:rsid w:val="009D521C"/>
    <w:rPr>
      <w:sz w:val="20"/>
      <w:szCs w:val="20"/>
    </w:rPr>
  </w:style>
  <w:style w:type="character" w:customStyle="1" w:styleId="CommentTextChar">
    <w:name w:val="Comment Text Char"/>
    <w:basedOn w:val="DefaultParagraphFont"/>
    <w:link w:val="CommentText"/>
    <w:uiPriority w:val="99"/>
    <w:rsid w:val="009D521C"/>
    <w:rPr>
      <w:sz w:val="20"/>
      <w:szCs w:val="20"/>
    </w:rPr>
  </w:style>
  <w:style w:type="paragraph" w:styleId="CommentSubject">
    <w:name w:val="annotation subject"/>
    <w:basedOn w:val="CommentText"/>
    <w:next w:val="CommentText"/>
    <w:link w:val="CommentSubjectChar"/>
    <w:uiPriority w:val="99"/>
    <w:semiHidden/>
    <w:unhideWhenUsed/>
    <w:rsid w:val="009D521C"/>
    <w:rPr>
      <w:b/>
      <w:bCs/>
    </w:rPr>
  </w:style>
  <w:style w:type="character" w:customStyle="1" w:styleId="CommentSubjectChar">
    <w:name w:val="Comment Subject Char"/>
    <w:basedOn w:val="CommentTextChar"/>
    <w:link w:val="CommentSubject"/>
    <w:uiPriority w:val="99"/>
    <w:semiHidden/>
    <w:rsid w:val="009D521C"/>
    <w:rPr>
      <w:b/>
      <w:bCs/>
      <w:sz w:val="20"/>
      <w:szCs w:val="20"/>
    </w:rPr>
  </w:style>
  <w:style w:type="paragraph" w:customStyle="1" w:styleId="Scratchtext">
    <w:name w:val="Scratch text"/>
    <w:basedOn w:val="Normal"/>
    <w:qFormat/>
    <w:rsid w:val="00575020"/>
    <w:pPr>
      <w:jc w:val="both"/>
    </w:pPr>
    <w:rPr>
      <w:rFonts w:ascii="Aptos" w:hAnsi="Aptos" w:cstheme="majorHAnsi"/>
    </w:rPr>
  </w:style>
  <w:style w:type="character" w:styleId="Strong">
    <w:name w:val="Strong"/>
    <w:basedOn w:val="DefaultParagraphFont"/>
    <w:uiPriority w:val="22"/>
    <w:qFormat/>
    <w:rsid w:val="00AC571B"/>
    <w:rPr>
      <w:b/>
      <w:bCs/>
    </w:rPr>
  </w:style>
  <w:style w:type="paragraph" w:styleId="Revision">
    <w:name w:val="Revision"/>
    <w:hidden/>
    <w:uiPriority w:val="99"/>
    <w:semiHidden/>
    <w:rsid w:val="009E3E00"/>
  </w:style>
  <w:style w:type="paragraph" w:styleId="Caption">
    <w:name w:val="caption"/>
    <w:basedOn w:val="Normal"/>
    <w:next w:val="Normal"/>
    <w:uiPriority w:val="35"/>
    <w:unhideWhenUsed/>
    <w:qFormat/>
    <w:rsid w:val="00C922A6"/>
    <w:pPr>
      <w:keepNext/>
      <w:spacing w:before="360" w:after="120"/>
    </w:pPr>
    <w:rPr>
      <w:b/>
      <w:bCs/>
    </w:rPr>
  </w:style>
  <w:style w:type="table" w:styleId="GridTable1Light">
    <w:name w:val="Grid Table 1 Light"/>
    <w:basedOn w:val="TableNormal"/>
    <w:uiPriority w:val="46"/>
    <w:rsid w:val="007034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footer">
    <w:name w:val="Table footer"/>
    <w:basedOn w:val="Normal"/>
    <w:qFormat/>
    <w:rsid w:val="00144F18"/>
    <w:pPr>
      <w:spacing w:before="0"/>
      <w:contextualSpacing/>
    </w:pPr>
    <w:rPr>
      <w:i/>
      <w:iCs/>
      <w:sz w:val="20"/>
      <w:szCs w:val="20"/>
    </w:rPr>
  </w:style>
  <w:style w:type="paragraph" w:customStyle="1" w:styleId="TableText">
    <w:name w:val="Table Text"/>
    <w:basedOn w:val="Normal"/>
    <w:qFormat/>
    <w:rsid w:val="009929AC"/>
    <w:pPr>
      <w:spacing w:before="120" w:after="120"/>
    </w:pPr>
    <w:rPr>
      <w:sz w:val="20"/>
    </w:rPr>
  </w:style>
  <w:style w:type="paragraph" w:styleId="NoSpacing">
    <w:name w:val="No Spacing"/>
    <w:uiPriority w:val="1"/>
    <w:qFormat/>
    <w:rsid w:val="00912F72"/>
    <w:rPr>
      <w:rFonts w:cs="Arial"/>
      <w:sz w:val="22"/>
      <w:szCs w:val="22"/>
    </w:rPr>
  </w:style>
  <w:style w:type="character" w:styleId="UnresolvedMention">
    <w:name w:val="Unresolved Mention"/>
    <w:basedOn w:val="DefaultParagraphFont"/>
    <w:uiPriority w:val="99"/>
    <w:rsid w:val="009223F3"/>
    <w:rPr>
      <w:color w:val="605E5C"/>
      <w:shd w:val="clear" w:color="auto" w:fill="E1DFDD"/>
    </w:rPr>
  </w:style>
  <w:style w:type="character" w:styleId="FollowedHyperlink">
    <w:name w:val="FollowedHyperlink"/>
    <w:basedOn w:val="DefaultParagraphFont"/>
    <w:uiPriority w:val="99"/>
    <w:semiHidden/>
    <w:unhideWhenUsed/>
    <w:rsid w:val="00814B3F"/>
    <w:rPr>
      <w:color w:val="800080" w:themeColor="followedHyperlink"/>
      <w:u w:val="single"/>
    </w:rPr>
  </w:style>
  <w:style w:type="paragraph" w:styleId="TOCHeading">
    <w:name w:val="TOC Heading"/>
    <w:basedOn w:val="Heading1"/>
    <w:next w:val="Normal"/>
    <w:uiPriority w:val="39"/>
    <w:unhideWhenUsed/>
    <w:qFormat/>
    <w:rsid w:val="00086960"/>
  </w:style>
  <w:style w:type="paragraph" w:styleId="TOC1">
    <w:name w:val="toc 1"/>
    <w:basedOn w:val="Normal"/>
    <w:next w:val="Normal"/>
    <w:autoRedefine/>
    <w:uiPriority w:val="39"/>
    <w:unhideWhenUsed/>
    <w:rsid w:val="006A7E38"/>
    <w:pPr>
      <w:spacing w:after="120"/>
    </w:pPr>
    <w:rPr>
      <w:b/>
      <w:bCs/>
      <w:szCs w:val="20"/>
    </w:rPr>
  </w:style>
  <w:style w:type="paragraph" w:styleId="TOC2">
    <w:name w:val="toc 2"/>
    <w:basedOn w:val="Normal"/>
    <w:next w:val="Normal"/>
    <w:autoRedefine/>
    <w:uiPriority w:val="39"/>
    <w:unhideWhenUsed/>
    <w:rsid w:val="006A7E38"/>
    <w:pPr>
      <w:tabs>
        <w:tab w:val="right" w:leader="dot" w:pos="9350"/>
      </w:tabs>
      <w:spacing w:before="120" w:after="120"/>
      <w:ind w:left="216"/>
    </w:pPr>
    <w:rPr>
      <w:iCs/>
      <w:noProof/>
      <w:szCs w:val="20"/>
    </w:rPr>
  </w:style>
  <w:style w:type="paragraph" w:styleId="TOC3">
    <w:name w:val="toc 3"/>
    <w:basedOn w:val="Normal"/>
    <w:next w:val="Normal"/>
    <w:autoRedefine/>
    <w:uiPriority w:val="39"/>
    <w:unhideWhenUsed/>
    <w:rsid w:val="006A7E38"/>
    <w:pPr>
      <w:spacing w:before="0" w:after="0"/>
      <w:ind w:left="440"/>
    </w:pPr>
    <w:rPr>
      <w:i/>
      <w:sz w:val="20"/>
      <w:szCs w:val="20"/>
    </w:rPr>
  </w:style>
  <w:style w:type="paragraph" w:styleId="TOC4">
    <w:name w:val="toc 4"/>
    <w:basedOn w:val="Normal"/>
    <w:next w:val="Normal"/>
    <w:autoRedefine/>
    <w:uiPriority w:val="39"/>
    <w:semiHidden/>
    <w:unhideWhenUsed/>
    <w:rsid w:val="00E93F12"/>
    <w:pPr>
      <w:spacing w:before="0"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E93F12"/>
    <w:pPr>
      <w:spacing w:before="0"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E93F12"/>
    <w:pPr>
      <w:spacing w:before="0"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E93F12"/>
    <w:pPr>
      <w:spacing w:before="0"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E93F12"/>
    <w:pPr>
      <w:spacing w:before="0"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E93F12"/>
    <w:pPr>
      <w:spacing w:before="0" w:after="0"/>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9C4B2C"/>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9C4B2C"/>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9C4B2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9C4B2C"/>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C4B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4B2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ebappsa.riziv-inami.fgov.be/ssp/Product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ct.fgov.be/webetct/etct-web/national_data?lang=nl" TargetMode="External"/><Relationship Id="rId2" Type="http://schemas.openxmlformats.org/officeDocument/2006/relationships/customXml" Target="../customXml/item2.xml"/><Relationship Id="rId16" Type="http://schemas.openxmlformats.org/officeDocument/2006/relationships/hyperlink" Target="https://www.riziv.fgov.be/nl/professionals/individuele-zorgverleners/verstrekkers-van-implantaten/implantaten-en-invasieve-medische-hulpmiddelen-lijst-van-de-verstrekkingen-en-nominatieve-lijsten-van-de-individuele-hulpmiddel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iziv.fgov.be/nl/thema-s/verzorging-kosten-en-terugbetaling/wat-het-ziekenfonds-terugbetaalt/verzorging-in-ziekenhuizen/verpleegdagprijzen-ziekenhuizen"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ziv.fgov.be/nl/nomenclatuur/nomenclatuur-tekst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807F56-FDF9-AF4A-B688-AC8FB3DC3FF2}">
  <we:reference id="wa104380773" version="2.1.4.0" store="en-US"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724019-ece6-4cc8-9610-bc0b7783ef81">
      <UserInfo>
        <DisplayName/>
        <AccountId xsi:nil="true"/>
        <AccountType/>
      </UserInfo>
    </SharedWithUsers>
    <lcf76f155ced4ddcb4097134ff3c332f xmlns="f4ce5f50-2f14-41a5-93fe-3e5161fe0484">
      <Terms xmlns="http://schemas.microsoft.com/office/infopath/2007/PartnerControls"/>
    </lcf76f155ced4ddcb4097134ff3c332f>
    <TaxCatchAll xmlns="09724019-ece6-4cc8-9610-bc0b7783ef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454F1B93C054897BB295CAC37DFF7" ma:contentTypeVersion="16" ma:contentTypeDescription="Create a new document." ma:contentTypeScope="" ma:versionID="54c0f100803ed4cdcb6dd44b24cda5f7">
  <xsd:schema xmlns:xsd="http://www.w3.org/2001/XMLSchema" xmlns:xs="http://www.w3.org/2001/XMLSchema" xmlns:p="http://schemas.microsoft.com/office/2006/metadata/properties" xmlns:ns2="f4ce5f50-2f14-41a5-93fe-3e5161fe0484" xmlns:ns3="09724019-ece6-4cc8-9610-bc0b7783ef81" targetNamespace="http://schemas.microsoft.com/office/2006/metadata/properties" ma:root="true" ma:fieldsID="c1e3b9be0d302dee52f6ec9001c4f551" ns2:_="" ns3:_="">
    <xsd:import namespace="f4ce5f50-2f14-41a5-93fe-3e5161fe0484"/>
    <xsd:import namespace="09724019-ece6-4cc8-9610-bc0b7783ef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e5f50-2f14-41a5-93fe-3e5161fe0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24019-ece6-4cc8-9610-bc0b7783ef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d15b7a-4a1d-47a8-b0d2-5db75fb7901a}" ma:internalName="TaxCatchAll" ma:showField="CatchAllData" ma:web="09724019-ece6-4cc8-9610-bc0b7783e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91370-A94A-43BB-89FD-99CA5B97BCC5}">
  <ds:schemaRefs>
    <ds:schemaRef ds:uri="http://schemas.microsoft.com/office/2006/metadata/properties"/>
    <ds:schemaRef ds:uri="http://schemas.microsoft.com/office/infopath/2007/PartnerControls"/>
    <ds:schemaRef ds:uri="09724019-ece6-4cc8-9610-bc0b7783ef81"/>
    <ds:schemaRef ds:uri="f4ce5f50-2f14-41a5-93fe-3e5161fe0484"/>
  </ds:schemaRefs>
</ds:datastoreItem>
</file>

<file path=customXml/itemProps2.xml><?xml version="1.0" encoding="utf-8"?>
<ds:datastoreItem xmlns:ds="http://schemas.openxmlformats.org/officeDocument/2006/customXml" ds:itemID="{FC79C17C-1573-4D53-BB55-858CE038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e5f50-2f14-41a5-93fe-3e5161fe0484"/>
    <ds:schemaRef ds:uri="09724019-ece6-4cc8-9610-bc0b7783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8423D-D1E7-B640-B4C4-5CA443ACE122}">
  <ds:schemaRefs>
    <ds:schemaRef ds:uri="http://schemas.openxmlformats.org/officeDocument/2006/bibliography"/>
  </ds:schemaRefs>
</ds:datastoreItem>
</file>

<file path=customXml/itemProps4.xml><?xml version="1.0" encoding="utf-8"?>
<ds:datastoreItem xmlns:ds="http://schemas.openxmlformats.org/officeDocument/2006/customXml" ds:itemID="{E1F7FD58-0820-4FEB-9819-8318EA1BE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4704</Words>
  <Characters>27056</Characters>
  <Application>Microsoft Office Word</Application>
  <DocSecurity>4</DocSecurity>
  <Lines>1166</Lines>
  <Paragraphs>791</Paragraphs>
  <ScaleCrop>false</ScaleCrop>
  <Company>Biolexica LLC</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McAdara</dc:creator>
  <cp:keywords/>
  <dc:description/>
  <cp:lastModifiedBy>Mallender, Philip</cp:lastModifiedBy>
  <cp:revision>90</cp:revision>
  <dcterms:created xsi:type="dcterms:W3CDTF">2025-12-19T19:06:00Z</dcterms:created>
  <dcterms:modified xsi:type="dcterms:W3CDTF">2026-04-24T12:56:00Z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c9100033-b484-4a0c-a055-7a93f39bad4f</vt:lpwstr>
  </property>
  <property fmtid="{D5CDD505-2E9C-101B-9397-08002B2CF9AE}" pid="3" name="MediaServiceImageTags">
    <vt:lpwstr/>
  </property>
  <property fmtid="{D5CDD505-2E9C-101B-9397-08002B2CF9AE}" pid="4" name="ContentTypeId">
    <vt:lpwstr>0x0101005A5454F1B93C054897BB295CAC37DFF7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en</vt:lpwstr>
  </property>
</Properties>
</file>