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0AE2" w14:textId="6A303281" w:rsidR="00FE6784" w:rsidRDefault="0066379D" w:rsidP="008117E1">
      <w:pPr>
        <w:spacing w:line="360" w:lineRule="auto"/>
        <w:rPr>
          <w:rFonts w:ascii="Book Antiqua" w:hAnsi="Book Antiqua"/>
          <w:sz w:val="24"/>
          <w:szCs w:val="24"/>
        </w:rPr>
      </w:pPr>
      <w:r w:rsidRPr="0066379D">
        <w:rPr>
          <w:rFonts w:ascii="Book Antiqua" w:hAnsi="Book Antiqua" w:hint="eastAsia"/>
          <w:sz w:val="24"/>
          <w:szCs w:val="24"/>
        </w:rPr>
        <w:t>Supplementary Table 1</w:t>
      </w:r>
      <w:r>
        <w:rPr>
          <w:rFonts w:ascii="Book Antiqua" w:hAnsi="Book Antiqua" w:hint="eastAsia"/>
          <w:sz w:val="24"/>
          <w:szCs w:val="24"/>
        </w:rPr>
        <w:t xml:space="preserve">. </w:t>
      </w:r>
      <w:r w:rsidRPr="0066379D">
        <w:rPr>
          <w:rFonts w:ascii="Book Antiqua" w:hAnsi="Book Antiqua" w:hint="eastAsia"/>
          <w:sz w:val="24"/>
          <w:szCs w:val="24"/>
        </w:rPr>
        <w:t>Variable Importance Ranking in the LightGBM Model for Predicting Postoperative Intracranial Infection (ICI)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62"/>
        <w:gridCol w:w="7294"/>
        <w:gridCol w:w="2160"/>
      </w:tblGrid>
      <w:tr w:rsidR="008117E1" w:rsidRPr="008117E1" w14:paraId="5F527F2D" w14:textId="77777777" w:rsidTr="008117E1">
        <w:trPr>
          <w:trHeight w:val="501"/>
        </w:trPr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0E2A3CC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Rank</w:t>
            </w:r>
          </w:p>
        </w:tc>
        <w:tc>
          <w:tcPr>
            <w:tcW w:w="1327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1B279D1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Variable Name</w:t>
            </w:r>
          </w:p>
        </w:tc>
        <w:tc>
          <w:tcPr>
            <w:tcW w:w="257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6F7FCF4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Variable Description</w:t>
            </w:r>
          </w:p>
        </w:tc>
        <w:tc>
          <w:tcPr>
            <w:tcW w:w="762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2AFDA31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Importance Score</w:t>
            </w:r>
          </w:p>
        </w:tc>
      </w:tr>
      <w:tr w:rsidR="008117E1" w:rsidRPr="008117E1" w14:paraId="7404F301" w14:textId="77777777" w:rsidTr="008117E1">
        <w:trPr>
          <w:trHeight w:val="501"/>
        </w:trPr>
        <w:tc>
          <w:tcPr>
            <w:tcW w:w="338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7AE5BCD5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27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5A8A2F43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Postoperative cerebrospinal fluid (CSF) leakage</w:t>
            </w:r>
          </w:p>
        </w:tc>
        <w:tc>
          <w:tcPr>
            <w:tcW w:w="257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02440F29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Postoperative occurrence of CSF leakage (confirmed by clinical observation, imaging examination, or lumbar puncture)</w:t>
            </w:r>
          </w:p>
        </w:tc>
        <w:tc>
          <w:tcPr>
            <w:tcW w:w="762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08064801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8117E1" w:rsidRPr="008117E1" w14:paraId="5DC9F4D2" w14:textId="77777777" w:rsidTr="008117E1">
        <w:trPr>
          <w:trHeight w:val="501"/>
        </w:trPr>
        <w:tc>
          <w:tcPr>
            <w:tcW w:w="338" w:type="pct"/>
            <w:noWrap/>
            <w:vAlign w:val="bottom"/>
            <w:hideMark/>
          </w:tcPr>
          <w:p w14:paraId="7CEB5760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27" w:type="pct"/>
            <w:noWrap/>
            <w:vAlign w:val="bottom"/>
            <w:hideMark/>
          </w:tcPr>
          <w:p w14:paraId="6B83EFB0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Frequent CSF sampling or drug injection via drainage tubes</w:t>
            </w:r>
          </w:p>
        </w:tc>
        <w:tc>
          <w:tcPr>
            <w:tcW w:w="2573" w:type="pct"/>
            <w:noWrap/>
            <w:vAlign w:val="bottom"/>
            <w:hideMark/>
          </w:tcPr>
          <w:p w14:paraId="3F8F2FD8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≥3 times of CSF sampling or drug injection through indwelling drainage tubes within 24 hours</w:t>
            </w:r>
          </w:p>
        </w:tc>
        <w:tc>
          <w:tcPr>
            <w:tcW w:w="762" w:type="pct"/>
            <w:noWrap/>
            <w:vAlign w:val="bottom"/>
            <w:hideMark/>
          </w:tcPr>
          <w:p w14:paraId="732B4383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89.7</w:t>
            </w:r>
          </w:p>
        </w:tc>
      </w:tr>
      <w:tr w:rsidR="008117E1" w:rsidRPr="008117E1" w14:paraId="391C31A3" w14:textId="77777777" w:rsidTr="008117E1">
        <w:trPr>
          <w:trHeight w:val="501"/>
        </w:trPr>
        <w:tc>
          <w:tcPr>
            <w:tcW w:w="338" w:type="pct"/>
            <w:noWrap/>
            <w:vAlign w:val="bottom"/>
            <w:hideMark/>
          </w:tcPr>
          <w:p w14:paraId="27C1FC6D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27" w:type="pct"/>
            <w:noWrap/>
            <w:vAlign w:val="bottom"/>
            <w:hideMark/>
          </w:tcPr>
          <w:p w14:paraId="57FD96CC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Surgical duration</w:t>
            </w:r>
          </w:p>
        </w:tc>
        <w:tc>
          <w:tcPr>
            <w:tcW w:w="2573" w:type="pct"/>
            <w:noWrap/>
            <w:vAlign w:val="bottom"/>
            <w:hideMark/>
          </w:tcPr>
          <w:p w14:paraId="368EE89A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Total duration of craniotomy (measured in minutes from skin incision to suture completion)</w:t>
            </w:r>
          </w:p>
        </w:tc>
        <w:tc>
          <w:tcPr>
            <w:tcW w:w="762" w:type="pct"/>
            <w:noWrap/>
            <w:vAlign w:val="bottom"/>
            <w:hideMark/>
          </w:tcPr>
          <w:p w14:paraId="237E2347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76.3</w:t>
            </w:r>
          </w:p>
        </w:tc>
      </w:tr>
      <w:tr w:rsidR="008117E1" w:rsidRPr="008117E1" w14:paraId="0B4132CD" w14:textId="77777777" w:rsidTr="008117E1">
        <w:trPr>
          <w:trHeight w:val="501"/>
        </w:trPr>
        <w:tc>
          <w:tcPr>
            <w:tcW w:w="338" w:type="pct"/>
            <w:noWrap/>
            <w:vAlign w:val="bottom"/>
            <w:hideMark/>
          </w:tcPr>
          <w:p w14:paraId="09A901B3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27" w:type="pct"/>
            <w:noWrap/>
            <w:vAlign w:val="bottom"/>
            <w:hideMark/>
          </w:tcPr>
          <w:p w14:paraId="33B2EE72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Intraoperative blood loss</w:t>
            </w:r>
          </w:p>
        </w:tc>
        <w:tc>
          <w:tcPr>
            <w:tcW w:w="2573" w:type="pct"/>
            <w:noWrap/>
            <w:vAlign w:val="bottom"/>
            <w:hideMark/>
          </w:tcPr>
          <w:p w14:paraId="72724AA7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Total volume of blood loss during surgery (measured in milliliters)</w:t>
            </w:r>
          </w:p>
        </w:tc>
        <w:tc>
          <w:tcPr>
            <w:tcW w:w="762" w:type="pct"/>
            <w:noWrap/>
            <w:vAlign w:val="bottom"/>
            <w:hideMark/>
          </w:tcPr>
          <w:p w14:paraId="25A6CE33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68.5</w:t>
            </w:r>
          </w:p>
        </w:tc>
      </w:tr>
      <w:tr w:rsidR="008117E1" w:rsidRPr="008117E1" w14:paraId="45BB01F1" w14:textId="77777777" w:rsidTr="008117E1">
        <w:trPr>
          <w:trHeight w:val="501"/>
        </w:trPr>
        <w:tc>
          <w:tcPr>
            <w:tcW w:w="338" w:type="pct"/>
            <w:noWrap/>
            <w:vAlign w:val="bottom"/>
            <w:hideMark/>
          </w:tcPr>
          <w:p w14:paraId="5F46A5C2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27" w:type="pct"/>
            <w:noWrap/>
            <w:vAlign w:val="bottom"/>
            <w:hideMark/>
          </w:tcPr>
          <w:p w14:paraId="3451E1AA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Number of craniotomies ≥2</w:t>
            </w:r>
          </w:p>
        </w:tc>
        <w:tc>
          <w:tcPr>
            <w:tcW w:w="2573" w:type="pct"/>
            <w:noWrap/>
            <w:vAlign w:val="bottom"/>
            <w:hideMark/>
          </w:tcPr>
          <w:p w14:paraId="444AF699" w14:textId="77777777" w:rsidR="008117E1" w:rsidRPr="008117E1" w:rsidRDefault="008117E1" w:rsidP="008117E1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Patients who underwent two or more craniotomy procedures</w:t>
            </w:r>
          </w:p>
        </w:tc>
        <w:tc>
          <w:tcPr>
            <w:tcW w:w="762" w:type="pct"/>
            <w:noWrap/>
            <w:vAlign w:val="bottom"/>
            <w:hideMark/>
          </w:tcPr>
          <w:p w14:paraId="0AE31C22" w14:textId="77777777" w:rsidR="008117E1" w:rsidRPr="008117E1" w:rsidRDefault="008117E1" w:rsidP="008117E1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117E1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57.2</w:t>
            </w:r>
          </w:p>
        </w:tc>
      </w:tr>
    </w:tbl>
    <w:p w14:paraId="5D065721" w14:textId="77777777" w:rsidR="008117E1" w:rsidRPr="008117E1" w:rsidRDefault="008117E1" w:rsidP="008117E1">
      <w:pPr>
        <w:spacing w:line="360" w:lineRule="auto"/>
        <w:rPr>
          <w:rFonts w:ascii="Book Antiqua" w:hAnsi="Book Antiqua" w:hint="eastAsia"/>
          <w:sz w:val="24"/>
          <w:szCs w:val="24"/>
        </w:rPr>
      </w:pPr>
    </w:p>
    <w:sectPr w:rsidR="008117E1" w:rsidRPr="008117E1" w:rsidSect="008117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273B" w14:textId="77777777" w:rsidR="00072A6D" w:rsidRDefault="00072A6D" w:rsidP="008117E1">
      <w:pPr>
        <w:rPr>
          <w:rFonts w:hint="eastAsia"/>
        </w:rPr>
      </w:pPr>
      <w:r>
        <w:separator/>
      </w:r>
    </w:p>
  </w:endnote>
  <w:endnote w:type="continuationSeparator" w:id="0">
    <w:p w14:paraId="7EC7A3A6" w14:textId="77777777" w:rsidR="00072A6D" w:rsidRDefault="00072A6D" w:rsidP="00811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5C0F" w14:textId="77777777" w:rsidR="00072A6D" w:rsidRDefault="00072A6D" w:rsidP="008117E1">
      <w:pPr>
        <w:rPr>
          <w:rFonts w:hint="eastAsia"/>
        </w:rPr>
      </w:pPr>
      <w:r>
        <w:separator/>
      </w:r>
    </w:p>
  </w:footnote>
  <w:footnote w:type="continuationSeparator" w:id="0">
    <w:p w14:paraId="77458E8F" w14:textId="77777777" w:rsidR="00072A6D" w:rsidRDefault="00072A6D" w:rsidP="008117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55B"/>
    <w:rsid w:val="00072A6D"/>
    <w:rsid w:val="0057555B"/>
    <w:rsid w:val="0066379D"/>
    <w:rsid w:val="008117E1"/>
    <w:rsid w:val="00E32E42"/>
    <w:rsid w:val="00FE6784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FF1B7"/>
  <w15:chartTrackingRefBased/>
  <w15:docId w15:val="{E695B2D0-AEB8-4BA6-8C92-25C9C379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5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55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55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17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17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1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17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709</Characters>
  <Application>Microsoft Office Word</Application>
  <DocSecurity>0</DocSecurity>
  <Lines>15</Lines>
  <Paragraphs>4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3</cp:revision>
  <dcterms:created xsi:type="dcterms:W3CDTF">2026-01-13T14:16:00Z</dcterms:created>
  <dcterms:modified xsi:type="dcterms:W3CDTF">2026-01-13T14:19:00Z</dcterms:modified>
</cp:coreProperties>
</file>