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FB7FC" w14:textId="125873A1" w:rsidR="002E472D" w:rsidRDefault="002E472D" w:rsidP="008E3334">
      <w:pPr>
        <w:spacing w:line="480" w:lineRule="auto"/>
        <w:rPr>
          <w:rFonts w:ascii="Times New Roman" w:hAnsi="Times New Roman" w:cs="Times New Roman"/>
          <w:i/>
          <w:iCs/>
          <w:sz w:val="24"/>
        </w:rPr>
      </w:pPr>
      <w:r w:rsidRPr="002E472D">
        <w:rPr>
          <w:rFonts w:ascii="Times New Roman" w:hAnsi="Times New Roman" w:cs="Times New Roman"/>
          <w:b/>
          <w:bCs/>
          <w:sz w:val="24"/>
        </w:rPr>
        <w:t>Exploratory analyses of additional frequency bands</w:t>
      </w:r>
    </w:p>
    <w:p w14:paraId="0533F90E" w14:textId="1F18D54E" w:rsidR="00830B10" w:rsidRDefault="002E472D" w:rsidP="008E3334">
      <w:pPr>
        <w:spacing w:line="480" w:lineRule="auto"/>
        <w:ind w:firstLineChars="200" w:firstLine="480"/>
        <w:rPr>
          <w:rFonts w:ascii="Times New Roman" w:hAnsi="Times New Roman" w:cs="Times New Roman"/>
          <w:sz w:val="24"/>
        </w:rPr>
      </w:pPr>
      <w:r w:rsidRPr="002E472D">
        <w:rPr>
          <w:rFonts w:ascii="Times New Roman" w:hAnsi="Times New Roman" w:cs="Times New Roman"/>
          <w:sz w:val="24"/>
        </w:rPr>
        <w:t>To examine whether the reported time-frequency effects were specific to frontal theta activity, additional exploratory analyses were conducted for the alpha and beta bands using the same frontal/</w:t>
      </w:r>
      <w:proofErr w:type="spellStart"/>
      <w:r w:rsidRPr="002E472D">
        <w:rPr>
          <w:rFonts w:ascii="Times New Roman" w:hAnsi="Times New Roman" w:cs="Times New Roman"/>
          <w:sz w:val="24"/>
        </w:rPr>
        <w:t>fronto</w:t>
      </w:r>
      <w:proofErr w:type="spellEnd"/>
      <w:r w:rsidRPr="002E472D">
        <w:rPr>
          <w:rFonts w:ascii="Times New Roman" w:hAnsi="Times New Roman" w:cs="Times New Roman"/>
          <w:sz w:val="24"/>
        </w:rPr>
        <w:t xml:space="preserve">-central electrode cluster (F1, Fz, F2, FC1, </w:t>
      </w:r>
      <w:proofErr w:type="spellStart"/>
      <w:r w:rsidRPr="002E472D">
        <w:rPr>
          <w:rFonts w:ascii="Times New Roman" w:hAnsi="Times New Roman" w:cs="Times New Roman"/>
          <w:sz w:val="24"/>
        </w:rPr>
        <w:t>FCz</w:t>
      </w:r>
      <w:proofErr w:type="spellEnd"/>
      <w:r w:rsidRPr="002E472D">
        <w:rPr>
          <w:rFonts w:ascii="Times New Roman" w:hAnsi="Times New Roman" w:cs="Times New Roman"/>
          <w:sz w:val="24"/>
        </w:rPr>
        <w:t xml:space="preserve">, FC2). For the alpha band (10-13 Hz), mean power was extracted from the 300-550 </w:t>
      </w:r>
      <w:proofErr w:type="spellStart"/>
      <w:r w:rsidRPr="002E472D">
        <w:rPr>
          <w:rFonts w:ascii="Times New Roman" w:hAnsi="Times New Roman" w:cs="Times New Roman"/>
          <w:sz w:val="24"/>
        </w:rPr>
        <w:t>ms</w:t>
      </w:r>
      <w:proofErr w:type="spellEnd"/>
      <w:r w:rsidRPr="002E472D">
        <w:rPr>
          <w:rFonts w:ascii="Times New Roman" w:hAnsi="Times New Roman" w:cs="Times New Roman"/>
          <w:sz w:val="24"/>
        </w:rPr>
        <w:t xml:space="preserve"> time window. No significant main effects or interactions were observed (all </w:t>
      </w:r>
      <w:proofErr w:type="spellStart"/>
      <w:r w:rsidRPr="002E472D">
        <w:rPr>
          <w:rFonts w:ascii="Times New Roman" w:hAnsi="Times New Roman" w:cs="Times New Roman"/>
          <w:i/>
          <w:iCs/>
          <w:sz w:val="24"/>
        </w:rPr>
        <w:t>ps</w:t>
      </w:r>
      <w:proofErr w:type="spellEnd"/>
      <w:r w:rsidRPr="002E472D">
        <w:rPr>
          <w:rFonts w:ascii="Times New Roman" w:hAnsi="Times New Roman" w:cs="Times New Roman"/>
          <w:sz w:val="24"/>
        </w:rPr>
        <w:t xml:space="preserve"> &gt; .05). For the beta band (18-22 Hz), mean power was extracted from the 250-500 </w:t>
      </w:r>
      <w:proofErr w:type="spellStart"/>
      <w:r w:rsidRPr="002E472D">
        <w:rPr>
          <w:rFonts w:ascii="Times New Roman" w:hAnsi="Times New Roman" w:cs="Times New Roman"/>
          <w:sz w:val="24"/>
        </w:rPr>
        <w:t>ms</w:t>
      </w:r>
      <w:proofErr w:type="spellEnd"/>
      <w:r w:rsidRPr="002E472D">
        <w:rPr>
          <w:rFonts w:ascii="Times New Roman" w:hAnsi="Times New Roman" w:cs="Times New Roman"/>
          <w:sz w:val="24"/>
        </w:rPr>
        <w:t xml:space="preserve"> time window. A significant main effect of Electrode was observed, F</w:t>
      </w:r>
      <w:r>
        <w:rPr>
          <w:rFonts w:ascii="Times New Roman" w:hAnsi="Times New Roman" w:cs="Times New Roman" w:hint="eastAsia"/>
          <w:sz w:val="24"/>
        </w:rPr>
        <w:t xml:space="preserve"> </w:t>
      </w:r>
      <w:r w:rsidRPr="002E472D">
        <w:rPr>
          <w:rFonts w:ascii="Times New Roman" w:hAnsi="Times New Roman" w:cs="Times New Roman"/>
          <w:sz w:val="24"/>
          <w:vertAlign w:val="subscript"/>
        </w:rPr>
        <w:t>(5, 735)</w:t>
      </w:r>
      <w:r w:rsidRPr="002E472D">
        <w:rPr>
          <w:rFonts w:ascii="Times New Roman" w:hAnsi="Times New Roman" w:cs="Times New Roman"/>
          <w:sz w:val="24"/>
        </w:rPr>
        <w:t xml:space="preserve"> = 66.304, </w:t>
      </w:r>
      <w:r w:rsidRPr="002E472D">
        <w:rPr>
          <w:rFonts w:ascii="Times New Roman" w:hAnsi="Times New Roman" w:cs="Times New Roman"/>
          <w:i/>
          <w:iCs/>
          <w:sz w:val="24"/>
        </w:rPr>
        <w:t>p</w:t>
      </w:r>
      <w:r w:rsidRPr="002E472D">
        <w:rPr>
          <w:rFonts w:ascii="Times New Roman" w:hAnsi="Times New Roman" w:cs="Times New Roman"/>
          <w:sz w:val="24"/>
        </w:rPr>
        <w:t xml:space="preserve"> &lt; .001,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</w:rPr>
              <m:t>η</m:t>
            </m:r>
          </m:e>
          <m:sub>
            <m:r>
              <w:rPr>
                <w:rFonts w:ascii="Cambria Math" w:hAnsi="Cambria Math" w:cs="Times New Roman"/>
                <w:sz w:val="24"/>
              </w:rPr>
              <m:t>p</m:t>
            </m:r>
          </m:sub>
          <m:sup>
            <m:r>
              <w:rPr>
                <w:rFonts w:ascii="Cambria Math" w:hAnsi="Cambria Math" w:cs="Times New Roman"/>
                <w:sz w:val="24"/>
              </w:rPr>
              <m:t>2</m:t>
            </m:r>
          </m:sup>
        </m:sSubSup>
      </m:oMath>
      <w:r w:rsidRPr="00E354EA">
        <w:rPr>
          <w:rFonts w:ascii="Times New Roman" w:hAnsi="Times New Roman" w:cs="Times New Roman"/>
          <w:sz w:val="24"/>
        </w:rPr>
        <w:t>=</w:t>
      </w:r>
      <w:r w:rsidRPr="002E472D">
        <w:rPr>
          <w:rFonts w:ascii="Times New Roman" w:hAnsi="Times New Roman" w:cs="Times New Roman"/>
          <w:sz w:val="24"/>
        </w:rPr>
        <w:t xml:space="preserve">.312, but no significant main effects of Group or Task Type, and no significant interactions involving these factors, were found (all </w:t>
      </w:r>
      <w:proofErr w:type="spellStart"/>
      <w:r w:rsidRPr="00016A3B">
        <w:rPr>
          <w:rFonts w:ascii="Times New Roman" w:hAnsi="Times New Roman" w:cs="Times New Roman"/>
          <w:i/>
          <w:iCs/>
          <w:sz w:val="24"/>
        </w:rPr>
        <w:t>ps</w:t>
      </w:r>
      <w:proofErr w:type="spellEnd"/>
      <w:r w:rsidRPr="002E472D">
        <w:rPr>
          <w:rFonts w:ascii="Times New Roman" w:hAnsi="Times New Roman" w:cs="Times New Roman"/>
          <w:sz w:val="24"/>
        </w:rPr>
        <w:t xml:space="preserve"> &gt; .05). These exploratory results suggest that the critical time-frequency effect reported in the main text was not paralleled in the examined alpha or beta bands.</w:t>
      </w:r>
    </w:p>
    <w:p w14:paraId="3CC20E00" w14:textId="386D5005" w:rsidR="008E3334" w:rsidRPr="008E3334" w:rsidRDefault="008E3334" w:rsidP="00E97861">
      <w:pPr>
        <w:spacing w:beforeLines="100" w:before="312" w:line="480" w:lineRule="auto"/>
        <w:rPr>
          <w:rFonts w:ascii="Times New Roman" w:hAnsi="Times New Roman" w:cs="Times New Roman"/>
          <w:b/>
          <w:bCs/>
          <w:sz w:val="24"/>
        </w:rPr>
      </w:pPr>
      <w:r w:rsidRPr="008E3334">
        <w:rPr>
          <w:rFonts w:ascii="Times New Roman" w:hAnsi="Times New Roman" w:cs="Times New Roman"/>
          <w:b/>
          <w:bCs/>
          <w:sz w:val="24"/>
        </w:rPr>
        <w:t>Supplementary Figure S1</w:t>
      </w:r>
    </w:p>
    <w:p w14:paraId="5E6817BB" w14:textId="4177B01F" w:rsidR="00830B10" w:rsidRDefault="008E3334" w:rsidP="002E472D">
      <w:pPr>
        <w:spacing w:line="480" w:lineRule="auto"/>
        <w:ind w:firstLineChars="200" w:firstLine="420"/>
        <w:rPr>
          <w:rFonts w:hint="eastAsia"/>
          <w:b/>
          <w:bCs/>
        </w:rPr>
      </w:pPr>
      <w:r>
        <w:rPr>
          <w:noProof/>
        </w:rPr>
        <w:lastRenderedPageBreak/>
        <w:drawing>
          <wp:inline distT="0" distB="0" distL="0" distR="0" wp14:anchorId="15FEC3D1" wp14:editId="060CBE37">
            <wp:extent cx="5274310" cy="3897630"/>
            <wp:effectExtent l="0" t="0" r="2540" b="7620"/>
            <wp:docPr id="95059341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9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9F413" w14:textId="66C9C5DC" w:rsidR="00830B10" w:rsidRPr="00830B10" w:rsidRDefault="00830B10" w:rsidP="008E333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30B10">
        <w:rPr>
          <w:rFonts w:ascii="Times New Roman" w:hAnsi="Times New Roman" w:cs="Times New Roman"/>
          <w:b/>
          <w:bCs/>
          <w:sz w:val="24"/>
          <w:szCs w:val="24"/>
        </w:rPr>
        <w:t>Supplementary Figure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Pr="00830B1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30B10">
        <w:rPr>
          <w:rFonts w:ascii="Times New Roman" w:hAnsi="Times New Roman" w:cs="Times New Roman"/>
          <w:sz w:val="24"/>
          <w:szCs w:val="24"/>
        </w:rPr>
        <w:t xml:space="preserve"> Grand-average time-frequency representation across all groups and conditions at the frontal/</w:t>
      </w:r>
      <w:proofErr w:type="spellStart"/>
      <w:r w:rsidRPr="00830B10">
        <w:rPr>
          <w:rFonts w:ascii="Times New Roman" w:hAnsi="Times New Roman" w:cs="Times New Roman"/>
          <w:sz w:val="24"/>
          <w:szCs w:val="24"/>
        </w:rPr>
        <w:t>fronto</w:t>
      </w:r>
      <w:proofErr w:type="spellEnd"/>
      <w:r w:rsidRPr="00830B10">
        <w:rPr>
          <w:rFonts w:ascii="Times New Roman" w:hAnsi="Times New Roman" w:cs="Times New Roman"/>
          <w:sz w:val="24"/>
          <w:szCs w:val="24"/>
        </w:rPr>
        <w:t xml:space="preserve">-central electrode cluster (F1, Fz, F2, FC1, </w:t>
      </w:r>
      <w:proofErr w:type="spellStart"/>
      <w:r w:rsidRPr="00830B10">
        <w:rPr>
          <w:rFonts w:ascii="Times New Roman" w:hAnsi="Times New Roman" w:cs="Times New Roman"/>
          <w:sz w:val="24"/>
          <w:szCs w:val="24"/>
        </w:rPr>
        <w:t>FCz</w:t>
      </w:r>
      <w:proofErr w:type="spellEnd"/>
      <w:r w:rsidRPr="00830B10">
        <w:rPr>
          <w:rFonts w:ascii="Times New Roman" w:hAnsi="Times New Roman" w:cs="Times New Roman"/>
          <w:sz w:val="24"/>
          <w:szCs w:val="24"/>
        </w:rPr>
        <w:t>, FC2), used to guide the selection of the theta-band time windows.</w:t>
      </w:r>
      <w:r w:rsidR="008E3334" w:rsidRPr="008E3334">
        <w:t xml:space="preserve"> </w:t>
      </w:r>
      <w:r w:rsidR="008E3334" w:rsidRPr="008E3334">
        <w:rPr>
          <w:rFonts w:ascii="Times New Roman" w:hAnsi="Times New Roman" w:cs="Times New Roman"/>
          <w:sz w:val="24"/>
          <w:szCs w:val="24"/>
        </w:rPr>
        <w:t>Grand-average time-frequency representation across all groups and conditions at the frontal/</w:t>
      </w:r>
      <w:proofErr w:type="spellStart"/>
      <w:r w:rsidR="008E3334" w:rsidRPr="008E3334">
        <w:rPr>
          <w:rFonts w:ascii="Times New Roman" w:hAnsi="Times New Roman" w:cs="Times New Roman"/>
          <w:sz w:val="24"/>
          <w:szCs w:val="24"/>
        </w:rPr>
        <w:t>fronto</w:t>
      </w:r>
      <w:proofErr w:type="spellEnd"/>
      <w:r w:rsidR="008E3334" w:rsidRPr="008E3334">
        <w:rPr>
          <w:rFonts w:ascii="Times New Roman" w:hAnsi="Times New Roman" w:cs="Times New Roman"/>
          <w:sz w:val="24"/>
          <w:szCs w:val="24"/>
        </w:rPr>
        <w:t xml:space="preserve">-central electrode cluster (F1, Fz, F2, FC1, </w:t>
      </w:r>
      <w:proofErr w:type="spellStart"/>
      <w:r w:rsidR="008E3334" w:rsidRPr="008E3334">
        <w:rPr>
          <w:rFonts w:ascii="Times New Roman" w:hAnsi="Times New Roman" w:cs="Times New Roman"/>
          <w:sz w:val="24"/>
          <w:szCs w:val="24"/>
        </w:rPr>
        <w:t>FCz</w:t>
      </w:r>
      <w:proofErr w:type="spellEnd"/>
      <w:r w:rsidR="008E3334" w:rsidRPr="008E3334">
        <w:rPr>
          <w:rFonts w:ascii="Times New Roman" w:hAnsi="Times New Roman" w:cs="Times New Roman"/>
          <w:sz w:val="24"/>
          <w:szCs w:val="24"/>
        </w:rPr>
        <w:t xml:space="preserve">, FC2). Visual inspection of this grand-average plot was used to guide the selection of the theta-band time windows (130-260 </w:t>
      </w:r>
      <w:proofErr w:type="spellStart"/>
      <w:r w:rsidR="008E3334" w:rsidRPr="008E3334">
        <w:rPr>
          <w:rFonts w:ascii="Times New Roman" w:hAnsi="Times New Roman" w:cs="Times New Roman"/>
          <w:sz w:val="24"/>
          <w:szCs w:val="24"/>
        </w:rPr>
        <w:t>ms</w:t>
      </w:r>
      <w:proofErr w:type="spellEnd"/>
      <w:r w:rsidR="008E3334" w:rsidRPr="008E3334">
        <w:rPr>
          <w:rFonts w:ascii="Times New Roman" w:hAnsi="Times New Roman" w:cs="Times New Roman"/>
          <w:sz w:val="24"/>
          <w:szCs w:val="24"/>
        </w:rPr>
        <w:t xml:space="preserve"> and 300-600 </w:t>
      </w:r>
      <w:proofErr w:type="spellStart"/>
      <w:r w:rsidR="008E3334" w:rsidRPr="008E3334">
        <w:rPr>
          <w:rFonts w:ascii="Times New Roman" w:hAnsi="Times New Roman" w:cs="Times New Roman"/>
          <w:sz w:val="24"/>
          <w:szCs w:val="24"/>
        </w:rPr>
        <w:t>ms</w:t>
      </w:r>
      <w:proofErr w:type="spellEnd"/>
      <w:r w:rsidR="008E3334" w:rsidRPr="008E3334">
        <w:rPr>
          <w:rFonts w:ascii="Times New Roman" w:hAnsi="Times New Roman" w:cs="Times New Roman"/>
          <w:sz w:val="24"/>
          <w:szCs w:val="24"/>
        </w:rPr>
        <w:t>).</w:t>
      </w:r>
    </w:p>
    <w:sectPr w:rsidR="00830B10" w:rsidRPr="00830B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A8C"/>
    <w:rsid w:val="00016A3B"/>
    <w:rsid w:val="002E472D"/>
    <w:rsid w:val="005C09B3"/>
    <w:rsid w:val="005C31E6"/>
    <w:rsid w:val="00830B10"/>
    <w:rsid w:val="008E3334"/>
    <w:rsid w:val="00AB37A6"/>
    <w:rsid w:val="00B3589C"/>
    <w:rsid w:val="00D20D88"/>
    <w:rsid w:val="00D30A8C"/>
    <w:rsid w:val="00DF02F9"/>
    <w:rsid w:val="00E9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F248A"/>
  <w15:chartTrackingRefBased/>
  <w15:docId w15:val="{89324536-20BA-4619-BCE9-727CEDDCB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30A8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30A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0A8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30A8C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30A8C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30A8C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30A8C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30A8C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30A8C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30A8C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30A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30A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30A8C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30A8C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D30A8C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30A8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30A8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30A8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30A8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30A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30A8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30A8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30A8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30A8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30A8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30A8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30A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30A8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30A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Jinqin Cao</dc:creator>
  <cp:keywords/>
  <dc:description/>
  <cp:lastModifiedBy>Jinqin Cao</cp:lastModifiedBy>
  <cp:revision>6</cp:revision>
  <dcterms:created xsi:type="dcterms:W3CDTF">2026-04-19T01:45:00Z</dcterms:created>
  <dcterms:modified xsi:type="dcterms:W3CDTF">2026-04-20T15:29:00Z</dcterms:modified>
</cp:coreProperties>
</file>