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D0C80" w14:textId="5B7938A2" w:rsidR="00447BF6" w:rsidRPr="007E3B13" w:rsidRDefault="00EA6CCF">
      <w:pPr>
        <w:rPr>
          <w:rFonts w:ascii="Arial" w:hAnsi="Arial" w:cs="Arial"/>
          <w:b/>
          <w:bCs/>
        </w:rPr>
      </w:pPr>
      <w:r w:rsidRPr="007E3B13">
        <w:rPr>
          <w:rFonts w:ascii="Arial" w:hAnsi="Arial" w:cs="Arial"/>
          <w:b/>
          <w:bCs/>
        </w:rPr>
        <w:t>Supplement appendix</w:t>
      </w:r>
    </w:p>
    <w:p w14:paraId="4E5D5EF7" w14:textId="77777777" w:rsidR="007A7069" w:rsidRPr="007E3B13" w:rsidRDefault="007A7069" w:rsidP="007A7069">
      <w:pPr>
        <w:widowControl/>
        <w:rPr>
          <w:rFonts w:ascii="Arial" w:hAnsi="Arial" w:cs="Arial"/>
        </w:rPr>
      </w:pPr>
      <w:r w:rsidRPr="007E3B13">
        <w:rPr>
          <w:rFonts w:ascii="Arial" w:hAnsi="Arial" w:cs="Arial"/>
        </w:rPr>
        <w:t>Supplement S1. Medical Coding Definitions: Abbreviations, ICD-9-CM, ICD-10-CM, and National Health Insurance (NHI) Codes</w:t>
      </w:r>
    </w:p>
    <w:p w14:paraId="048FFE39" w14:textId="4F36E90D" w:rsidR="007A7069" w:rsidRPr="007E3B13" w:rsidRDefault="007A7069" w:rsidP="007A7069">
      <w:pPr>
        <w:widowControl/>
        <w:rPr>
          <w:rFonts w:ascii="Arial" w:hAnsi="Arial" w:cs="Arial"/>
        </w:rPr>
      </w:pPr>
      <w:r w:rsidRPr="007E3B13">
        <w:rPr>
          <w:rFonts w:ascii="Arial" w:hAnsi="Arial" w:cs="Arial"/>
        </w:rPr>
        <w:t>Supplement S2. Summary of Follow-up Duration and Time to Mortality</w:t>
      </w:r>
    </w:p>
    <w:p w14:paraId="3A9C6150" w14:textId="05B4B34B" w:rsidR="00A640B8" w:rsidRPr="007E3B13" w:rsidRDefault="00A640B8" w:rsidP="007A7069">
      <w:pPr>
        <w:widowControl/>
        <w:rPr>
          <w:rFonts w:ascii="Arial" w:hAnsi="Arial" w:cs="Arial"/>
        </w:rPr>
      </w:pPr>
      <w:r w:rsidRPr="007E3B13">
        <w:rPr>
          <w:rFonts w:ascii="Arial" w:hAnsi="Arial" w:cs="Arial"/>
        </w:rPr>
        <w:t>Supplement S3. Sensitivity Analysis of Mortality Outcomes by Follow-up Duration</w:t>
      </w:r>
    </w:p>
    <w:p w14:paraId="62EE48AE" w14:textId="004EF15B" w:rsidR="00325FD9" w:rsidRPr="007E3B13" w:rsidRDefault="00325FD9" w:rsidP="007A7069">
      <w:pPr>
        <w:widowControl/>
        <w:rPr>
          <w:rFonts w:ascii="Arial" w:hAnsi="Arial" w:cs="Arial"/>
        </w:rPr>
      </w:pPr>
      <w:r w:rsidRPr="007E3B13">
        <w:rPr>
          <w:rFonts w:ascii="Arial" w:hAnsi="Arial" w:cs="Arial"/>
        </w:rPr>
        <w:t>Supplement S4. Adjusted Hazard Ratios for Mortality (Lipo-Dox vs. Epirubicin) by Lipo-Dox Cumulative Defined Daily Dose (</w:t>
      </w:r>
      <w:proofErr w:type="spellStart"/>
      <w:r w:rsidRPr="007E3B13">
        <w:rPr>
          <w:rFonts w:ascii="Arial" w:hAnsi="Arial" w:cs="Arial"/>
        </w:rPr>
        <w:t>cDDD</w:t>
      </w:r>
      <w:proofErr w:type="spellEnd"/>
      <w:r w:rsidRPr="007E3B13">
        <w:rPr>
          <w:rFonts w:ascii="Arial" w:hAnsi="Arial" w:cs="Arial"/>
        </w:rPr>
        <w:t>) Subgroups</w:t>
      </w:r>
    </w:p>
    <w:p w14:paraId="01B2C3D5" w14:textId="01B2C3D5" w:rsidR="007A7069" w:rsidRPr="007E3B13" w:rsidRDefault="007A7069" w:rsidP="007A7069">
      <w:pPr>
        <w:widowControl/>
        <w:rPr>
          <w:rFonts w:ascii="Arial" w:hAnsi="Arial" w:cs="Arial"/>
        </w:rPr>
      </w:pPr>
      <w:r w:rsidRPr="007E3B13">
        <w:rPr>
          <w:rFonts w:ascii="Arial" w:hAnsi="Arial" w:cs="Arial"/>
        </w:rPr>
        <w:t>Supplement S5. Sensitivity Analysis: Matched vs. Unmatched Cohort Overall Survival</w:t>
      </w:r>
    </w:p>
    <w:p w14:paraId="01B2C3D6" w14:textId="01B2C3D6" w:rsidR="007A7069" w:rsidRPr="007E3B13" w:rsidRDefault="007A7069" w:rsidP="007A7069">
      <w:pPr>
        <w:widowControl/>
        <w:rPr>
          <w:rFonts w:ascii="Arial" w:hAnsi="Arial" w:cs="Arial"/>
        </w:rPr>
      </w:pPr>
      <w:r w:rsidRPr="007E3B13">
        <w:rPr>
          <w:rFonts w:ascii="Arial" w:hAnsi="Arial" w:cs="Arial"/>
        </w:rPr>
        <w:t>Supplement S6. Kaplan-Meier Curves for Cardiotoxicity-Free Survival and Disease-Free Survival</w:t>
      </w:r>
    </w:p>
    <w:p w14:paraId="13928858" w14:textId="77777777" w:rsidR="00EA6CCF" w:rsidRPr="007E3B13" w:rsidRDefault="00EA6CCF">
      <w:pPr>
        <w:rPr>
          <w:rFonts w:ascii="Arial" w:hAnsi="Arial" w:cs="Arial"/>
        </w:rPr>
      </w:pPr>
    </w:p>
    <w:p w14:paraId="53695B05" w14:textId="0BD5B10D" w:rsidR="00EA6CCF" w:rsidRPr="007E3B13" w:rsidRDefault="00EA6CCF">
      <w:pPr>
        <w:widowControl/>
        <w:rPr>
          <w:rFonts w:ascii="Arial" w:hAnsi="Arial" w:cs="Arial"/>
        </w:rPr>
      </w:pPr>
      <w:r w:rsidRPr="007E3B13">
        <w:rPr>
          <w:rFonts w:ascii="Arial" w:hAnsi="Arial" w:cs="Arial"/>
        </w:rPr>
        <w:br w:type="page"/>
      </w:r>
    </w:p>
    <w:p w14:paraId="6E4BD951" w14:textId="09649B23" w:rsidR="007A7069" w:rsidRPr="007E3B13" w:rsidRDefault="007A7069">
      <w:pPr>
        <w:widowControl/>
        <w:rPr>
          <w:rFonts w:ascii="Arial" w:hAnsi="Arial" w:cs="Arial"/>
        </w:rPr>
      </w:pPr>
      <w:r w:rsidRPr="007E3B13">
        <w:rPr>
          <w:rFonts w:ascii="Arial" w:hAnsi="Arial" w:cs="Arial"/>
          <w:b/>
          <w:bCs/>
        </w:rPr>
        <w:lastRenderedPageBreak/>
        <w:t>Supplement S1. Medical Coding Definitions: Abbreviations, ICD-9-CM, ICD-10-CM, and National Health Insurance (NHI) Codes</w:t>
      </w:r>
    </w:p>
    <w:tbl>
      <w:tblPr>
        <w:tblStyle w:val="TableGrid"/>
        <w:tblW w:w="8499" w:type="dxa"/>
        <w:tblLook w:val="04A0" w:firstRow="1" w:lastRow="0" w:firstColumn="1" w:lastColumn="0" w:noHBand="0" w:noVBand="1"/>
      </w:tblPr>
      <w:tblGrid>
        <w:gridCol w:w="2347"/>
        <w:gridCol w:w="1784"/>
        <w:gridCol w:w="4368"/>
      </w:tblGrid>
      <w:tr w:rsidR="00EA6CCF" w:rsidRPr="007E3B13" w14:paraId="24832515" w14:textId="77777777" w:rsidTr="007A7069">
        <w:trPr>
          <w:trHeight w:val="350"/>
        </w:trPr>
        <w:tc>
          <w:tcPr>
            <w:tcW w:w="2347" w:type="dxa"/>
            <w:noWrap/>
            <w:hideMark/>
          </w:tcPr>
          <w:p w14:paraId="09C6ACEC" w14:textId="77777777" w:rsidR="00EA6CCF" w:rsidRPr="007E3B13" w:rsidRDefault="00EA6CCF" w:rsidP="00EA6CCF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 xml:space="preserve">　</w:t>
            </w:r>
          </w:p>
        </w:tc>
        <w:tc>
          <w:tcPr>
            <w:tcW w:w="1784" w:type="dxa"/>
            <w:noWrap/>
            <w:hideMark/>
          </w:tcPr>
          <w:p w14:paraId="25E48053" w14:textId="77777777" w:rsidR="00EA6CCF" w:rsidRPr="007E3B13" w:rsidRDefault="00EA6CCF" w:rsidP="00EA6CCF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Abbreviation</w:t>
            </w:r>
          </w:p>
        </w:tc>
        <w:tc>
          <w:tcPr>
            <w:tcW w:w="4368" w:type="dxa"/>
            <w:noWrap/>
            <w:hideMark/>
          </w:tcPr>
          <w:p w14:paraId="4A1BB888" w14:textId="77777777" w:rsidR="00EA6CCF" w:rsidRPr="007E3B13" w:rsidRDefault="00EA6CCF" w:rsidP="00EA6CCF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 xml:space="preserve">ICD-9-CM / ICD-10-CM / NHI code </w:t>
            </w:r>
          </w:p>
        </w:tc>
      </w:tr>
      <w:tr w:rsidR="00EA6CCF" w:rsidRPr="007E3B13" w14:paraId="44FD97F4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56324AC7" w14:textId="6F8DF0DE" w:rsidR="00EA6CCF" w:rsidRPr="007E3B13" w:rsidRDefault="00EA6CCF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 xml:space="preserve">Study population: </w:t>
            </w:r>
          </w:p>
        </w:tc>
        <w:tc>
          <w:tcPr>
            <w:tcW w:w="1784" w:type="dxa"/>
            <w:noWrap/>
            <w:hideMark/>
          </w:tcPr>
          <w:p w14:paraId="626B9E51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55A56417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</w:tr>
      <w:tr w:rsidR="00EA6CCF" w:rsidRPr="007E3B13" w14:paraId="74FBAAED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4FBB3E10" w14:textId="7B1AEC84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Female breast cancer</w:t>
            </w:r>
          </w:p>
        </w:tc>
        <w:tc>
          <w:tcPr>
            <w:tcW w:w="1784" w:type="dxa"/>
            <w:noWrap/>
            <w:hideMark/>
          </w:tcPr>
          <w:p w14:paraId="5D48BE28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4AB3F646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174 / C50</w:t>
            </w:r>
          </w:p>
        </w:tc>
      </w:tr>
      <w:tr w:rsidR="00EA6CCF" w:rsidRPr="007E3B13" w14:paraId="1830D5FB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75D93B95" w14:textId="380A6483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Adjuvant chemotherapy</w:t>
            </w:r>
          </w:p>
        </w:tc>
        <w:tc>
          <w:tcPr>
            <w:tcW w:w="1784" w:type="dxa"/>
            <w:noWrap/>
            <w:hideMark/>
          </w:tcPr>
          <w:p w14:paraId="29CFBC24" w14:textId="77777777" w:rsidR="00EA6CCF" w:rsidRPr="007E3B13" w:rsidRDefault="00EA6CCF" w:rsidP="00EA6CCF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2171720B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P15xx0 - P15xx2 (xx = 11 - 30), P15xx3 - P15xx5 (xx = 37 - 47); Liposome, Cyclophosphamide, Epirubicin</w:t>
            </w:r>
          </w:p>
        </w:tc>
      </w:tr>
      <w:tr w:rsidR="00EA6CCF" w:rsidRPr="007E3B13" w14:paraId="67995FB3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248DCAB0" w14:textId="02A17E05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Radiotherapy</w:t>
            </w:r>
          </w:p>
        </w:tc>
        <w:tc>
          <w:tcPr>
            <w:tcW w:w="1784" w:type="dxa"/>
            <w:noWrap/>
            <w:hideMark/>
          </w:tcPr>
          <w:p w14:paraId="6EA586DE" w14:textId="77777777" w:rsidR="00EA6CCF" w:rsidRPr="007E3B13" w:rsidRDefault="00EA6CCF" w:rsidP="00EA6CCF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5F33F70C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36001B - 36021C, 37047B</w:t>
            </w:r>
          </w:p>
        </w:tc>
      </w:tr>
      <w:tr w:rsidR="00EA6CCF" w:rsidRPr="007E3B13" w14:paraId="6DF771F5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01F935CA" w14:textId="2653754B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Mastectomy</w:t>
            </w:r>
          </w:p>
        </w:tc>
        <w:tc>
          <w:tcPr>
            <w:tcW w:w="1784" w:type="dxa"/>
            <w:noWrap/>
            <w:hideMark/>
          </w:tcPr>
          <w:p w14:paraId="50913F1A" w14:textId="77777777" w:rsidR="00EA6CCF" w:rsidRPr="007E3B13" w:rsidRDefault="00EA6CCF" w:rsidP="00EA6CCF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6F2EB58A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63001B - 63004B, 63005C, 63006C, 63007B, 63008B, 63009C - 63011C, 63012B - 63016B</w:t>
            </w:r>
          </w:p>
        </w:tc>
      </w:tr>
      <w:tr w:rsidR="00EA6CCF" w:rsidRPr="007E3B13" w14:paraId="77BE4A1E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48DBA38A" w14:textId="77777777" w:rsidR="00EA6CCF" w:rsidRPr="007E3B13" w:rsidRDefault="00EA6CCF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 xml:space="preserve">Events: </w:t>
            </w:r>
            <w:r w:rsidRPr="007E3B13">
              <w:rPr>
                <w:rFonts w:ascii="Arial" w:hAnsi="Arial" w:cs="Arial"/>
              </w:rPr>
              <w:t>Mortality</w:t>
            </w:r>
          </w:p>
        </w:tc>
        <w:tc>
          <w:tcPr>
            <w:tcW w:w="1784" w:type="dxa"/>
            <w:noWrap/>
            <w:hideMark/>
          </w:tcPr>
          <w:p w14:paraId="2D1DAF63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66DE4307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000 - 999, E800 - E899 / A00 - Z99</w:t>
            </w:r>
          </w:p>
        </w:tc>
      </w:tr>
      <w:tr w:rsidR="00EA6CCF" w:rsidRPr="007E3B13" w14:paraId="6165DE6F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5A2E5449" w14:textId="77777777" w:rsidR="00EA6CCF" w:rsidRPr="007E3B13" w:rsidRDefault="00EA6CCF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Side effects:</w:t>
            </w:r>
          </w:p>
        </w:tc>
        <w:tc>
          <w:tcPr>
            <w:tcW w:w="1784" w:type="dxa"/>
            <w:noWrap/>
            <w:hideMark/>
          </w:tcPr>
          <w:p w14:paraId="3E646A3B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2D4C40FC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</w:tr>
      <w:tr w:rsidR="00EA6CCF" w:rsidRPr="007E3B13" w14:paraId="233CA8B1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1C132ED4" w14:textId="713977DB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Cardiotoxicity</w:t>
            </w:r>
          </w:p>
        </w:tc>
        <w:tc>
          <w:tcPr>
            <w:tcW w:w="1784" w:type="dxa"/>
            <w:noWrap/>
            <w:hideMark/>
          </w:tcPr>
          <w:p w14:paraId="26F84113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1CE54960" w14:textId="6141E3DE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Any of below</w:t>
            </w:r>
          </w:p>
        </w:tc>
      </w:tr>
      <w:tr w:rsidR="00EA6CCF" w:rsidRPr="007E3B13" w14:paraId="6B6618DA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69204658" w14:textId="7E574DBB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Acute myocardial infarction</w:t>
            </w:r>
          </w:p>
        </w:tc>
        <w:tc>
          <w:tcPr>
            <w:tcW w:w="1784" w:type="dxa"/>
            <w:noWrap/>
            <w:hideMark/>
          </w:tcPr>
          <w:p w14:paraId="16379914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AMI</w:t>
            </w:r>
          </w:p>
        </w:tc>
        <w:tc>
          <w:tcPr>
            <w:tcW w:w="4368" w:type="dxa"/>
            <w:noWrap/>
            <w:hideMark/>
          </w:tcPr>
          <w:p w14:paraId="6DF85873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410 / I21 - I24, I52</w:t>
            </w:r>
          </w:p>
        </w:tc>
      </w:tr>
      <w:tr w:rsidR="00EA6CCF" w:rsidRPr="007E3B13" w14:paraId="04B0EA23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46D464BF" w14:textId="01D686E2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Acute and subacute forms of ischemic heart disease</w:t>
            </w:r>
          </w:p>
        </w:tc>
        <w:tc>
          <w:tcPr>
            <w:tcW w:w="1784" w:type="dxa"/>
            <w:noWrap/>
            <w:hideMark/>
          </w:tcPr>
          <w:p w14:paraId="5D29CF79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Acute IHD</w:t>
            </w:r>
          </w:p>
        </w:tc>
        <w:tc>
          <w:tcPr>
            <w:tcW w:w="4368" w:type="dxa"/>
            <w:noWrap/>
            <w:hideMark/>
          </w:tcPr>
          <w:p w14:paraId="280937DD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411 / I20, I24</w:t>
            </w:r>
          </w:p>
        </w:tc>
      </w:tr>
      <w:tr w:rsidR="00EA6CCF" w:rsidRPr="007E3B13" w14:paraId="7F37B78A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1212F3D2" w14:textId="2310E079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Angina pectoris</w:t>
            </w:r>
          </w:p>
        </w:tc>
        <w:tc>
          <w:tcPr>
            <w:tcW w:w="1784" w:type="dxa"/>
            <w:noWrap/>
            <w:hideMark/>
          </w:tcPr>
          <w:p w14:paraId="7C206E1E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Angina</w:t>
            </w:r>
          </w:p>
        </w:tc>
        <w:tc>
          <w:tcPr>
            <w:tcW w:w="4368" w:type="dxa"/>
            <w:noWrap/>
            <w:hideMark/>
          </w:tcPr>
          <w:p w14:paraId="032D62E6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413 / I20</w:t>
            </w:r>
          </w:p>
        </w:tc>
      </w:tr>
      <w:tr w:rsidR="00EA6CCF" w:rsidRPr="007E3B13" w14:paraId="55C25A22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17892CDD" w14:textId="37CFA3CD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Chronic ischemic heart disease</w:t>
            </w:r>
          </w:p>
        </w:tc>
        <w:tc>
          <w:tcPr>
            <w:tcW w:w="1784" w:type="dxa"/>
            <w:noWrap/>
            <w:hideMark/>
          </w:tcPr>
          <w:p w14:paraId="048ACAEB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Chronic IHD</w:t>
            </w:r>
          </w:p>
        </w:tc>
        <w:tc>
          <w:tcPr>
            <w:tcW w:w="4368" w:type="dxa"/>
            <w:noWrap/>
            <w:hideMark/>
          </w:tcPr>
          <w:p w14:paraId="5B97486D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414 / I25</w:t>
            </w:r>
          </w:p>
        </w:tc>
      </w:tr>
      <w:tr w:rsidR="00EA6CCF" w:rsidRPr="007E3B13" w14:paraId="69CA0A6B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1C08B0B5" w14:textId="33CBB562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Acute myocarditis</w:t>
            </w:r>
          </w:p>
        </w:tc>
        <w:tc>
          <w:tcPr>
            <w:tcW w:w="1784" w:type="dxa"/>
            <w:noWrap/>
            <w:hideMark/>
          </w:tcPr>
          <w:p w14:paraId="146FC7E1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1F53B817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422 / I40, I41</w:t>
            </w:r>
          </w:p>
        </w:tc>
      </w:tr>
      <w:tr w:rsidR="00EA6CCF" w:rsidRPr="007E3B13" w14:paraId="3A0A9296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06FE9054" w14:textId="4F591984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Cardiomyopathy</w:t>
            </w:r>
          </w:p>
        </w:tc>
        <w:tc>
          <w:tcPr>
            <w:tcW w:w="1784" w:type="dxa"/>
            <w:noWrap/>
            <w:hideMark/>
          </w:tcPr>
          <w:p w14:paraId="6EF397BE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12113AD4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425 / I42, I43, I52</w:t>
            </w:r>
          </w:p>
        </w:tc>
      </w:tr>
      <w:tr w:rsidR="00EA6CCF" w:rsidRPr="007E3B13" w14:paraId="6B42ED6A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42A6477A" w14:textId="28FA3623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Conduction disorders</w:t>
            </w:r>
          </w:p>
        </w:tc>
        <w:tc>
          <w:tcPr>
            <w:tcW w:w="1784" w:type="dxa"/>
            <w:noWrap/>
            <w:hideMark/>
          </w:tcPr>
          <w:p w14:paraId="0010FC00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26A035F6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426 / I44, I45</w:t>
            </w:r>
          </w:p>
        </w:tc>
      </w:tr>
      <w:tr w:rsidR="00EA6CCF" w:rsidRPr="007E3B13" w14:paraId="7DFD9C80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003560E4" w14:textId="569310DB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Heart failure</w:t>
            </w:r>
          </w:p>
        </w:tc>
        <w:tc>
          <w:tcPr>
            <w:tcW w:w="1784" w:type="dxa"/>
            <w:noWrap/>
            <w:hideMark/>
          </w:tcPr>
          <w:p w14:paraId="1AD2BE4E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CHF</w:t>
            </w:r>
          </w:p>
        </w:tc>
        <w:tc>
          <w:tcPr>
            <w:tcW w:w="4368" w:type="dxa"/>
            <w:noWrap/>
            <w:hideMark/>
          </w:tcPr>
          <w:p w14:paraId="21DB8803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428 / I50</w:t>
            </w:r>
          </w:p>
        </w:tc>
      </w:tr>
      <w:tr w:rsidR="00EA6CCF" w:rsidRPr="007E3B13" w14:paraId="042E84B7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0569CA4C" w14:textId="4E13543A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Ill-defined descriptions and complications</w:t>
            </w:r>
          </w:p>
        </w:tc>
        <w:tc>
          <w:tcPr>
            <w:tcW w:w="1784" w:type="dxa"/>
            <w:noWrap/>
            <w:hideMark/>
          </w:tcPr>
          <w:p w14:paraId="46827962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16779226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429 / I25, I51, I52</w:t>
            </w:r>
          </w:p>
        </w:tc>
      </w:tr>
      <w:tr w:rsidR="00EA6CCF" w:rsidRPr="007E3B13" w14:paraId="6DB3BC02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07A609D8" w14:textId="077830E4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Breast cancer recurrence</w:t>
            </w:r>
          </w:p>
        </w:tc>
        <w:tc>
          <w:tcPr>
            <w:tcW w:w="1784" w:type="dxa"/>
            <w:noWrap/>
            <w:hideMark/>
          </w:tcPr>
          <w:p w14:paraId="07D46123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799F41FF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174 / C50</w:t>
            </w:r>
          </w:p>
        </w:tc>
      </w:tr>
      <w:tr w:rsidR="00EA6CCF" w:rsidRPr="007E3B13" w14:paraId="4E86F4FB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234099FB" w14:textId="77777777" w:rsidR="00EA6CCF" w:rsidRPr="007E3B13" w:rsidRDefault="00EA6CCF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 xml:space="preserve">Exclusion: </w:t>
            </w:r>
          </w:p>
        </w:tc>
        <w:tc>
          <w:tcPr>
            <w:tcW w:w="1784" w:type="dxa"/>
            <w:noWrap/>
            <w:hideMark/>
          </w:tcPr>
          <w:p w14:paraId="005FF267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7BE30014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</w:tr>
      <w:tr w:rsidR="00EA6CCF" w:rsidRPr="007E3B13" w14:paraId="54E6D724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2A7110D6" w14:textId="57D863E8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Metastasis</w:t>
            </w:r>
          </w:p>
        </w:tc>
        <w:tc>
          <w:tcPr>
            <w:tcW w:w="1784" w:type="dxa"/>
            <w:noWrap/>
            <w:hideMark/>
          </w:tcPr>
          <w:p w14:paraId="4E9F9870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5BA7F174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</w:tr>
      <w:tr w:rsidR="00EA6CCF" w:rsidRPr="007E3B13" w14:paraId="553A615B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36D85E6A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lastRenderedPageBreak/>
              <w:t xml:space="preserve">  Melanoma</w:t>
            </w:r>
          </w:p>
        </w:tc>
        <w:tc>
          <w:tcPr>
            <w:tcW w:w="1784" w:type="dxa"/>
            <w:noWrap/>
            <w:hideMark/>
          </w:tcPr>
          <w:p w14:paraId="25AAD649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25EB76D4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172 / C43</w:t>
            </w:r>
          </w:p>
        </w:tc>
      </w:tr>
      <w:tr w:rsidR="00EA6CCF" w:rsidRPr="007E3B13" w14:paraId="4D9B9A12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3BB5BEB2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  Malignancy</w:t>
            </w:r>
          </w:p>
        </w:tc>
        <w:tc>
          <w:tcPr>
            <w:tcW w:w="1784" w:type="dxa"/>
            <w:noWrap/>
            <w:hideMark/>
          </w:tcPr>
          <w:p w14:paraId="466175F3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23F6C977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140 - 209 /C00 - D48</w:t>
            </w:r>
          </w:p>
        </w:tc>
      </w:tr>
      <w:tr w:rsidR="00EA6CCF" w:rsidRPr="007E3B13" w14:paraId="6121A26D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65727516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  Cervical carcinoma in situ</w:t>
            </w:r>
          </w:p>
        </w:tc>
        <w:tc>
          <w:tcPr>
            <w:tcW w:w="1784" w:type="dxa"/>
            <w:noWrap/>
            <w:hideMark/>
          </w:tcPr>
          <w:p w14:paraId="7302B0F2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494B1997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233.1/ D06</w:t>
            </w:r>
          </w:p>
        </w:tc>
      </w:tr>
      <w:tr w:rsidR="00EA6CCF" w:rsidRPr="007E3B13" w14:paraId="65DD8F44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62611101" w14:textId="77777777" w:rsidR="00EA6CCF" w:rsidRPr="007E3B13" w:rsidRDefault="00EA6CCF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Comorbidities:</w:t>
            </w:r>
          </w:p>
        </w:tc>
        <w:tc>
          <w:tcPr>
            <w:tcW w:w="1784" w:type="dxa"/>
            <w:noWrap/>
            <w:hideMark/>
          </w:tcPr>
          <w:p w14:paraId="40D6324C" w14:textId="77777777" w:rsidR="00EA6CCF" w:rsidRPr="007E3B13" w:rsidRDefault="00EA6CCF" w:rsidP="00EA6CCF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74546CC4" w14:textId="77777777" w:rsidR="00EA6CCF" w:rsidRPr="007E3B13" w:rsidRDefault="00EA6CCF" w:rsidP="00EA6CCF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 xml:space="preserve">　</w:t>
            </w:r>
          </w:p>
        </w:tc>
      </w:tr>
      <w:tr w:rsidR="00EA6CCF" w:rsidRPr="007E3B13" w14:paraId="264B0D08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7FCE0B7A" w14:textId="7141364F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Diabetes mellitus</w:t>
            </w:r>
          </w:p>
        </w:tc>
        <w:tc>
          <w:tcPr>
            <w:tcW w:w="1784" w:type="dxa"/>
            <w:noWrap/>
            <w:hideMark/>
          </w:tcPr>
          <w:p w14:paraId="1E9B371E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DM</w:t>
            </w:r>
          </w:p>
        </w:tc>
        <w:tc>
          <w:tcPr>
            <w:tcW w:w="4368" w:type="dxa"/>
            <w:noWrap/>
            <w:hideMark/>
          </w:tcPr>
          <w:p w14:paraId="439E2DAD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250 / E10 - E14</w:t>
            </w:r>
          </w:p>
        </w:tc>
      </w:tr>
      <w:tr w:rsidR="00EA6CCF" w:rsidRPr="007E3B13" w14:paraId="78F78281" w14:textId="77777777" w:rsidTr="007A7069">
        <w:trPr>
          <w:trHeight w:val="315"/>
        </w:trPr>
        <w:tc>
          <w:tcPr>
            <w:tcW w:w="2347" w:type="dxa"/>
            <w:noWrap/>
            <w:hideMark/>
          </w:tcPr>
          <w:p w14:paraId="283FB4D0" w14:textId="7B8F5051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Hypertension </w:t>
            </w:r>
          </w:p>
        </w:tc>
        <w:tc>
          <w:tcPr>
            <w:tcW w:w="1784" w:type="dxa"/>
            <w:noWrap/>
            <w:hideMark/>
          </w:tcPr>
          <w:p w14:paraId="2F085F4A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HTN</w:t>
            </w:r>
          </w:p>
        </w:tc>
        <w:tc>
          <w:tcPr>
            <w:tcW w:w="4368" w:type="dxa"/>
            <w:noWrap/>
            <w:hideMark/>
          </w:tcPr>
          <w:p w14:paraId="6F3C578C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401 - 405 / I10 - I15</w:t>
            </w:r>
          </w:p>
        </w:tc>
      </w:tr>
      <w:tr w:rsidR="00EA6CCF" w:rsidRPr="007E3B13" w14:paraId="7CB9B8E5" w14:textId="77777777" w:rsidTr="007A7069">
        <w:trPr>
          <w:trHeight w:val="315"/>
        </w:trPr>
        <w:tc>
          <w:tcPr>
            <w:tcW w:w="2347" w:type="dxa"/>
            <w:noWrap/>
            <w:hideMark/>
          </w:tcPr>
          <w:p w14:paraId="4A567763" w14:textId="3098730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Depression</w:t>
            </w:r>
          </w:p>
        </w:tc>
        <w:tc>
          <w:tcPr>
            <w:tcW w:w="1784" w:type="dxa"/>
            <w:noWrap/>
            <w:hideMark/>
          </w:tcPr>
          <w:p w14:paraId="722EF9C9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0F3198A5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296.2, 296.3, 296.82, 300.4, 311 / F32, F33, F53</w:t>
            </w:r>
          </w:p>
        </w:tc>
      </w:tr>
      <w:tr w:rsidR="00EA6CCF" w:rsidRPr="007E3B13" w14:paraId="283CD7A5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7BF729EA" w14:textId="00F9795F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Chronic kidney disease</w:t>
            </w:r>
          </w:p>
        </w:tc>
        <w:tc>
          <w:tcPr>
            <w:tcW w:w="1784" w:type="dxa"/>
            <w:noWrap/>
            <w:hideMark/>
          </w:tcPr>
          <w:p w14:paraId="540FF89B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CKD</w:t>
            </w:r>
          </w:p>
        </w:tc>
        <w:tc>
          <w:tcPr>
            <w:tcW w:w="4368" w:type="dxa"/>
            <w:noWrap/>
            <w:hideMark/>
          </w:tcPr>
          <w:p w14:paraId="03C1433B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585 / N18</w:t>
            </w:r>
          </w:p>
        </w:tc>
      </w:tr>
      <w:tr w:rsidR="00EA6CCF" w:rsidRPr="007E3B13" w14:paraId="767A3B71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4129AB09" w14:textId="2E065FF0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Congestive heart failure</w:t>
            </w:r>
          </w:p>
        </w:tc>
        <w:tc>
          <w:tcPr>
            <w:tcW w:w="1784" w:type="dxa"/>
            <w:noWrap/>
            <w:hideMark/>
          </w:tcPr>
          <w:p w14:paraId="769346CB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CHF</w:t>
            </w:r>
          </w:p>
        </w:tc>
        <w:tc>
          <w:tcPr>
            <w:tcW w:w="4368" w:type="dxa"/>
            <w:noWrap/>
            <w:hideMark/>
          </w:tcPr>
          <w:p w14:paraId="0B0FC160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428 / I50</w:t>
            </w:r>
          </w:p>
        </w:tc>
      </w:tr>
      <w:tr w:rsidR="00EA6CCF" w:rsidRPr="007E3B13" w14:paraId="356920CF" w14:textId="77777777" w:rsidTr="007A7069">
        <w:trPr>
          <w:trHeight w:val="340"/>
        </w:trPr>
        <w:tc>
          <w:tcPr>
            <w:tcW w:w="2347" w:type="dxa"/>
            <w:noWrap/>
            <w:hideMark/>
          </w:tcPr>
          <w:p w14:paraId="4A474766" w14:textId="6EE2D10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Chronic obstructive pulmonary disease</w:t>
            </w:r>
          </w:p>
        </w:tc>
        <w:tc>
          <w:tcPr>
            <w:tcW w:w="1784" w:type="dxa"/>
            <w:noWrap/>
            <w:hideMark/>
          </w:tcPr>
          <w:p w14:paraId="2B8AFCE2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COPD</w:t>
            </w:r>
          </w:p>
        </w:tc>
        <w:tc>
          <w:tcPr>
            <w:tcW w:w="4368" w:type="dxa"/>
            <w:noWrap/>
            <w:hideMark/>
          </w:tcPr>
          <w:p w14:paraId="0E142200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490 - 496 / J40 - J47</w:t>
            </w:r>
          </w:p>
        </w:tc>
      </w:tr>
      <w:tr w:rsidR="00EA6CCF" w:rsidRPr="007E3B13" w14:paraId="09DD7281" w14:textId="77777777" w:rsidTr="007A7069">
        <w:trPr>
          <w:trHeight w:val="350"/>
        </w:trPr>
        <w:tc>
          <w:tcPr>
            <w:tcW w:w="2347" w:type="dxa"/>
            <w:noWrap/>
            <w:hideMark/>
          </w:tcPr>
          <w:p w14:paraId="1D1C71A1" w14:textId="77B6EE68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Hyperlipidemia</w:t>
            </w:r>
          </w:p>
        </w:tc>
        <w:tc>
          <w:tcPr>
            <w:tcW w:w="1784" w:type="dxa"/>
            <w:noWrap/>
            <w:hideMark/>
          </w:tcPr>
          <w:p w14:paraId="673FEB74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　</w:t>
            </w:r>
          </w:p>
        </w:tc>
        <w:tc>
          <w:tcPr>
            <w:tcW w:w="4368" w:type="dxa"/>
            <w:noWrap/>
            <w:hideMark/>
          </w:tcPr>
          <w:p w14:paraId="1A38A34D" w14:textId="77777777" w:rsidR="00EA6CCF" w:rsidRPr="007E3B13" w:rsidRDefault="00EA6CCF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272 / E78</w:t>
            </w:r>
          </w:p>
        </w:tc>
      </w:tr>
    </w:tbl>
    <w:p w14:paraId="1FF5F839" w14:textId="77777777" w:rsidR="00EA6CCF" w:rsidRPr="007E3B13" w:rsidRDefault="00EA6CCF">
      <w:pPr>
        <w:rPr>
          <w:rFonts w:ascii="Arial" w:hAnsi="Arial" w:cs="Arial"/>
        </w:rPr>
      </w:pPr>
    </w:p>
    <w:p w14:paraId="10B51971" w14:textId="0E9DC2D8" w:rsidR="00EA6CCF" w:rsidRPr="007E3B13" w:rsidRDefault="00EA6CCF">
      <w:pPr>
        <w:widowControl/>
        <w:rPr>
          <w:rFonts w:ascii="Arial" w:hAnsi="Arial" w:cs="Arial"/>
        </w:rPr>
      </w:pPr>
      <w:r w:rsidRPr="007E3B13">
        <w:rPr>
          <w:rFonts w:ascii="Arial" w:hAnsi="Arial" w:cs="Arial"/>
        </w:rPr>
        <w:br w:type="page"/>
      </w:r>
    </w:p>
    <w:p w14:paraId="55489430" w14:textId="7292BD83" w:rsidR="00EA6CCF" w:rsidRPr="007E3B13" w:rsidRDefault="007A7069">
      <w:pPr>
        <w:rPr>
          <w:rFonts w:ascii="Arial" w:hAnsi="Arial" w:cs="Arial"/>
          <w:b/>
          <w:bCs/>
        </w:rPr>
      </w:pPr>
      <w:r w:rsidRPr="007E3B13">
        <w:rPr>
          <w:rFonts w:ascii="Arial" w:hAnsi="Arial" w:cs="Arial"/>
          <w:b/>
          <w:bCs/>
        </w:rPr>
        <w:lastRenderedPageBreak/>
        <w:t>Supplement S2. Summary of Follow-up Duration and Time to Mortality</w:t>
      </w:r>
    </w:p>
    <w:tbl>
      <w:tblPr>
        <w:tblW w:w="52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7"/>
        <w:gridCol w:w="561"/>
        <w:gridCol w:w="1100"/>
        <w:gridCol w:w="699"/>
        <w:gridCol w:w="1443"/>
      </w:tblGrid>
      <w:tr w:rsidR="007A7069" w:rsidRPr="007E3B13" w14:paraId="381DC1CF" w14:textId="77777777" w:rsidTr="00EF71A3">
        <w:trPr>
          <w:trHeight w:val="320"/>
        </w:trPr>
        <w:tc>
          <w:tcPr>
            <w:tcW w:w="5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891CA" w14:textId="3A08A67D" w:rsidR="007A7069" w:rsidRPr="007E3B13" w:rsidRDefault="007A7069" w:rsidP="007A7069">
            <w:pPr>
              <w:widowControl/>
              <w:spacing w:after="0" w:line="240" w:lineRule="auto"/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  <w:t>Years of follow-up</w:t>
            </w:r>
          </w:p>
        </w:tc>
      </w:tr>
      <w:tr w:rsidR="007A7069" w:rsidRPr="007E3B13" w14:paraId="102ADB84" w14:textId="77777777" w:rsidTr="00EF71A3">
        <w:trPr>
          <w:trHeight w:val="32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EA5A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  <w:t>Cohort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B7BD4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  <w:t>Min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3487" w14:textId="335E796D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  <w:t>Median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07F2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  <w:t>Max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9C2B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  <w:t>Mean ± SD</w:t>
            </w:r>
          </w:p>
        </w:tc>
      </w:tr>
      <w:tr w:rsidR="007A7069" w:rsidRPr="007E3B13" w14:paraId="6F999173" w14:textId="77777777" w:rsidTr="00EF71A3">
        <w:trPr>
          <w:trHeight w:val="31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40BC7" w14:textId="4A65075D" w:rsidR="007A7069" w:rsidRPr="007E3B13" w:rsidRDefault="007A7069" w:rsidP="007A7069">
            <w:pPr>
              <w:widowControl/>
              <w:spacing w:after="0" w:line="240" w:lineRule="auto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>Lipo-Dox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AD4F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1.01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6545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6.07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F0367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10.16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25027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6.13 ± 3.04 </w:t>
            </w:r>
          </w:p>
        </w:tc>
      </w:tr>
      <w:tr w:rsidR="007A7069" w:rsidRPr="007E3B13" w14:paraId="668A354B" w14:textId="77777777" w:rsidTr="00EF71A3">
        <w:trPr>
          <w:trHeight w:val="31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EC33" w14:textId="20D8608A" w:rsidR="007A7069" w:rsidRPr="007E3B13" w:rsidRDefault="007A7069" w:rsidP="007A7069">
            <w:pPr>
              <w:widowControl/>
              <w:spacing w:after="0" w:line="240" w:lineRule="auto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>Epirubicin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5172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1.03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5210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6.02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0CE0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10.24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B7C8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6.10 ± 2.98 </w:t>
            </w:r>
          </w:p>
        </w:tc>
      </w:tr>
      <w:tr w:rsidR="007A7069" w:rsidRPr="007E3B13" w14:paraId="3A1857D5" w14:textId="77777777" w:rsidTr="00EF71A3">
        <w:trPr>
          <w:trHeight w:val="32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5C94" w14:textId="77777777" w:rsidR="007A7069" w:rsidRPr="007E3B13" w:rsidRDefault="007A7069" w:rsidP="007A7069">
            <w:pPr>
              <w:widowControl/>
              <w:spacing w:after="0" w:line="240" w:lineRule="auto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>Total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8DE8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1.01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C597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6.05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F031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10.16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8CCC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6.12 ± 3.01 </w:t>
            </w:r>
          </w:p>
        </w:tc>
      </w:tr>
      <w:tr w:rsidR="007A7069" w:rsidRPr="007E3B13" w14:paraId="4D7BE2A0" w14:textId="77777777" w:rsidTr="00EF71A3">
        <w:trPr>
          <w:trHeight w:val="320"/>
        </w:trPr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6B9B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025C" w14:textId="77777777" w:rsidR="007A7069" w:rsidRPr="007E3B13" w:rsidRDefault="007A7069" w:rsidP="007A7069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5039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7B84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4482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A7069" w:rsidRPr="007E3B13" w14:paraId="218DABAC" w14:textId="77777777" w:rsidTr="007A7069">
        <w:trPr>
          <w:trHeight w:val="31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0532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064F" w14:textId="77777777" w:rsidR="007A7069" w:rsidRPr="007E3B13" w:rsidRDefault="007A7069" w:rsidP="007A7069">
            <w:pPr>
              <w:widowControl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F8E9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F848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C2BE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A7069" w:rsidRPr="007E3B13" w14:paraId="347351D5" w14:textId="77777777" w:rsidTr="00EF71A3">
        <w:trPr>
          <w:trHeight w:val="350"/>
        </w:trPr>
        <w:tc>
          <w:tcPr>
            <w:tcW w:w="5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FA53F" w14:textId="27FC5B3C" w:rsidR="007A7069" w:rsidRPr="007E3B13" w:rsidRDefault="007A7069" w:rsidP="007A7069">
            <w:pPr>
              <w:widowControl/>
              <w:spacing w:after="0" w:line="240" w:lineRule="auto"/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  <w:t>Overall survival time among decedents</w:t>
            </w:r>
          </w:p>
        </w:tc>
      </w:tr>
      <w:tr w:rsidR="007A7069" w:rsidRPr="007E3B13" w14:paraId="00266AFB" w14:textId="77777777" w:rsidTr="00EF71A3">
        <w:trPr>
          <w:trHeight w:val="32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71A17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  <w:t>Cohort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C9A8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  <w:t>Min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220D" w14:textId="1744E31E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  <w:t>Median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1567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  <w:t>Max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F199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b/>
                <w:bCs/>
                <w:kern w:val="0"/>
                <w14:ligatures w14:val="none"/>
              </w:rPr>
              <w:t>Mean±SD</w:t>
            </w:r>
          </w:p>
        </w:tc>
      </w:tr>
      <w:tr w:rsidR="007A7069" w:rsidRPr="007E3B13" w14:paraId="729EE86D" w14:textId="77777777" w:rsidTr="00EF71A3">
        <w:trPr>
          <w:trHeight w:val="31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BDFA" w14:textId="48C9B2F7" w:rsidR="007A7069" w:rsidRPr="007E3B13" w:rsidRDefault="007A7069" w:rsidP="007A7069">
            <w:pPr>
              <w:widowControl/>
              <w:spacing w:after="0" w:line="240" w:lineRule="auto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>Lipo-Dox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12C4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1.54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9D21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5.49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D01B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10.08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8E4C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>5.77 ± 3.26</w:t>
            </w:r>
          </w:p>
        </w:tc>
      </w:tr>
      <w:tr w:rsidR="007A7069" w:rsidRPr="007E3B13" w14:paraId="13D8D856" w14:textId="77777777" w:rsidTr="00EF71A3">
        <w:trPr>
          <w:trHeight w:val="31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903D" w14:textId="7CE388FD" w:rsidR="007A7069" w:rsidRPr="007E3B13" w:rsidRDefault="007A7069" w:rsidP="007A7069">
            <w:pPr>
              <w:widowControl/>
              <w:spacing w:after="0" w:line="240" w:lineRule="auto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>Epirubicin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4AB4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1.43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AD5C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5.33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97B0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10.10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F8C1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>5.42 ± 3.17</w:t>
            </w:r>
          </w:p>
        </w:tc>
      </w:tr>
      <w:tr w:rsidR="007A7069" w:rsidRPr="007E3B13" w14:paraId="203F27BF" w14:textId="77777777" w:rsidTr="00EF71A3">
        <w:trPr>
          <w:trHeight w:val="320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1504" w14:textId="77777777" w:rsidR="007A7069" w:rsidRPr="007E3B13" w:rsidRDefault="007A7069" w:rsidP="007A7069">
            <w:pPr>
              <w:widowControl/>
              <w:spacing w:after="0" w:line="240" w:lineRule="auto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>Total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2EFA8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1.43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B22A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5.47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A1BA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 xml:space="preserve">10.10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4210" w14:textId="77777777" w:rsidR="007A7069" w:rsidRPr="007E3B13" w:rsidRDefault="007A7069" w:rsidP="007A7069">
            <w:pPr>
              <w:widowControl/>
              <w:spacing w:after="0" w:line="240" w:lineRule="auto"/>
              <w:jc w:val="center"/>
              <w:rPr>
                <w:rFonts w:ascii="Arial" w:eastAsia="PMingLiU" w:hAnsi="Arial" w:cs="Arial"/>
                <w:kern w:val="0"/>
                <w14:ligatures w14:val="none"/>
              </w:rPr>
            </w:pPr>
            <w:r w:rsidRPr="007E3B13">
              <w:rPr>
                <w:rFonts w:ascii="Arial" w:eastAsia="PMingLiU" w:hAnsi="Arial" w:cs="Arial"/>
                <w:kern w:val="0"/>
                <w14:ligatures w14:val="none"/>
              </w:rPr>
              <w:t>5.60 ± 3.22</w:t>
            </w:r>
          </w:p>
        </w:tc>
      </w:tr>
    </w:tbl>
    <w:p w14:paraId="01270BAD" w14:textId="77777777" w:rsidR="007A7069" w:rsidRPr="007E3B13" w:rsidRDefault="007A7069">
      <w:pPr>
        <w:widowControl/>
        <w:rPr>
          <w:rFonts w:ascii="Arial" w:hAnsi="Arial" w:cs="Arial"/>
        </w:rPr>
      </w:pPr>
    </w:p>
    <w:p w14:paraId="32C3CBBA" w14:textId="7DC1715E" w:rsidR="007A7069" w:rsidRPr="007E3B13" w:rsidRDefault="007A7069">
      <w:pPr>
        <w:widowControl/>
        <w:rPr>
          <w:rFonts w:ascii="Arial" w:hAnsi="Arial" w:cs="Arial"/>
        </w:rPr>
      </w:pPr>
      <w:r w:rsidRPr="007E3B13">
        <w:rPr>
          <w:rFonts w:ascii="Arial" w:hAnsi="Arial" w:cs="Arial"/>
        </w:rPr>
        <w:t>Descriptive statistics of follow-up duration and time to mortality among patients in the study and comparison cohorts. Values are presented as minimum, median, maximum, and mean ± standard deviation (SD).</w:t>
      </w:r>
      <w:r w:rsidRPr="007E3B13">
        <w:rPr>
          <w:rFonts w:ascii="Arial" w:hAnsi="Arial" w:cs="Arial"/>
        </w:rPr>
        <w:br w:type="page"/>
      </w:r>
    </w:p>
    <w:p w14:paraId="5B97F237" w14:textId="400B5B41" w:rsidR="006D1DF6" w:rsidRPr="007E3B13" w:rsidRDefault="006D1DF6" w:rsidP="006D1DF6">
      <w:pPr>
        <w:rPr>
          <w:rFonts w:ascii="Arial" w:hAnsi="Arial" w:cs="Arial"/>
          <w:b/>
          <w:bCs/>
        </w:rPr>
      </w:pPr>
      <w:r w:rsidRPr="007E3B13">
        <w:rPr>
          <w:rFonts w:ascii="Arial" w:hAnsi="Arial" w:cs="Arial"/>
          <w:b/>
          <w:bCs/>
        </w:rPr>
        <w:lastRenderedPageBreak/>
        <w:t>Supplement S3. Sensitivity Analysis of Mortality Outcomes by Follow-up Duration</w:t>
      </w:r>
    </w:p>
    <w:tbl>
      <w:tblPr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2953"/>
        <w:gridCol w:w="2454"/>
        <w:gridCol w:w="908"/>
      </w:tblGrid>
      <w:tr w:rsidR="006D1DF6" w:rsidRPr="007E3B13" w14:paraId="0DC3C072" w14:textId="77777777" w:rsidTr="00EF71A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4112D" w14:textId="77777777" w:rsidR="006D1DF6" w:rsidRPr="007E3B13" w:rsidRDefault="006D1DF6" w:rsidP="00527E85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Mortality Endpoint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3EC73" w14:textId="77777777" w:rsidR="006D1DF6" w:rsidRPr="007E3B13" w:rsidRDefault="006D1DF6" w:rsidP="00527E85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Adjusted Hazard Ratio (</w:t>
            </w:r>
            <w:proofErr w:type="spellStart"/>
            <w:r w:rsidRPr="007E3B13">
              <w:rPr>
                <w:rFonts w:ascii="Arial" w:hAnsi="Arial" w:cs="Arial"/>
                <w:b/>
                <w:bCs/>
              </w:rPr>
              <w:t>aHR</w:t>
            </w:r>
            <w:proofErr w:type="spellEnd"/>
            <w:r w:rsidRPr="007E3B13">
              <w:rPr>
                <w:rFonts w:ascii="Arial" w:hAnsi="Arial" w:cs="Arial"/>
                <w:b/>
                <w:bCs/>
              </w:rPr>
              <w:t xml:space="preserve">) </w:t>
            </w:r>
          </w:p>
          <w:p w14:paraId="4F12D06B" w14:textId="77777777" w:rsidR="006D1DF6" w:rsidRPr="007E3B13" w:rsidRDefault="006D1DF6" w:rsidP="00527E85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(Lipo-dox vs. Epirubicin)</w:t>
            </w:r>
          </w:p>
        </w:tc>
        <w:tc>
          <w:tcPr>
            <w:tcW w:w="24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26E24" w14:textId="77777777" w:rsidR="006D1DF6" w:rsidRPr="007E3B13" w:rsidRDefault="006D1DF6" w:rsidP="00527E85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95% Confidence Interval (95% CI)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D829AD" w14:textId="77777777" w:rsidR="006D1DF6" w:rsidRPr="007E3B13" w:rsidRDefault="006D1DF6" w:rsidP="00527E85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P value</w:t>
            </w:r>
          </w:p>
        </w:tc>
      </w:tr>
      <w:tr w:rsidR="006D1DF6" w:rsidRPr="007E3B13" w14:paraId="05E06BE7" w14:textId="77777777" w:rsidTr="00EF71A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A8CCA" w14:textId="77777777" w:rsidR="006D1DF6" w:rsidRPr="007E3B13" w:rsidRDefault="006D1DF6" w:rsidP="00527E85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3-year Mortality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7DDC6" w14:textId="77777777" w:rsidR="006D1DF6" w:rsidRPr="007E3B13" w:rsidRDefault="006D1DF6" w:rsidP="00527E85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0.816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C3DE34" w14:textId="77777777" w:rsidR="006D1DF6" w:rsidRPr="007E3B13" w:rsidRDefault="006D1DF6" w:rsidP="00527E85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0.724 – 0.937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3052AD" w14:textId="77777777" w:rsidR="006D1DF6" w:rsidRPr="007E3B13" w:rsidRDefault="006D1DF6" w:rsidP="00527E85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0.018</w:t>
            </w:r>
          </w:p>
        </w:tc>
      </w:tr>
      <w:tr w:rsidR="006D1DF6" w:rsidRPr="007E3B13" w14:paraId="6400D4E1" w14:textId="77777777" w:rsidTr="00EF71A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8211D" w14:textId="77777777" w:rsidR="006D1DF6" w:rsidRPr="007E3B13" w:rsidRDefault="006D1DF6" w:rsidP="00527E85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5-year Mortality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AFEBF" w14:textId="77777777" w:rsidR="006D1DF6" w:rsidRPr="007E3B13" w:rsidRDefault="006D1DF6" w:rsidP="00527E85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0.779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BBB7C" w14:textId="77777777" w:rsidR="006D1DF6" w:rsidRPr="007E3B13" w:rsidRDefault="006D1DF6" w:rsidP="00527E85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0.672 – 0.913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42C34" w14:textId="77777777" w:rsidR="006D1DF6" w:rsidRPr="007E3B13" w:rsidRDefault="006D1DF6" w:rsidP="00527E85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0.007</w:t>
            </w:r>
          </w:p>
        </w:tc>
      </w:tr>
      <w:tr w:rsidR="006D1DF6" w:rsidRPr="007E3B13" w14:paraId="7EBAD460" w14:textId="77777777" w:rsidTr="00EF71A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39DAC" w14:textId="77777777" w:rsidR="006D1DF6" w:rsidRPr="007E3B13" w:rsidRDefault="006D1DF6" w:rsidP="00527E85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All-time Mortality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49279" w14:textId="77777777" w:rsidR="006D1DF6" w:rsidRPr="007E3B13" w:rsidRDefault="006D1DF6" w:rsidP="00527E85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0.754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A3EE44" w14:textId="77777777" w:rsidR="006D1DF6" w:rsidRPr="007E3B13" w:rsidRDefault="006D1DF6" w:rsidP="00527E85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0.632 – 0.899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89D65" w14:textId="77777777" w:rsidR="006D1DF6" w:rsidRPr="007E3B13" w:rsidRDefault="006D1DF6" w:rsidP="00527E85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&lt;0.001</w:t>
            </w:r>
          </w:p>
        </w:tc>
      </w:tr>
    </w:tbl>
    <w:p w14:paraId="607258EA" w14:textId="77777777" w:rsidR="006D1DF6" w:rsidRPr="007E3B13" w:rsidRDefault="006D1DF6" w:rsidP="006D1DF6">
      <w:pPr>
        <w:rPr>
          <w:rFonts w:ascii="Arial" w:hAnsi="Arial" w:cs="Arial"/>
        </w:rPr>
      </w:pPr>
      <w:proofErr w:type="spellStart"/>
      <w:r w:rsidRPr="007E3B13">
        <w:rPr>
          <w:rFonts w:ascii="Arial" w:hAnsi="Arial" w:cs="Arial"/>
        </w:rPr>
        <w:t>aHR</w:t>
      </w:r>
      <w:proofErr w:type="spellEnd"/>
      <w:r w:rsidRPr="007E3B13">
        <w:rPr>
          <w:rFonts w:ascii="Arial" w:hAnsi="Arial" w:cs="Arial"/>
        </w:rPr>
        <w:t>, Adjusted Hazard Ratio; CI, Confidence Interval.</w:t>
      </w:r>
    </w:p>
    <w:p w14:paraId="1DC9F488" w14:textId="77777777" w:rsidR="006D1DF6" w:rsidRPr="007E3B13" w:rsidRDefault="006D1DF6" w:rsidP="006D1DF6">
      <w:pPr>
        <w:rPr>
          <w:rFonts w:ascii="Arial" w:hAnsi="Arial" w:cs="Arial"/>
        </w:rPr>
      </w:pPr>
      <w:r w:rsidRPr="007E3B13">
        <w:rPr>
          <w:rFonts w:ascii="Arial" w:hAnsi="Arial" w:cs="Arial"/>
        </w:rPr>
        <w:t>Adjusted variables included: Age (per year increase); Stage (I [Reference], II, III); Insurance Premium (NT$) (&lt;18,000 [Reference], 18,000–34,999, ≥35,000); Comorbidities (presence vs. absence: Diabetes Mellitus (DM), Hypertension (HTN), Depression, Chronic Kidney Disease (CKD), Congestive Heart Failure (CHF), Chronic Obstructive Pulmonary Disease (COPD), Hyperlipidemia); and Level of Care (Local hospital [Reference], Regional hospital, Hospital center).</w:t>
      </w:r>
    </w:p>
    <w:p w14:paraId="6BA27C72" w14:textId="538D21B1" w:rsidR="006D1DF6" w:rsidRPr="007E3B13" w:rsidRDefault="006D1DF6">
      <w:pPr>
        <w:widowControl/>
        <w:rPr>
          <w:rFonts w:ascii="Arial" w:hAnsi="Arial" w:cs="Arial"/>
        </w:rPr>
      </w:pPr>
      <w:r w:rsidRPr="007E3B13">
        <w:rPr>
          <w:rFonts w:ascii="Arial" w:hAnsi="Arial" w:cs="Arial"/>
        </w:rPr>
        <w:br w:type="page"/>
      </w:r>
    </w:p>
    <w:p w14:paraId="4A2FA243" w14:textId="0EB8A482" w:rsidR="007A7069" w:rsidRPr="007E3B13" w:rsidRDefault="007A7069" w:rsidP="007A7069">
      <w:pPr>
        <w:rPr>
          <w:rFonts w:ascii="Arial" w:hAnsi="Arial" w:cs="Arial"/>
          <w:b/>
          <w:bCs/>
        </w:rPr>
      </w:pPr>
      <w:r w:rsidRPr="007E3B13">
        <w:rPr>
          <w:rFonts w:ascii="Arial" w:hAnsi="Arial" w:cs="Arial"/>
          <w:b/>
          <w:bCs/>
        </w:rPr>
        <w:lastRenderedPageBreak/>
        <w:t>Supplement S4. Adjusted Hazard Ratios for Mortality (Lipo-Dox vs. Epirubicin by Lipo-Dox Cumulative Defined Daily Dose (cDDD) Subgroups</w:t>
      </w:r>
    </w:p>
    <w:tbl>
      <w:tblPr>
        <w:tblW w:w="8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992"/>
        <w:gridCol w:w="993"/>
        <w:gridCol w:w="1044"/>
      </w:tblGrid>
      <w:tr w:rsidR="00EF71A3" w:rsidRPr="007E3B13" w14:paraId="037244E0" w14:textId="367DD8B0" w:rsidTr="00EF71A3">
        <w:trPr>
          <w:trHeight w:val="350"/>
          <w:jc w:val="center"/>
        </w:trPr>
        <w:tc>
          <w:tcPr>
            <w:tcW w:w="2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330C2" w14:textId="77777777" w:rsidR="00EF71A3" w:rsidRPr="007E3B13" w:rsidRDefault="00EF71A3" w:rsidP="000A6024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Outcome and side effects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22A1C" w14:textId="77777777" w:rsidR="00EF71A3" w:rsidRPr="007E3B13" w:rsidRDefault="00EF71A3" w:rsidP="000A6024">
            <w:pPr>
              <w:jc w:val="center"/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Cohort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677BE" w14:textId="77777777" w:rsidR="00EF71A3" w:rsidRPr="007E3B13" w:rsidRDefault="00EF71A3" w:rsidP="000A6024">
            <w:pPr>
              <w:jc w:val="center"/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aHR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CB2BB" w14:textId="77777777" w:rsidR="00EF71A3" w:rsidRPr="007E3B13" w:rsidRDefault="00EF71A3" w:rsidP="000A6024">
            <w:pPr>
              <w:jc w:val="center"/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95% CI</w:t>
            </w:r>
          </w:p>
        </w:tc>
        <w:tc>
          <w:tcPr>
            <w:tcW w:w="9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16968" w14:textId="77777777" w:rsidR="00EF71A3" w:rsidRPr="007E3B13" w:rsidRDefault="00EF71A3" w:rsidP="000A6024">
            <w:pPr>
              <w:jc w:val="center"/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95% CI</w:t>
            </w:r>
          </w:p>
        </w:tc>
        <w:tc>
          <w:tcPr>
            <w:tcW w:w="104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57A79" w14:textId="77777777" w:rsidR="00EF71A3" w:rsidRPr="007E3B13" w:rsidRDefault="00EF71A3" w:rsidP="000A6024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7E3B13">
              <w:rPr>
                <w:rFonts w:ascii="Arial" w:hAnsi="Arial" w:cs="Arial"/>
                <w:b/>
                <w:bCs/>
                <w:i/>
                <w:iCs/>
              </w:rPr>
              <w:t>P</w:t>
            </w:r>
          </w:p>
        </w:tc>
      </w:tr>
      <w:tr w:rsidR="00EF71A3" w:rsidRPr="007E3B13" w14:paraId="5047D5E8" w14:textId="206F7BC6" w:rsidTr="00EF71A3">
        <w:trPr>
          <w:trHeight w:val="340"/>
          <w:jc w:val="center"/>
        </w:trPr>
        <w:tc>
          <w:tcPr>
            <w:tcW w:w="2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903F0" w14:textId="77777777" w:rsidR="00EF71A3" w:rsidRPr="007E3B13" w:rsidRDefault="00EF71A3" w:rsidP="000A6024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Mortality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901BB" w14:textId="77777777" w:rsidR="00EF71A3" w:rsidRPr="007E3B13" w:rsidRDefault="00EF71A3" w:rsidP="000A6024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Overall (N=525)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419DC" w14:textId="77777777" w:rsidR="00EF71A3" w:rsidRPr="007E3B13" w:rsidRDefault="00EF71A3" w:rsidP="000A6024">
            <w:pPr>
              <w:jc w:val="center"/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0.754 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0C5DE" w14:textId="77777777" w:rsidR="00EF71A3" w:rsidRPr="007E3B13" w:rsidRDefault="00EF71A3" w:rsidP="000A6024">
            <w:pPr>
              <w:jc w:val="center"/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0.632 </w:t>
            </w:r>
          </w:p>
        </w:tc>
        <w:tc>
          <w:tcPr>
            <w:tcW w:w="9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3B14A" w14:textId="77777777" w:rsidR="00EF71A3" w:rsidRPr="007E3B13" w:rsidRDefault="00EF71A3" w:rsidP="000A6024">
            <w:pPr>
              <w:jc w:val="center"/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0.899 </w:t>
            </w:r>
          </w:p>
        </w:tc>
        <w:tc>
          <w:tcPr>
            <w:tcW w:w="104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51CFB" w14:textId="77777777" w:rsidR="00EF71A3" w:rsidRPr="007E3B13" w:rsidRDefault="00EF71A3" w:rsidP="000A6024">
            <w:pPr>
              <w:jc w:val="center"/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&lt; 0.001</w:t>
            </w:r>
          </w:p>
        </w:tc>
      </w:tr>
      <w:tr w:rsidR="00EF71A3" w:rsidRPr="007E3B13" w14:paraId="0BE66D54" w14:textId="5113795F" w:rsidTr="00EF71A3">
        <w:trPr>
          <w:trHeight w:val="340"/>
          <w:jc w:val="center"/>
        </w:trPr>
        <w:tc>
          <w:tcPr>
            <w:tcW w:w="2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60F9A" w14:textId="77777777" w:rsidR="00EF71A3" w:rsidRPr="007E3B13" w:rsidRDefault="00EF71A3" w:rsidP="000A602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17D7C" w14:textId="77777777" w:rsidR="00EF71A3" w:rsidRPr="007E3B13" w:rsidRDefault="00EF71A3" w:rsidP="000A6024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  &lt; 33 cDDD (N=131)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7BF4F" w14:textId="77777777" w:rsidR="00EF71A3" w:rsidRPr="007E3B13" w:rsidRDefault="00EF71A3" w:rsidP="000A6024">
            <w:pPr>
              <w:jc w:val="center"/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0.863 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31B8E" w14:textId="77777777" w:rsidR="00EF71A3" w:rsidRPr="007E3B13" w:rsidRDefault="00EF71A3" w:rsidP="000A6024">
            <w:pPr>
              <w:jc w:val="center"/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0.725 </w:t>
            </w:r>
          </w:p>
        </w:tc>
        <w:tc>
          <w:tcPr>
            <w:tcW w:w="9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4F91E" w14:textId="77777777" w:rsidR="00EF71A3" w:rsidRPr="007E3B13" w:rsidRDefault="00EF71A3" w:rsidP="000A6024">
            <w:pPr>
              <w:jc w:val="center"/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1.029 </w:t>
            </w:r>
          </w:p>
        </w:tc>
        <w:tc>
          <w:tcPr>
            <w:tcW w:w="104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5C844" w14:textId="77777777" w:rsidR="00EF71A3" w:rsidRPr="007E3B13" w:rsidRDefault="00EF71A3" w:rsidP="000A6024">
            <w:pPr>
              <w:jc w:val="center"/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0.184 </w:t>
            </w:r>
          </w:p>
        </w:tc>
      </w:tr>
      <w:tr w:rsidR="00EF71A3" w:rsidRPr="007E3B13" w14:paraId="543152E8" w14:textId="48F10C13" w:rsidTr="00EF71A3">
        <w:trPr>
          <w:trHeight w:val="340"/>
          <w:jc w:val="center"/>
        </w:trPr>
        <w:tc>
          <w:tcPr>
            <w:tcW w:w="2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CE95D" w14:textId="77777777" w:rsidR="00EF71A3" w:rsidRPr="007E3B13" w:rsidRDefault="00EF71A3" w:rsidP="000A602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150F3" w14:textId="77777777" w:rsidR="00EF71A3" w:rsidRPr="007E3B13" w:rsidRDefault="00EF71A3" w:rsidP="000A6024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  33 - 66 cDDD (N=225)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B7503" w14:textId="77777777" w:rsidR="00EF71A3" w:rsidRPr="007E3B13" w:rsidRDefault="00EF71A3" w:rsidP="000A6024">
            <w:pPr>
              <w:jc w:val="center"/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0.816 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BBF3" w14:textId="77777777" w:rsidR="00EF71A3" w:rsidRPr="007E3B13" w:rsidRDefault="00EF71A3" w:rsidP="000A6024">
            <w:pPr>
              <w:jc w:val="center"/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0.684 </w:t>
            </w:r>
          </w:p>
        </w:tc>
        <w:tc>
          <w:tcPr>
            <w:tcW w:w="9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B142D" w14:textId="77777777" w:rsidR="00EF71A3" w:rsidRPr="007E3B13" w:rsidRDefault="00EF71A3" w:rsidP="000A6024">
            <w:pPr>
              <w:jc w:val="center"/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0.973 </w:t>
            </w:r>
          </w:p>
        </w:tc>
        <w:tc>
          <w:tcPr>
            <w:tcW w:w="104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1ACFC" w14:textId="77777777" w:rsidR="00EF71A3" w:rsidRPr="007E3B13" w:rsidRDefault="00EF71A3" w:rsidP="000A6024">
            <w:pPr>
              <w:jc w:val="center"/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&lt; 0.001</w:t>
            </w:r>
          </w:p>
        </w:tc>
      </w:tr>
      <w:tr w:rsidR="00EF71A3" w:rsidRPr="007E3B13" w14:paraId="40C2BE01" w14:textId="72E8E662" w:rsidTr="00EF71A3">
        <w:trPr>
          <w:trHeight w:val="340"/>
          <w:jc w:val="center"/>
        </w:trPr>
        <w:tc>
          <w:tcPr>
            <w:tcW w:w="22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67503" w14:textId="77777777" w:rsidR="00EF71A3" w:rsidRPr="007E3B13" w:rsidRDefault="00EF71A3" w:rsidP="000A6024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 xml:space="preserve">　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3A8B1" w14:textId="77777777" w:rsidR="00EF71A3" w:rsidRPr="007E3B13" w:rsidRDefault="00EF71A3" w:rsidP="000A6024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  </w:t>
            </w:r>
            <w:r w:rsidRPr="007E3B13">
              <w:rPr>
                <w:rFonts w:ascii="Cambria Math" w:eastAsia="MingLiU" w:hAnsi="Cambria Math" w:cs="Cambria Math"/>
              </w:rPr>
              <w:t>≧</w:t>
            </w:r>
            <w:r w:rsidRPr="007E3B13">
              <w:rPr>
                <w:rFonts w:ascii="Arial" w:hAnsi="Arial" w:cs="Arial"/>
              </w:rPr>
              <w:t xml:space="preserve"> 67 cDDD (N=169)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B5569" w14:textId="77777777" w:rsidR="00EF71A3" w:rsidRPr="007E3B13" w:rsidRDefault="00EF71A3" w:rsidP="000A6024">
            <w:pPr>
              <w:jc w:val="center"/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0.586 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87615" w14:textId="77777777" w:rsidR="00EF71A3" w:rsidRPr="007E3B13" w:rsidRDefault="00EF71A3" w:rsidP="000A6024">
            <w:pPr>
              <w:jc w:val="center"/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0.490 </w:t>
            </w:r>
          </w:p>
        </w:tc>
        <w:tc>
          <w:tcPr>
            <w:tcW w:w="99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6F4C6" w14:textId="77777777" w:rsidR="00EF71A3" w:rsidRPr="007E3B13" w:rsidRDefault="00EF71A3" w:rsidP="000A6024">
            <w:pPr>
              <w:jc w:val="center"/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 xml:space="preserve">0.698 </w:t>
            </w:r>
          </w:p>
        </w:tc>
        <w:tc>
          <w:tcPr>
            <w:tcW w:w="104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90E0C" w14:textId="77777777" w:rsidR="00EF71A3" w:rsidRPr="007E3B13" w:rsidRDefault="00EF71A3" w:rsidP="000A6024">
            <w:pPr>
              <w:jc w:val="center"/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&lt; 0.001</w:t>
            </w:r>
          </w:p>
        </w:tc>
      </w:tr>
    </w:tbl>
    <w:p w14:paraId="6EABACFE" w14:textId="77777777" w:rsidR="007A7069" w:rsidRPr="007E3B13" w:rsidRDefault="007A7069" w:rsidP="007A7069">
      <w:pPr>
        <w:rPr>
          <w:rFonts w:ascii="Arial" w:hAnsi="Arial" w:cs="Arial"/>
        </w:rPr>
      </w:pPr>
      <w:proofErr w:type="spellStart"/>
      <w:r w:rsidRPr="007E3B13">
        <w:rPr>
          <w:rFonts w:ascii="Arial" w:hAnsi="Arial" w:cs="Arial"/>
        </w:rPr>
        <w:t>aHR</w:t>
      </w:r>
      <w:proofErr w:type="spellEnd"/>
      <w:r w:rsidRPr="007E3B13">
        <w:rPr>
          <w:rFonts w:ascii="Arial" w:hAnsi="Arial" w:cs="Arial"/>
        </w:rPr>
        <w:t>, Adjusted Hazard Ratio; CI, Confidence Interval; cDDD, cumulative Defined Daily Dose.</w:t>
      </w:r>
      <w:r w:rsidRPr="007E3B13">
        <w:rPr>
          <w:rFonts w:ascii="Arial" w:hAnsi="Arial" w:cs="Arial"/>
        </w:rPr>
        <w:br/>
        <w:t>cDDD refers to the cumulative Defined Daily Dose of Lipo-Dox.</w:t>
      </w:r>
    </w:p>
    <w:p w14:paraId="4B188B34" w14:textId="77777777" w:rsidR="007A7069" w:rsidRPr="007E3B13" w:rsidRDefault="007A7069" w:rsidP="007A7069">
      <w:pPr>
        <w:rPr>
          <w:rFonts w:ascii="Arial" w:hAnsi="Arial" w:cs="Arial"/>
        </w:rPr>
      </w:pPr>
      <w:r w:rsidRPr="007E3B13">
        <w:rPr>
          <w:rFonts w:ascii="Arial" w:hAnsi="Arial" w:cs="Arial"/>
        </w:rPr>
        <w:t>Adjusted variables included: Age (per year increase); Stage (I [Reference], II, III); Insurance Premium (NT$) (&lt;18,000 [Reference], 18,000–34,999, ≥35,000); Comorbidities (presence vs. absence: Diabetes Mellitus (DM), Hypertension (HTN), Depression, Chronic Kidney Disease (CKD), Congestive Heart Failure (CHF), Chronic Obstructive Pulmonary Disease (COPD), Hyperlipidemia); and Level of Care (Local hospital [Reference], Regional hospital, Hospital center).</w:t>
      </w:r>
    </w:p>
    <w:p w14:paraId="7570F5B4" w14:textId="51F7AE4F" w:rsidR="007A7069" w:rsidRPr="007E3B13" w:rsidRDefault="007A7069">
      <w:pPr>
        <w:widowControl/>
        <w:rPr>
          <w:rFonts w:ascii="Arial" w:hAnsi="Arial" w:cs="Arial"/>
        </w:rPr>
      </w:pPr>
      <w:r w:rsidRPr="007E3B13">
        <w:rPr>
          <w:rFonts w:ascii="Arial" w:hAnsi="Arial" w:cs="Arial"/>
        </w:rPr>
        <w:br w:type="page"/>
      </w:r>
    </w:p>
    <w:p w14:paraId="0E90F613" w14:textId="77777777" w:rsidR="006D1DF6" w:rsidRPr="007E3B13" w:rsidRDefault="006D1DF6">
      <w:pPr>
        <w:rPr>
          <w:rFonts w:ascii="Arial" w:hAnsi="Arial" w:cs="Arial"/>
          <w:b/>
          <w:bCs/>
        </w:rPr>
        <w:sectPr w:rsidR="006D1DF6" w:rsidRPr="007E3B1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01C2D3E5" w14:textId="01C2D3E5" w:rsidR="007A7069" w:rsidRPr="007E3B13" w:rsidRDefault="007A7069">
      <w:pPr>
        <w:rPr>
          <w:rFonts w:ascii="Arial" w:hAnsi="Arial" w:cs="Arial"/>
          <w:b/>
          <w:bCs/>
        </w:rPr>
      </w:pPr>
      <w:r w:rsidRPr="007E3B13">
        <w:rPr>
          <w:rFonts w:ascii="Arial" w:hAnsi="Arial" w:cs="Arial"/>
          <w:b/>
          <w:bCs/>
        </w:rPr>
        <w:lastRenderedPageBreak/>
        <w:t>Supplement S5. Sensitivity Analysis: Matched vs. Unmatched Cohort Overall Survival</w:t>
      </w:r>
    </w:p>
    <w:tbl>
      <w:tblPr>
        <w:tblW w:w="1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593"/>
        <w:gridCol w:w="1593"/>
        <w:gridCol w:w="1593"/>
        <w:gridCol w:w="1843"/>
        <w:gridCol w:w="2305"/>
        <w:gridCol w:w="1753"/>
        <w:gridCol w:w="1754"/>
      </w:tblGrid>
      <w:tr w:rsidR="007A7069" w:rsidRPr="007E3B13" w14:paraId="25B00001" w14:textId="25B00001" w:rsidTr="00EF71A3">
        <w:trPr>
          <w:trHeight w:val="315"/>
        </w:trPr>
        <w:tc>
          <w:tcPr>
            <w:tcW w:w="15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02" w14:textId="25B00002" w:rsidR="007A7069" w:rsidRPr="007E3B13" w:rsidRDefault="007A7069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Analysis</w:t>
            </w:r>
          </w:p>
        </w:tc>
        <w:tc>
          <w:tcPr>
            <w:tcW w:w="15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03" w14:textId="25B00003" w:rsidR="007A7069" w:rsidRPr="007E3B13" w:rsidRDefault="007A7069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Cohort</w:t>
            </w:r>
          </w:p>
        </w:tc>
        <w:tc>
          <w:tcPr>
            <w:tcW w:w="15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04" w14:textId="25B00004" w:rsidR="007A7069" w:rsidRPr="007E3B13" w:rsidRDefault="007A7069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N</w:t>
            </w:r>
          </w:p>
        </w:tc>
        <w:tc>
          <w:tcPr>
            <w:tcW w:w="15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05" w14:textId="25B00005" w:rsidR="007A7069" w:rsidRPr="007E3B13" w:rsidRDefault="007A7069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Events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06" w14:textId="25B00006" w:rsidR="007A7069" w:rsidRPr="007E3B13" w:rsidRDefault="007A7069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Person-Years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07" w14:textId="25B00007" w:rsidR="007A7069" w:rsidRPr="007E3B13" w:rsidRDefault="007A7069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Rate (per 10</w:t>
            </w:r>
            <w:r w:rsidRPr="007E3B13">
              <w:rPr>
                <w:rFonts w:ascii="Arial" w:hAnsi="Arial" w:cs="Arial"/>
                <w:b/>
                <w:bCs/>
                <w:vertAlign w:val="superscript"/>
              </w:rPr>
              <w:t>5</w:t>
            </w:r>
            <w:r w:rsidRPr="007E3B13">
              <w:rPr>
                <w:rFonts w:ascii="Arial" w:hAnsi="Arial" w:cs="Arial"/>
                <w:b/>
                <w:bCs/>
              </w:rPr>
              <w:t xml:space="preserve"> PYs)</w:t>
            </w:r>
          </w:p>
        </w:tc>
        <w:tc>
          <w:tcPr>
            <w:tcW w:w="17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08" w14:textId="25B00008" w:rsidR="007A7069" w:rsidRPr="007E3B13" w:rsidRDefault="007A7069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aHR (95% CI)</w:t>
            </w:r>
          </w:p>
        </w:tc>
        <w:tc>
          <w:tcPr>
            <w:tcW w:w="17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09" w14:textId="25B00009" w:rsidR="007A7069" w:rsidRPr="007E3B13" w:rsidRDefault="007A7069">
            <w:pPr>
              <w:rPr>
                <w:rFonts w:ascii="Arial" w:hAnsi="Arial" w:cs="Arial"/>
                <w:b/>
                <w:bCs/>
              </w:rPr>
            </w:pPr>
            <w:r w:rsidRPr="007E3B13">
              <w:rPr>
                <w:rFonts w:ascii="Arial" w:hAnsi="Arial" w:cs="Arial"/>
                <w:b/>
                <w:bCs/>
              </w:rPr>
              <w:t>P value</w:t>
            </w:r>
          </w:p>
        </w:tc>
      </w:tr>
      <w:tr w:rsidR="007A7069" w:rsidRPr="007E3B13" w14:paraId="25B0000A" w14:textId="25B0000A" w:rsidTr="00EF71A3">
        <w:trPr>
          <w:trHeight w:val="315"/>
        </w:trPr>
        <w:tc>
          <w:tcPr>
            <w:tcW w:w="15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0B" w14:textId="25B0000B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Matched</w:t>
            </w:r>
          </w:p>
        </w:tc>
        <w:tc>
          <w:tcPr>
            <w:tcW w:w="15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0C" w14:textId="25B0000C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Epirubicin</w:t>
            </w:r>
          </w:p>
        </w:tc>
        <w:tc>
          <w:tcPr>
            <w:tcW w:w="15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0D" w14:textId="25B0000D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525</w:t>
            </w:r>
          </w:p>
        </w:tc>
        <w:tc>
          <w:tcPr>
            <w:tcW w:w="15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0E" w14:textId="25B0000E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45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0F" w14:textId="25B0000F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323,253.79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10" w14:textId="25B00010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13.92</w:t>
            </w:r>
          </w:p>
        </w:tc>
        <w:tc>
          <w:tcPr>
            <w:tcW w:w="17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11" w14:textId="25B00011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Reference</w:t>
            </w:r>
          </w:p>
        </w:tc>
        <w:tc>
          <w:tcPr>
            <w:tcW w:w="17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12" w14:textId="25B00012" w:rsidR="007A7069" w:rsidRPr="007E3B13" w:rsidRDefault="007A7069">
            <w:pPr>
              <w:rPr>
                <w:rFonts w:ascii="Arial" w:hAnsi="Arial" w:cs="Arial"/>
              </w:rPr>
            </w:pPr>
          </w:p>
        </w:tc>
      </w:tr>
      <w:tr w:rsidR="007A7069" w:rsidRPr="007E3B13" w14:paraId="25B00013" w14:textId="25B00013" w:rsidTr="00EF71A3">
        <w:trPr>
          <w:trHeight w:val="315"/>
        </w:trPr>
        <w:tc>
          <w:tcPr>
            <w:tcW w:w="15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14" w14:textId="25B00014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Matched</w:t>
            </w:r>
          </w:p>
        </w:tc>
        <w:tc>
          <w:tcPr>
            <w:tcW w:w="15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15" w14:textId="25B00015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Lipo-Dox</w:t>
            </w:r>
          </w:p>
        </w:tc>
        <w:tc>
          <w:tcPr>
            <w:tcW w:w="15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16" w14:textId="25B00016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525</w:t>
            </w:r>
          </w:p>
        </w:tc>
        <w:tc>
          <w:tcPr>
            <w:tcW w:w="15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17" w14:textId="25B00017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28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18" w14:textId="25B00018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271,826.35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19" w14:textId="25B00019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10.30</w:t>
            </w:r>
          </w:p>
        </w:tc>
        <w:tc>
          <w:tcPr>
            <w:tcW w:w="17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1A" w14:textId="25B0001A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0.754 (0.632-0.899)</w:t>
            </w:r>
          </w:p>
        </w:tc>
        <w:tc>
          <w:tcPr>
            <w:tcW w:w="17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1B" w14:textId="25B0001B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&lt;0.001</w:t>
            </w:r>
          </w:p>
        </w:tc>
      </w:tr>
      <w:tr w:rsidR="007A7069" w:rsidRPr="007E3B13" w14:paraId="25B0001C" w14:textId="25B0001C" w:rsidTr="00EF71A3">
        <w:trPr>
          <w:trHeight w:val="315"/>
        </w:trPr>
        <w:tc>
          <w:tcPr>
            <w:tcW w:w="15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1D" w14:textId="25B0001D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Unmatched</w:t>
            </w:r>
          </w:p>
        </w:tc>
        <w:tc>
          <w:tcPr>
            <w:tcW w:w="15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1E" w14:textId="25B0001E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Epirubicin</w:t>
            </w:r>
          </w:p>
        </w:tc>
        <w:tc>
          <w:tcPr>
            <w:tcW w:w="15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1F" w14:textId="25B0001F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926</w:t>
            </w:r>
          </w:p>
        </w:tc>
        <w:tc>
          <w:tcPr>
            <w:tcW w:w="15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20" w14:textId="25B00020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77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21" w14:textId="25B00021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570,149.24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22" w14:textId="25B00022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13.51</w:t>
            </w:r>
          </w:p>
        </w:tc>
        <w:tc>
          <w:tcPr>
            <w:tcW w:w="17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23" w14:textId="25B00023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Reference</w:t>
            </w:r>
          </w:p>
        </w:tc>
        <w:tc>
          <w:tcPr>
            <w:tcW w:w="17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24" w14:textId="25B00024" w:rsidR="007A7069" w:rsidRPr="007E3B13" w:rsidRDefault="007A7069">
            <w:pPr>
              <w:rPr>
                <w:rFonts w:ascii="Arial" w:hAnsi="Arial" w:cs="Arial"/>
              </w:rPr>
            </w:pPr>
          </w:p>
        </w:tc>
      </w:tr>
      <w:tr w:rsidR="007A7069" w:rsidRPr="007E3B13" w14:paraId="25B00025" w14:textId="25B00025" w:rsidTr="00EF71A3">
        <w:trPr>
          <w:trHeight w:val="315"/>
        </w:trPr>
        <w:tc>
          <w:tcPr>
            <w:tcW w:w="159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26" w14:textId="25B00026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Unmatched</w:t>
            </w:r>
          </w:p>
        </w:tc>
        <w:tc>
          <w:tcPr>
            <w:tcW w:w="15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27" w14:textId="25B00027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Lipo-Dox</w:t>
            </w:r>
          </w:p>
        </w:tc>
        <w:tc>
          <w:tcPr>
            <w:tcW w:w="15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28" w14:textId="25B00028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525</w:t>
            </w:r>
          </w:p>
        </w:tc>
        <w:tc>
          <w:tcPr>
            <w:tcW w:w="159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29" w14:textId="25B00029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28</w:t>
            </w:r>
          </w:p>
        </w:tc>
        <w:tc>
          <w:tcPr>
            <w:tcW w:w="18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2A" w14:textId="25B0002A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271,826.35</w:t>
            </w:r>
          </w:p>
        </w:tc>
        <w:tc>
          <w:tcPr>
            <w:tcW w:w="230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2B" w14:textId="25B0002B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10.30</w:t>
            </w:r>
          </w:p>
        </w:tc>
        <w:tc>
          <w:tcPr>
            <w:tcW w:w="175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2C" w14:textId="25B0002C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0.775 (0.645-0.906)</w:t>
            </w:r>
          </w:p>
        </w:tc>
        <w:tc>
          <w:tcPr>
            <w:tcW w:w="175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0002D" w14:textId="25B0002D" w:rsidR="007A7069" w:rsidRPr="007E3B13" w:rsidRDefault="007A7069">
            <w:pPr>
              <w:rPr>
                <w:rFonts w:ascii="Arial" w:hAnsi="Arial" w:cs="Arial"/>
              </w:rPr>
            </w:pPr>
            <w:r w:rsidRPr="007E3B13">
              <w:rPr>
                <w:rFonts w:ascii="Arial" w:hAnsi="Arial" w:cs="Arial"/>
              </w:rPr>
              <w:t>0.003</w:t>
            </w:r>
          </w:p>
        </w:tc>
      </w:tr>
    </w:tbl>
    <w:p w14:paraId="01C2D3ED" w14:textId="5AB8A3E3" w:rsidR="006D1DF6" w:rsidRPr="007E3B13" w:rsidRDefault="007A7069">
      <w:pPr>
        <w:rPr>
          <w:rFonts w:ascii="Arial" w:hAnsi="Arial" w:cs="Arial"/>
        </w:rPr>
      </w:pPr>
      <w:proofErr w:type="spellStart"/>
      <w:r w:rsidRPr="007E3B13">
        <w:rPr>
          <w:rFonts w:ascii="Arial" w:hAnsi="Arial" w:cs="Arial"/>
        </w:rPr>
        <w:t>aHR</w:t>
      </w:r>
      <w:proofErr w:type="spellEnd"/>
      <w:r w:rsidRPr="007E3B13">
        <w:rPr>
          <w:rFonts w:ascii="Arial" w:hAnsi="Arial" w:cs="Arial"/>
        </w:rPr>
        <w:t>, Adjusted Hazard Ratio; CI, Confidence Interval; PYs, Person-Years. Adjusted variables included: Age, Stage, Insurance Premium, Comorbidities, and Level of Care.</w:t>
      </w:r>
    </w:p>
    <w:p w14:paraId="78742A0E" w14:textId="77777777" w:rsidR="006D1DF6" w:rsidRPr="007E3B13" w:rsidRDefault="006D1DF6">
      <w:pPr>
        <w:widowControl/>
        <w:rPr>
          <w:rFonts w:ascii="Arial" w:hAnsi="Arial" w:cs="Arial"/>
        </w:rPr>
      </w:pPr>
      <w:r w:rsidRPr="007E3B13">
        <w:rPr>
          <w:rFonts w:ascii="Arial" w:hAnsi="Arial" w:cs="Arial"/>
        </w:rPr>
        <w:br w:type="page"/>
      </w:r>
    </w:p>
    <w:p w14:paraId="6A3CF10B" w14:textId="77777777" w:rsidR="006D1DF6" w:rsidRPr="007E3B13" w:rsidRDefault="006D1DF6">
      <w:pPr>
        <w:rPr>
          <w:rFonts w:ascii="Arial" w:hAnsi="Arial" w:cs="Arial"/>
          <w:b/>
          <w:bCs/>
        </w:rPr>
        <w:sectPr w:rsidR="006D1DF6" w:rsidRPr="007E3B13" w:rsidSect="006D1DF6">
          <w:pgSz w:w="16838" w:h="11906" w:orient="landscape"/>
          <w:pgMar w:top="1797" w:right="1440" w:bottom="1797" w:left="1440" w:header="851" w:footer="992" w:gutter="0"/>
          <w:cols w:space="425"/>
          <w:docGrid w:type="lines" w:linePitch="360"/>
        </w:sectPr>
      </w:pPr>
    </w:p>
    <w:p w14:paraId="01C2D3EF" w14:textId="01C2D3EF" w:rsidR="007A7069" w:rsidRPr="007E3B13" w:rsidRDefault="007A7069">
      <w:pPr>
        <w:rPr>
          <w:rFonts w:ascii="Arial" w:hAnsi="Arial" w:cs="Arial"/>
          <w:b/>
          <w:bCs/>
        </w:rPr>
      </w:pPr>
      <w:r w:rsidRPr="007E3B13">
        <w:rPr>
          <w:rFonts w:ascii="Arial" w:hAnsi="Arial" w:cs="Arial"/>
          <w:b/>
          <w:bCs/>
        </w:rPr>
        <w:lastRenderedPageBreak/>
        <w:t>Supplement S6. Kaplan-Meier Curves for Cardiotoxicity-Free Survival and Disease-Free Survival</w:t>
      </w:r>
    </w:p>
    <w:p w14:paraId="01C2D3F0" w14:textId="01C2D3F0" w:rsidR="007A7069" w:rsidRPr="007E3B13" w:rsidRDefault="007A7069">
      <w:pPr>
        <w:rPr>
          <w:rFonts w:ascii="Arial" w:hAnsi="Arial" w:cs="Arial"/>
        </w:rPr>
      </w:pPr>
      <w:r w:rsidRPr="007E3B13">
        <w:rPr>
          <w:rFonts w:ascii="Arial" w:hAnsi="Arial" w:cs="Arial"/>
        </w:rPr>
        <w:t>Kaplan-Meier survival curves for (a) cardiotoxicity-free survival and (b) disease-free survival comparing the Lipo-Dox and Epirubicin groups in the matched cohort (n = 1,050). Neither endpoint showed a statistically significant difference between groups (log-rank P &gt; 0.05). See attached figure files.</w:t>
      </w:r>
    </w:p>
    <w:p w14:paraId="01C2D3F1" w14:textId="01C2D3F1" w:rsidR="007A7069" w:rsidRPr="007E3B13" w:rsidRDefault="007A7069">
      <w:pPr>
        <w:rPr>
          <w:rFonts w:ascii="Arial" w:hAnsi="Arial" w:cs="Arial"/>
        </w:rPr>
      </w:pPr>
    </w:p>
    <w:sectPr w:rsidR="007A7069" w:rsidRPr="007E3B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DAE8" w14:textId="77777777" w:rsidR="002406D5" w:rsidRDefault="002406D5" w:rsidP="006D1DF6">
      <w:pPr>
        <w:spacing w:after="0" w:line="240" w:lineRule="auto"/>
      </w:pPr>
      <w:r>
        <w:separator/>
      </w:r>
    </w:p>
  </w:endnote>
  <w:endnote w:type="continuationSeparator" w:id="0">
    <w:p w14:paraId="55DAECE6" w14:textId="77777777" w:rsidR="002406D5" w:rsidRDefault="002406D5" w:rsidP="006D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C546" w14:textId="77777777" w:rsidR="002406D5" w:rsidRDefault="002406D5" w:rsidP="006D1DF6">
      <w:pPr>
        <w:spacing w:after="0" w:line="240" w:lineRule="auto"/>
      </w:pPr>
      <w:r>
        <w:separator/>
      </w:r>
    </w:p>
  </w:footnote>
  <w:footnote w:type="continuationSeparator" w:id="0">
    <w:p w14:paraId="7D9013A2" w14:textId="77777777" w:rsidR="002406D5" w:rsidRDefault="002406D5" w:rsidP="006D1D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11"/>
    <w:rsid w:val="0002196B"/>
    <w:rsid w:val="000E743D"/>
    <w:rsid w:val="00165BA3"/>
    <w:rsid w:val="002406D5"/>
    <w:rsid w:val="00325FD9"/>
    <w:rsid w:val="0033584F"/>
    <w:rsid w:val="003645CA"/>
    <w:rsid w:val="004374D3"/>
    <w:rsid w:val="00447BF6"/>
    <w:rsid w:val="00566921"/>
    <w:rsid w:val="006A3954"/>
    <w:rsid w:val="006D1DF6"/>
    <w:rsid w:val="0076796C"/>
    <w:rsid w:val="007A7069"/>
    <w:rsid w:val="007E3B13"/>
    <w:rsid w:val="0089103C"/>
    <w:rsid w:val="00A011A3"/>
    <w:rsid w:val="00A30651"/>
    <w:rsid w:val="00A640B8"/>
    <w:rsid w:val="00AD267A"/>
    <w:rsid w:val="00B45211"/>
    <w:rsid w:val="00CB2D21"/>
    <w:rsid w:val="00CD260C"/>
    <w:rsid w:val="00D01F32"/>
    <w:rsid w:val="00DB1D84"/>
    <w:rsid w:val="00EA6CCF"/>
    <w:rsid w:val="00E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F2A27"/>
  <w15:chartTrackingRefBased/>
  <w15:docId w15:val="{8B46CCA7-5AE2-4A46-924C-3AF942A2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45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211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211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2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21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21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21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21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21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211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2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21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211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211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21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2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21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21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EA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1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D1DF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1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D1D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53413-6714-425B-979F-36C0D1AC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793</Words>
  <Characters>4647</Characters>
  <Application>Microsoft Office Word</Application>
  <DocSecurity>0</DocSecurity>
  <Lines>325</Lines>
  <Paragraphs>213</Paragraphs>
  <ScaleCrop>false</ScaleCrop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PoHuang Chen</dc:creator>
  <cp:keywords/>
  <dc:description/>
  <cp:lastModifiedBy>Jermaine Wilcock</cp:lastModifiedBy>
  <cp:revision>7</cp:revision>
  <dcterms:created xsi:type="dcterms:W3CDTF">2026-04-12T15:31:00Z</dcterms:created>
  <dcterms:modified xsi:type="dcterms:W3CDTF">2026-04-16T06:36:00Z</dcterms:modified>
</cp:coreProperties>
</file>