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9DD02" w14:textId="77777777" w:rsidR="00965EFF" w:rsidRPr="00CB75A4" w:rsidRDefault="00965EFF" w:rsidP="00105F2A">
      <w:pPr>
        <w:spacing w:line="480" w:lineRule="auto"/>
        <w:rPr>
          <w:rFonts w:ascii="Arial" w:hAnsi="Arial" w:cs="Arial"/>
          <w:color w:val="000000" w:themeColor="text1"/>
        </w:rPr>
      </w:pPr>
      <w:r w:rsidRPr="00CB75A4">
        <w:rPr>
          <w:rFonts w:ascii="Arial" w:hAnsi="Arial" w:cs="Arial"/>
          <w:color w:val="000000" w:themeColor="text1"/>
        </w:rPr>
        <w:t xml:space="preserve">Supplementary Table 1. </w:t>
      </w:r>
      <w:r w:rsidR="00AD0C6F" w:rsidRPr="00CB75A4">
        <w:rPr>
          <w:rFonts w:ascii="Arial" w:hAnsi="Arial" w:cs="Arial" w:hint="eastAsia"/>
          <w:color w:val="000000" w:themeColor="text1"/>
        </w:rPr>
        <w:t>Primer sequences used for RT-qPCR validation</w:t>
      </w:r>
      <w:r w:rsidRPr="00CB75A4">
        <w:rPr>
          <w:rFonts w:ascii="Arial" w:hAnsi="Arial" w:cs="Arial"/>
          <w:color w:val="000000" w:themeColor="text1"/>
        </w:rPr>
        <w:t>.</w:t>
      </w:r>
    </w:p>
    <w:tbl>
      <w:tblPr>
        <w:tblW w:w="9400" w:type="dxa"/>
        <w:tblInd w:w="108" w:type="dxa"/>
        <w:tblLook w:val="04A0" w:firstRow="1" w:lastRow="0" w:firstColumn="1" w:lastColumn="0" w:noHBand="0" w:noVBand="1"/>
      </w:tblPr>
      <w:tblGrid>
        <w:gridCol w:w="2913"/>
        <w:gridCol w:w="1080"/>
        <w:gridCol w:w="1010"/>
        <w:gridCol w:w="1028"/>
        <w:gridCol w:w="3369"/>
      </w:tblGrid>
      <w:tr w:rsidR="00CB75A4" w:rsidRPr="00CB75A4" w14:paraId="36AEBBE0" w14:textId="77777777" w:rsidTr="00105F2A">
        <w:trPr>
          <w:trHeight w:val="600"/>
        </w:trPr>
        <w:tc>
          <w:tcPr>
            <w:tcW w:w="2913" w:type="dxa"/>
            <w:tcBorders>
              <w:top w:val="single" w:sz="8" w:space="0" w:color="000000"/>
              <w:left w:val="nil"/>
              <w:bottom w:val="single" w:sz="8" w:space="0" w:color="000000"/>
              <w:right w:val="nil"/>
            </w:tcBorders>
            <w:shd w:val="clear" w:color="000000" w:fill="FFFFFF"/>
            <w:vAlign w:val="center"/>
            <w:hideMark/>
          </w:tcPr>
          <w:p w14:paraId="0580416A" w14:textId="32B368EA" w:rsidR="00DD7B30" w:rsidRPr="00CB75A4" w:rsidRDefault="00DD7B30" w:rsidP="00DD7B30">
            <w:pPr>
              <w:widowControl/>
              <w:spacing w:after="0" w:line="240" w:lineRule="auto"/>
              <w:rPr>
                <w:rFonts w:ascii="Arial" w:hAnsi="Arial" w:cs="Arial"/>
                <w:b/>
                <w:bCs/>
                <w:color w:val="000000" w:themeColor="text1"/>
                <w:kern w:val="0"/>
                <w:sz w:val="21"/>
                <w:szCs w:val="21"/>
              </w:rPr>
            </w:pPr>
            <w:bookmarkStart w:id="0" w:name="RANGE!A1"/>
            <w:r w:rsidRPr="00CB75A4">
              <w:rPr>
                <w:rFonts w:ascii="Arial" w:hAnsi="Arial" w:cs="Arial"/>
                <w:b/>
                <w:bCs/>
                <w:color w:val="000000" w:themeColor="text1"/>
                <w:kern w:val="0"/>
                <w:sz w:val="21"/>
                <w:szCs w:val="21"/>
              </w:rPr>
              <w:t xml:space="preserve">Target </w:t>
            </w:r>
            <w:r w:rsidR="007E1E4E">
              <w:rPr>
                <w:rFonts w:ascii="Arial" w:hAnsi="Arial" w:cs="Arial" w:hint="eastAsia"/>
                <w:b/>
                <w:bCs/>
                <w:color w:val="000000" w:themeColor="text1"/>
                <w:kern w:val="0"/>
                <w:sz w:val="21"/>
                <w:szCs w:val="21"/>
              </w:rPr>
              <w:t>g</w:t>
            </w:r>
            <w:r w:rsidRPr="00CB75A4">
              <w:rPr>
                <w:rFonts w:ascii="Arial" w:hAnsi="Arial" w:cs="Arial"/>
                <w:b/>
                <w:bCs/>
                <w:color w:val="000000" w:themeColor="text1"/>
                <w:kern w:val="0"/>
                <w:sz w:val="21"/>
                <w:szCs w:val="21"/>
              </w:rPr>
              <w:t>ene</w:t>
            </w:r>
            <w:bookmarkEnd w:id="0"/>
          </w:p>
        </w:tc>
        <w:tc>
          <w:tcPr>
            <w:tcW w:w="1080" w:type="dxa"/>
            <w:tcBorders>
              <w:top w:val="single" w:sz="8" w:space="0" w:color="000000"/>
              <w:left w:val="nil"/>
              <w:bottom w:val="single" w:sz="8" w:space="0" w:color="000000"/>
              <w:right w:val="nil"/>
            </w:tcBorders>
            <w:shd w:val="clear" w:color="000000" w:fill="FFFFFF"/>
            <w:vAlign w:val="center"/>
            <w:hideMark/>
          </w:tcPr>
          <w:p w14:paraId="245A2F04" w14:textId="72EA8105" w:rsidR="00DD7B30" w:rsidRPr="00CB75A4" w:rsidRDefault="00DD7B30" w:rsidP="00DD7B30">
            <w:pPr>
              <w:widowControl/>
              <w:spacing w:after="0" w:line="240" w:lineRule="auto"/>
              <w:rPr>
                <w:rFonts w:ascii="Arial" w:hAnsi="Arial" w:cs="Arial"/>
                <w:b/>
                <w:bCs/>
                <w:color w:val="000000" w:themeColor="text1"/>
                <w:kern w:val="0"/>
                <w:sz w:val="21"/>
                <w:szCs w:val="21"/>
              </w:rPr>
            </w:pPr>
            <w:r w:rsidRPr="00CB75A4">
              <w:rPr>
                <w:rFonts w:ascii="Arial" w:hAnsi="Arial" w:cs="Arial"/>
                <w:b/>
                <w:bCs/>
                <w:color w:val="000000" w:themeColor="text1"/>
                <w:kern w:val="0"/>
                <w:sz w:val="21"/>
                <w:szCs w:val="21"/>
              </w:rPr>
              <w:t xml:space="preserve">Gene </w:t>
            </w:r>
            <w:r w:rsidR="007E1E4E">
              <w:rPr>
                <w:rFonts w:ascii="Arial" w:hAnsi="Arial" w:cs="Arial" w:hint="eastAsia"/>
                <w:b/>
                <w:bCs/>
                <w:color w:val="000000" w:themeColor="text1"/>
                <w:kern w:val="0"/>
                <w:sz w:val="21"/>
                <w:szCs w:val="21"/>
              </w:rPr>
              <w:t>s</w:t>
            </w:r>
            <w:r w:rsidRPr="00CB75A4">
              <w:rPr>
                <w:rFonts w:ascii="Arial" w:hAnsi="Arial" w:cs="Arial"/>
                <w:b/>
                <w:bCs/>
                <w:color w:val="000000" w:themeColor="text1"/>
                <w:kern w:val="0"/>
                <w:sz w:val="21"/>
                <w:szCs w:val="21"/>
              </w:rPr>
              <w:t>ymbol</w:t>
            </w:r>
          </w:p>
        </w:tc>
        <w:tc>
          <w:tcPr>
            <w:tcW w:w="1010" w:type="dxa"/>
            <w:tcBorders>
              <w:top w:val="single" w:sz="8" w:space="0" w:color="000000"/>
              <w:left w:val="nil"/>
              <w:bottom w:val="single" w:sz="8" w:space="0" w:color="000000"/>
              <w:right w:val="nil"/>
            </w:tcBorders>
            <w:shd w:val="clear" w:color="000000" w:fill="FFFFFF"/>
            <w:vAlign w:val="center"/>
            <w:hideMark/>
          </w:tcPr>
          <w:p w14:paraId="32CA6613" w14:textId="77777777" w:rsidR="00DD7B30" w:rsidRPr="00CB75A4" w:rsidRDefault="00DD7B30" w:rsidP="00DD7B30">
            <w:pPr>
              <w:widowControl/>
              <w:spacing w:after="0" w:line="240" w:lineRule="auto"/>
              <w:rPr>
                <w:rFonts w:ascii="Arial" w:hAnsi="Arial" w:cs="Arial"/>
                <w:b/>
                <w:bCs/>
                <w:color w:val="000000" w:themeColor="text1"/>
                <w:kern w:val="0"/>
                <w:sz w:val="21"/>
                <w:szCs w:val="21"/>
              </w:rPr>
            </w:pPr>
            <w:r w:rsidRPr="00CB75A4">
              <w:rPr>
                <w:rFonts w:ascii="Arial" w:hAnsi="Arial" w:cs="Arial"/>
                <w:b/>
                <w:bCs/>
                <w:color w:val="000000" w:themeColor="text1"/>
                <w:kern w:val="0"/>
                <w:sz w:val="21"/>
                <w:szCs w:val="21"/>
              </w:rPr>
              <w:t>Species</w:t>
            </w:r>
          </w:p>
        </w:tc>
        <w:tc>
          <w:tcPr>
            <w:tcW w:w="1028" w:type="dxa"/>
            <w:tcBorders>
              <w:top w:val="single" w:sz="8" w:space="0" w:color="000000"/>
              <w:left w:val="nil"/>
              <w:bottom w:val="single" w:sz="8" w:space="0" w:color="000000"/>
              <w:right w:val="nil"/>
            </w:tcBorders>
            <w:shd w:val="clear" w:color="000000" w:fill="FFFFFF"/>
            <w:vAlign w:val="center"/>
            <w:hideMark/>
          </w:tcPr>
          <w:p w14:paraId="19BAB488" w14:textId="1090011B" w:rsidR="00DD7B30" w:rsidRPr="00CB75A4" w:rsidRDefault="00DD7B30" w:rsidP="00DD7B30">
            <w:pPr>
              <w:widowControl/>
              <w:spacing w:after="0" w:line="240" w:lineRule="auto"/>
              <w:rPr>
                <w:rFonts w:ascii="Arial" w:hAnsi="Arial" w:cs="Arial"/>
                <w:b/>
                <w:bCs/>
                <w:color w:val="000000" w:themeColor="text1"/>
                <w:kern w:val="0"/>
                <w:sz w:val="21"/>
                <w:szCs w:val="21"/>
              </w:rPr>
            </w:pPr>
            <w:r w:rsidRPr="00CB75A4">
              <w:rPr>
                <w:rFonts w:ascii="Arial" w:hAnsi="Arial" w:cs="Arial"/>
                <w:b/>
                <w:bCs/>
                <w:color w:val="000000" w:themeColor="text1"/>
                <w:kern w:val="0"/>
                <w:sz w:val="21"/>
                <w:szCs w:val="21"/>
              </w:rPr>
              <w:t xml:space="preserve">Primer </w:t>
            </w:r>
            <w:r w:rsidR="007E1E4E">
              <w:rPr>
                <w:rFonts w:ascii="Arial" w:hAnsi="Arial" w:cs="Arial" w:hint="eastAsia"/>
                <w:b/>
                <w:bCs/>
                <w:color w:val="000000" w:themeColor="text1"/>
                <w:kern w:val="0"/>
                <w:sz w:val="21"/>
                <w:szCs w:val="21"/>
              </w:rPr>
              <w:t>t</w:t>
            </w:r>
            <w:r w:rsidRPr="00CB75A4">
              <w:rPr>
                <w:rFonts w:ascii="Arial" w:hAnsi="Arial" w:cs="Arial"/>
                <w:b/>
                <w:bCs/>
                <w:color w:val="000000" w:themeColor="text1"/>
                <w:kern w:val="0"/>
                <w:sz w:val="21"/>
                <w:szCs w:val="21"/>
              </w:rPr>
              <w:t>ype</w:t>
            </w:r>
          </w:p>
        </w:tc>
        <w:tc>
          <w:tcPr>
            <w:tcW w:w="3369" w:type="dxa"/>
            <w:tcBorders>
              <w:top w:val="single" w:sz="8" w:space="0" w:color="000000"/>
              <w:left w:val="nil"/>
              <w:bottom w:val="single" w:sz="8" w:space="0" w:color="000000"/>
              <w:right w:val="nil"/>
            </w:tcBorders>
            <w:shd w:val="clear" w:color="000000" w:fill="FFFFFF"/>
            <w:vAlign w:val="center"/>
            <w:hideMark/>
          </w:tcPr>
          <w:p w14:paraId="2AAC7FC7" w14:textId="77777777" w:rsidR="00DD7B30" w:rsidRPr="00CB75A4" w:rsidRDefault="00DD7B30" w:rsidP="00DD7B30">
            <w:pPr>
              <w:widowControl/>
              <w:spacing w:after="0" w:line="240" w:lineRule="auto"/>
              <w:rPr>
                <w:rFonts w:ascii="Arial" w:hAnsi="Arial" w:cs="Arial"/>
                <w:b/>
                <w:bCs/>
                <w:color w:val="000000" w:themeColor="text1"/>
                <w:kern w:val="0"/>
                <w:sz w:val="21"/>
                <w:szCs w:val="21"/>
              </w:rPr>
            </w:pPr>
            <w:r w:rsidRPr="00CB75A4">
              <w:rPr>
                <w:rFonts w:ascii="Arial" w:hAnsi="Arial" w:cs="Arial"/>
                <w:b/>
                <w:bCs/>
                <w:color w:val="000000" w:themeColor="text1"/>
                <w:kern w:val="0"/>
                <w:sz w:val="21"/>
                <w:szCs w:val="21"/>
              </w:rPr>
              <w:t>Sequence (5' to 3')</w:t>
            </w:r>
          </w:p>
        </w:tc>
      </w:tr>
      <w:tr w:rsidR="00CB75A4" w:rsidRPr="00CB75A4" w14:paraId="300BBA9D" w14:textId="77777777" w:rsidTr="00105F2A">
        <w:trPr>
          <w:trHeight w:val="600"/>
        </w:trPr>
        <w:tc>
          <w:tcPr>
            <w:tcW w:w="2913" w:type="dxa"/>
            <w:vMerge w:val="restart"/>
            <w:tcBorders>
              <w:top w:val="nil"/>
              <w:left w:val="nil"/>
              <w:bottom w:val="nil"/>
              <w:right w:val="nil"/>
            </w:tcBorders>
            <w:shd w:val="clear" w:color="000000" w:fill="FFFFFF"/>
            <w:vAlign w:val="center"/>
            <w:hideMark/>
          </w:tcPr>
          <w:p w14:paraId="686A5E42" w14:textId="77777777" w:rsidR="00DD7B30" w:rsidRPr="00CB75A4" w:rsidRDefault="00DD7B30" w:rsidP="00DD7B30">
            <w:pPr>
              <w:widowControl/>
              <w:spacing w:after="0" w:line="240" w:lineRule="auto"/>
              <w:rPr>
                <w:rFonts w:ascii="Arial" w:hAnsi="Arial" w:cs="Arial"/>
                <w:color w:val="000000" w:themeColor="text1"/>
                <w:kern w:val="0"/>
                <w:sz w:val="21"/>
                <w:szCs w:val="21"/>
              </w:rPr>
            </w:pPr>
            <w:r w:rsidRPr="00CB75A4">
              <w:rPr>
                <w:rFonts w:ascii="Arial" w:hAnsi="Arial" w:cs="Arial"/>
                <w:color w:val="000000" w:themeColor="text1"/>
                <w:kern w:val="0"/>
                <w:sz w:val="21"/>
                <w:szCs w:val="21"/>
              </w:rPr>
              <w:t>Glyceraldehyde-3-phosphate dehydrogenase</w:t>
            </w:r>
          </w:p>
        </w:tc>
        <w:tc>
          <w:tcPr>
            <w:tcW w:w="1080" w:type="dxa"/>
            <w:vMerge w:val="restart"/>
            <w:tcBorders>
              <w:top w:val="nil"/>
              <w:left w:val="nil"/>
              <w:bottom w:val="nil"/>
              <w:right w:val="nil"/>
            </w:tcBorders>
            <w:shd w:val="clear" w:color="000000" w:fill="FFFFFF"/>
            <w:vAlign w:val="center"/>
            <w:hideMark/>
          </w:tcPr>
          <w:p w14:paraId="53AEFAAB" w14:textId="77777777" w:rsidR="00DD7B30" w:rsidRPr="00CB75A4" w:rsidRDefault="00DD7B30" w:rsidP="00DD7B30">
            <w:pPr>
              <w:widowControl/>
              <w:spacing w:after="0" w:line="240" w:lineRule="auto"/>
              <w:rPr>
                <w:rFonts w:ascii="Arial" w:hAnsi="Arial" w:cs="Arial"/>
                <w:color w:val="000000" w:themeColor="text1"/>
                <w:kern w:val="0"/>
                <w:sz w:val="21"/>
                <w:szCs w:val="21"/>
              </w:rPr>
            </w:pPr>
            <w:r w:rsidRPr="00CB75A4">
              <w:rPr>
                <w:rFonts w:ascii="Arial" w:hAnsi="Arial" w:cs="Arial"/>
                <w:color w:val="000000" w:themeColor="text1"/>
                <w:kern w:val="0"/>
                <w:sz w:val="21"/>
                <w:szCs w:val="21"/>
              </w:rPr>
              <w:t>GAPDH</w:t>
            </w:r>
          </w:p>
        </w:tc>
        <w:tc>
          <w:tcPr>
            <w:tcW w:w="1010" w:type="dxa"/>
            <w:vMerge w:val="restart"/>
            <w:tcBorders>
              <w:top w:val="nil"/>
              <w:left w:val="nil"/>
              <w:bottom w:val="nil"/>
              <w:right w:val="nil"/>
            </w:tcBorders>
            <w:shd w:val="clear" w:color="000000" w:fill="FFFFFF"/>
            <w:vAlign w:val="center"/>
            <w:hideMark/>
          </w:tcPr>
          <w:p w14:paraId="7AD35326" w14:textId="77777777" w:rsidR="00DD7B30" w:rsidRPr="00CB75A4" w:rsidRDefault="00DD7B30" w:rsidP="00DD7B30">
            <w:pPr>
              <w:widowControl/>
              <w:spacing w:after="0" w:line="240" w:lineRule="auto"/>
              <w:rPr>
                <w:rFonts w:ascii="Arial" w:hAnsi="Arial" w:cs="Arial"/>
                <w:color w:val="000000" w:themeColor="text1"/>
                <w:kern w:val="0"/>
                <w:sz w:val="21"/>
                <w:szCs w:val="21"/>
              </w:rPr>
            </w:pPr>
            <w:r w:rsidRPr="00CB75A4">
              <w:rPr>
                <w:rFonts w:ascii="Arial" w:hAnsi="Arial" w:cs="Arial"/>
                <w:color w:val="000000" w:themeColor="text1"/>
                <w:kern w:val="0"/>
                <w:sz w:val="21"/>
                <w:szCs w:val="21"/>
              </w:rPr>
              <w:t>Human</w:t>
            </w:r>
          </w:p>
        </w:tc>
        <w:tc>
          <w:tcPr>
            <w:tcW w:w="1028" w:type="dxa"/>
            <w:tcBorders>
              <w:top w:val="nil"/>
              <w:left w:val="nil"/>
              <w:bottom w:val="nil"/>
              <w:right w:val="nil"/>
            </w:tcBorders>
            <w:shd w:val="clear" w:color="000000" w:fill="FFFFFF"/>
            <w:vAlign w:val="center"/>
            <w:hideMark/>
          </w:tcPr>
          <w:p w14:paraId="1829E1A0" w14:textId="77777777" w:rsidR="00DD7B30" w:rsidRPr="00CB75A4" w:rsidRDefault="00DD7B30" w:rsidP="00DD7B30">
            <w:pPr>
              <w:widowControl/>
              <w:spacing w:after="0" w:line="240" w:lineRule="auto"/>
              <w:rPr>
                <w:rFonts w:ascii="Arial" w:hAnsi="Arial" w:cs="Arial"/>
                <w:color w:val="000000" w:themeColor="text1"/>
                <w:kern w:val="0"/>
                <w:sz w:val="21"/>
                <w:szCs w:val="21"/>
              </w:rPr>
            </w:pPr>
            <w:r w:rsidRPr="00CB75A4">
              <w:rPr>
                <w:rFonts w:ascii="Arial" w:hAnsi="Arial" w:cs="Arial"/>
                <w:color w:val="000000" w:themeColor="text1"/>
                <w:kern w:val="0"/>
                <w:sz w:val="21"/>
                <w:szCs w:val="21"/>
              </w:rPr>
              <w:t>Forward</w:t>
            </w:r>
          </w:p>
        </w:tc>
        <w:tc>
          <w:tcPr>
            <w:tcW w:w="3369" w:type="dxa"/>
            <w:tcBorders>
              <w:top w:val="nil"/>
              <w:left w:val="nil"/>
              <w:bottom w:val="nil"/>
              <w:right w:val="nil"/>
            </w:tcBorders>
            <w:shd w:val="clear" w:color="000000" w:fill="FFFFFF"/>
            <w:vAlign w:val="center"/>
            <w:hideMark/>
          </w:tcPr>
          <w:p w14:paraId="19C184AE" w14:textId="77777777" w:rsidR="00DD7B30" w:rsidRPr="00CB75A4" w:rsidRDefault="00DD7B30" w:rsidP="00DD7B30">
            <w:pPr>
              <w:widowControl/>
              <w:spacing w:after="0" w:line="240" w:lineRule="auto"/>
              <w:rPr>
                <w:rFonts w:ascii="Arial" w:hAnsi="Arial" w:cs="Arial"/>
                <w:color w:val="000000" w:themeColor="text1"/>
                <w:kern w:val="0"/>
                <w:sz w:val="20"/>
                <w:szCs w:val="20"/>
              </w:rPr>
            </w:pPr>
            <w:r w:rsidRPr="00CB75A4">
              <w:rPr>
                <w:rFonts w:ascii="Arial" w:hAnsi="Arial" w:cs="Arial"/>
                <w:color w:val="000000" w:themeColor="text1"/>
                <w:kern w:val="0"/>
                <w:sz w:val="20"/>
                <w:szCs w:val="20"/>
              </w:rPr>
              <w:t>TGACTTCAACAGCGACACCCA</w:t>
            </w:r>
          </w:p>
        </w:tc>
      </w:tr>
      <w:tr w:rsidR="00CB75A4" w:rsidRPr="00CB75A4" w14:paraId="2A749F91" w14:textId="77777777" w:rsidTr="00105F2A">
        <w:trPr>
          <w:trHeight w:val="600"/>
        </w:trPr>
        <w:tc>
          <w:tcPr>
            <w:tcW w:w="2913" w:type="dxa"/>
            <w:vMerge/>
            <w:tcBorders>
              <w:top w:val="nil"/>
              <w:left w:val="nil"/>
              <w:bottom w:val="nil"/>
              <w:right w:val="nil"/>
            </w:tcBorders>
            <w:vAlign w:val="center"/>
            <w:hideMark/>
          </w:tcPr>
          <w:p w14:paraId="4D02E3BD" w14:textId="77777777" w:rsidR="00DD7B30" w:rsidRPr="00CB75A4" w:rsidRDefault="00DD7B30" w:rsidP="00DD7B30">
            <w:pPr>
              <w:widowControl/>
              <w:spacing w:after="0" w:line="240" w:lineRule="auto"/>
              <w:rPr>
                <w:rFonts w:ascii="Arial" w:hAnsi="Arial" w:cs="Arial"/>
                <w:color w:val="000000" w:themeColor="text1"/>
                <w:kern w:val="0"/>
                <w:sz w:val="21"/>
                <w:szCs w:val="21"/>
              </w:rPr>
            </w:pPr>
          </w:p>
        </w:tc>
        <w:tc>
          <w:tcPr>
            <w:tcW w:w="1080" w:type="dxa"/>
            <w:vMerge/>
            <w:tcBorders>
              <w:top w:val="nil"/>
              <w:left w:val="nil"/>
              <w:bottom w:val="nil"/>
              <w:right w:val="nil"/>
            </w:tcBorders>
            <w:vAlign w:val="center"/>
            <w:hideMark/>
          </w:tcPr>
          <w:p w14:paraId="02E7A72D" w14:textId="77777777" w:rsidR="00DD7B30" w:rsidRPr="00CB75A4" w:rsidRDefault="00DD7B30" w:rsidP="00DD7B30">
            <w:pPr>
              <w:widowControl/>
              <w:spacing w:after="0" w:line="240" w:lineRule="auto"/>
              <w:rPr>
                <w:rFonts w:ascii="Arial" w:hAnsi="Arial" w:cs="Arial"/>
                <w:color w:val="000000" w:themeColor="text1"/>
                <w:kern w:val="0"/>
                <w:sz w:val="21"/>
                <w:szCs w:val="21"/>
              </w:rPr>
            </w:pPr>
          </w:p>
        </w:tc>
        <w:tc>
          <w:tcPr>
            <w:tcW w:w="1010" w:type="dxa"/>
            <w:vMerge/>
            <w:tcBorders>
              <w:top w:val="nil"/>
              <w:left w:val="nil"/>
              <w:bottom w:val="nil"/>
              <w:right w:val="nil"/>
            </w:tcBorders>
            <w:vAlign w:val="center"/>
            <w:hideMark/>
          </w:tcPr>
          <w:p w14:paraId="0C0510D7" w14:textId="77777777" w:rsidR="00DD7B30" w:rsidRPr="00CB75A4" w:rsidRDefault="00DD7B30" w:rsidP="00DD7B30">
            <w:pPr>
              <w:widowControl/>
              <w:spacing w:after="0" w:line="240" w:lineRule="auto"/>
              <w:rPr>
                <w:rFonts w:ascii="Arial" w:hAnsi="Arial" w:cs="Arial"/>
                <w:color w:val="000000" w:themeColor="text1"/>
                <w:kern w:val="0"/>
                <w:sz w:val="21"/>
                <w:szCs w:val="21"/>
              </w:rPr>
            </w:pPr>
          </w:p>
        </w:tc>
        <w:tc>
          <w:tcPr>
            <w:tcW w:w="1028" w:type="dxa"/>
            <w:tcBorders>
              <w:top w:val="nil"/>
              <w:left w:val="nil"/>
              <w:bottom w:val="nil"/>
              <w:right w:val="nil"/>
            </w:tcBorders>
            <w:shd w:val="clear" w:color="000000" w:fill="FFFFFF"/>
            <w:vAlign w:val="center"/>
            <w:hideMark/>
          </w:tcPr>
          <w:p w14:paraId="3963B105" w14:textId="77777777" w:rsidR="00DD7B30" w:rsidRPr="00CB75A4" w:rsidRDefault="00DD7B30" w:rsidP="00DD7B30">
            <w:pPr>
              <w:widowControl/>
              <w:spacing w:after="0" w:line="240" w:lineRule="auto"/>
              <w:rPr>
                <w:rFonts w:ascii="Arial" w:hAnsi="Arial" w:cs="Arial"/>
                <w:color w:val="000000" w:themeColor="text1"/>
                <w:kern w:val="0"/>
                <w:sz w:val="21"/>
                <w:szCs w:val="21"/>
              </w:rPr>
            </w:pPr>
            <w:r w:rsidRPr="00CB75A4">
              <w:rPr>
                <w:rFonts w:ascii="Arial" w:hAnsi="Arial" w:cs="Arial"/>
                <w:color w:val="000000" w:themeColor="text1"/>
                <w:kern w:val="0"/>
                <w:sz w:val="21"/>
                <w:szCs w:val="21"/>
              </w:rPr>
              <w:t>Reverse</w:t>
            </w:r>
          </w:p>
        </w:tc>
        <w:tc>
          <w:tcPr>
            <w:tcW w:w="3369" w:type="dxa"/>
            <w:tcBorders>
              <w:top w:val="nil"/>
              <w:left w:val="nil"/>
              <w:bottom w:val="nil"/>
              <w:right w:val="nil"/>
            </w:tcBorders>
            <w:shd w:val="clear" w:color="000000" w:fill="FFFFFF"/>
            <w:vAlign w:val="center"/>
            <w:hideMark/>
          </w:tcPr>
          <w:p w14:paraId="408ADE08" w14:textId="77777777" w:rsidR="00DD7B30" w:rsidRPr="00CB75A4" w:rsidRDefault="00DD7B30" w:rsidP="00DD7B30">
            <w:pPr>
              <w:widowControl/>
              <w:spacing w:after="0" w:line="240" w:lineRule="auto"/>
              <w:rPr>
                <w:rFonts w:ascii="Arial" w:hAnsi="Arial" w:cs="Arial"/>
                <w:color w:val="000000" w:themeColor="text1"/>
                <w:kern w:val="0"/>
                <w:sz w:val="20"/>
                <w:szCs w:val="20"/>
              </w:rPr>
            </w:pPr>
            <w:r w:rsidRPr="00CB75A4">
              <w:rPr>
                <w:rFonts w:ascii="Arial" w:hAnsi="Arial" w:cs="Arial"/>
                <w:color w:val="000000" w:themeColor="text1"/>
                <w:kern w:val="0"/>
                <w:sz w:val="20"/>
                <w:szCs w:val="20"/>
              </w:rPr>
              <w:t>CACCCTGTTGCTGTAGCCAAA</w:t>
            </w:r>
          </w:p>
        </w:tc>
      </w:tr>
      <w:tr w:rsidR="00CB75A4" w:rsidRPr="00CB75A4" w14:paraId="1EEE855C" w14:textId="77777777" w:rsidTr="00105F2A">
        <w:trPr>
          <w:trHeight w:val="600"/>
        </w:trPr>
        <w:tc>
          <w:tcPr>
            <w:tcW w:w="2913" w:type="dxa"/>
            <w:vMerge w:val="restart"/>
            <w:tcBorders>
              <w:top w:val="nil"/>
              <w:left w:val="nil"/>
              <w:bottom w:val="nil"/>
              <w:right w:val="nil"/>
            </w:tcBorders>
            <w:shd w:val="clear" w:color="000000" w:fill="FFFFFF"/>
            <w:vAlign w:val="center"/>
            <w:hideMark/>
          </w:tcPr>
          <w:p w14:paraId="571A3C2A" w14:textId="77777777" w:rsidR="00DD7B30" w:rsidRPr="00CB75A4" w:rsidRDefault="00DD7B30" w:rsidP="00DD7B30">
            <w:pPr>
              <w:widowControl/>
              <w:spacing w:after="0" w:line="240" w:lineRule="auto"/>
              <w:rPr>
                <w:rFonts w:ascii="Arial" w:hAnsi="Arial" w:cs="Arial"/>
                <w:color w:val="000000" w:themeColor="text1"/>
                <w:kern w:val="0"/>
                <w:sz w:val="21"/>
                <w:szCs w:val="21"/>
              </w:rPr>
            </w:pPr>
            <w:r w:rsidRPr="00CB75A4">
              <w:rPr>
                <w:rFonts w:ascii="Arial" w:hAnsi="Arial" w:cs="Arial"/>
                <w:color w:val="000000" w:themeColor="text1"/>
                <w:kern w:val="0"/>
                <w:sz w:val="21"/>
                <w:szCs w:val="21"/>
              </w:rPr>
              <w:t>Colony-stimulating factor 2 receptor subunit beta</w:t>
            </w:r>
          </w:p>
        </w:tc>
        <w:tc>
          <w:tcPr>
            <w:tcW w:w="1080" w:type="dxa"/>
            <w:vMerge w:val="restart"/>
            <w:tcBorders>
              <w:top w:val="nil"/>
              <w:left w:val="nil"/>
              <w:bottom w:val="nil"/>
              <w:right w:val="nil"/>
            </w:tcBorders>
            <w:shd w:val="clear" w:color="000000" w:fill="FFFFFF"/>
            <w:vAlign w:val="center"/>
            <w:hideMark/>
          </w:tcPr>
          <w:p w14:paraId="248303D5" w14:textId="77777777" w:rsidR="00DD7B30" w:rsidRPr="00CB75A4" w:rsidRDefault="00DD7B30" w:rsidP="00DD7B30">
            <w:pPr>
              <w:widowControl/>
              <w:spacing w:after="0" w:line="240" w:lineRule="auto"/>
              <w:rPr>
                <w:rFonts w:ascii="Arial" w:hAnsi="Arial" w:cs="Arial"/>
                <w:color w:val="000000" w:themeColor="text1"/>
                <w:kern w:val="0"/>
                <w:sz w:val="21"/>
                <w:szCs w:val="21"/>
              </w:rPr>
            </w:pPr>
            <w:r w:rsidRPr="00CB75A4">
              <w:rPr>
                <w:rFonts w:ascii="Arial" w:hAnsi="Arial" w:cs="Arial"/>
                <w:color w:val="000000" w:themeColor="text1"/>
                <w:kern w:val="0"/>
                <w:sz w:val="21"/>
                <w:szCs w:val="21"/>
              </w:rPr>
              <w:t>CSF2RB</w:t>
            </w:r>
          </w:p>
        </w:tc>
        <w:tc>
          <w:tcPr>
            <w:tcW w:w="1010" w:type="dxa"/>
            <w:vMerge w:val="restart"/>
            <w:tcBorders>
              <w:top w:val="nil"/>
              <w:left w:val="nil"/>
              <w:bottom w:val="nil"/>
              <w:right w:val="nil"/>
            </w:tcBorders>
            <w:shd w:val="clear" w:color="000000" w:fill="FFFFFF"/>
            <w:vAlign w:val="center"/>
            <w:hideMark/>
          </w:tcPr>
          <w:p w14:paraId="5136BD6C" w14:textId="77777777" w:rsidR="00DD7B30" w:rsidRPr="00CB75A4" w:rsidRDefault="00DD7B30" w:rsidP="00DD7B30">
            <w:pPr>
              <w:widowControl/>
              <w:spacing w:after="0" w:line="240" w:lineRule="auto"/>
              <w:rPr>
                <w:rFonts w:ascii="Arial" w:hAnsi="Arial" w:cs="Arial"/>
                <w:color w:val="000000" w:themeColor="text1"/>
                <w:kern w:val="0"/>
                <w:sz w:val="21"/>
                <w:szCs w:val="21"/>
              </w:rPr>
            </w:pPr>
            <w:r w:rsidRPr="00CB75A4">
              <w:rPr>
                <w:rFonts w:ascii="Arial" w:hAnsi="Arial" w:cs="Arial"/>
                <w:color w:val="000000" w:themeColor="text1"/>
                <w:kern w:val="0"/>
                <w:sz w:val="21"/>
                <w:szCs w:val="21"/>
              </w:rPr>
              <w:t>Human</w:t>
            </w:r>
          </w:p>
        </w:tc>
        <w:tc>
          <w:tcPr>
            <w:tcW w:w="1028" w:type="dxa"/>
            <w:tcBorders>
              <w:top w:val="nil"/>
              <w:left w:val="nil"/>
              <w:bottom w:val="nil"/>
              <w:right w:val="nil"/>
            </w:tcBorders>
            <w:shd w:val="clear" w:color="000000" w:fill="FFFFFF"/>
            <w:vAlign w:val="center"/>
            <w:hideMark/>
          </w:tcPr>
          <w:p w14:paraId="3C0DB72B" w14:textId="77777777" w:rsidR="00DD7B30" w:rsidRPr="00CB75A4" w:rsidRDefault="00DD7B30" w:rsidP="00DD7B30">
            <w:pPr>
              <w:widowControl/>
              <w:spacing w:after="0" w:line="240" w:lineRule="auto"/>
              <w:rPr>
                <w:rFonts w:ascii="Arial" w:hAnsi="Arial" w:cs="Arial"/>
                <w:color w:val="000000" w:themeColor="text1"/>
                <w:kern w:val="0"/>
                <w:sz w:val="21"/>
                <w:szCs w:val="21"/>
              </w:rPr>
            </w:pPr>
            <w:r w:rsidRPr="00CB75A4">
              <w:rPr>
                <w:rFonts w:ascii="Arial" w:hAnsi="Arial" w:cs="Arial"/>
                <w:color w:val="000000" w:themeColor="text1"/>
                <w:kern w:val="0"/>
                <w:sz w:val="21"/>
                <w:szCs w:val="21"/>
              </w:rPr>
              <w:t>Forward</w:t>
            </w:r>
          </w:p>
        </w:tc>
        <w:tc>
          <w:tcPr>
            <w:tcW w:w="3369" w:type="dxa"/>
            <w:tcBorders>
              <w:top w:val="nil"/>
              <w:left w:val="nil"/>
              <w:bottom w:val="nil"/>
              <w:right w:val="nil"/>
            </w:tcBorders>
            <w:shd w:val="clear" w:color="000000" w:fill="FFFFFF"/>
            <w:vAlign w:val="center"/>
            <w:hideMark/>
          </w:tcPr>
          <w:p w14:paraId="7538CBC7" w14:textId="77777777" w:rsidR="00DD7B30" w:rsidRPr="00CB75A4" w:rsidRDefault="00DD7B30" w:rsidP="00DD7B30">
            <w:pPr>
              <w:widowControl/>
              <w:spacing w:after="0" w:line="240" w:lineRule="auto"/>
              <w:rPr>
                <w:rFonts w:ascii="Arial" w:hAnsi="Arial" w:cs="Arial"/>
                <w:color w:val="000000" w:themeColor="text1"/>
                <w:kern w:val="0"/>
                <w:sz w:val="20"/>
                <w:szCs w:val="20"/>
              </w:rPr>
            </w:pPr>
            <w:r w:rsidRPr="00CB75A4">
              <w:rPr>
                <w:rFonts w:ascii="Arial" w:hAnsi="Arial" w:cs="Arial"/>
                <w:color w:val="000000" w:themeColor="text1"/>
                <w:kern w:val="0"/>
                <w:sz w:val="20"/>
                <w:szCs w:val="20"/>
              </w:rPr>
              <w:t>CTCCTTTGGCCTATTCTACAAGC</w:t>
            </w:r>
          </w:p>
        </w:tc>
      </w:tr>
      <w:tr w:rsidR="00CB75A4" w:rsidRPr="00CB75A4" w14:paraId="394F53AE" w14:textId="77777777" w:rsidTr="00105F2A">
        <w:trPr>
          <w:trHeight w:val="600"/>
        </w:trPr>
        <w:tc>
          <w:tcPr>
            <w:tcW w:w="2913" w:type="dxa"/>
            <w:vMerge/>
            <w:tcBorders>
              <w:top w:val="nil"/>
              <w:left w:val="nil"/>
              <w:bottom w:val="nil"/>
              <w:right w:val="nil"/>
            </w:tcBorders>
            <w:vAlign w:val="center"/>
            <w:hideMark/>
          </w:tcPr>
          <w:p w14:paraId="3F7EDBD6" w14:textId="77777777" w:rsidR="00DD7B30" w:rsidRPr="00CB75A4" w:rsidRDefault="00DD7B30" w:rsidP="00DD7B30">
            <w:pPr>
              <w:widowControl/>
              <w:spacing w:after="0" w:line="240" w:lineRule="auto"/>
              <w:rPr>
                <w:rFonts w:ascii="Arial" w:hAnsi="Arial" w:cs="Arial"/>
                <w:color w:val="000000" w:themeColor="text1"/>
                <w:kern w:val="0"/>
                <w:sz w:val="21"/>
                <w:szCs w:val="21"/>
              </w:rPr>
            </w:pPr>
          </w:p>
        </w:tc>
        <w:tc>
          <w:tcPr>
            <w:tcW w:w="1080" w:type="dxa"/>
            <w:vMerge/>
            <w:tcBorders>
              <w:top w:val="nil"/>
              <w:left w:val="nil"/>
              <w:bottom w:val="nil"/>
              <w:right w:val="nil"/>
            </w:tcBorders>
            <w:vAlign w:val="center"/>
            <w:hideMark/>
          </w:tcPr>
          <w:p w14:paraId="00C46A2D" w14:textId="77777777" w:rsidR="00DD7B30" w:rsidRPr="00CB75A4" w:rsidRDefault="00DD7B30" w:rsidP="00DD7B30">
            <w:pPr>
              <w:widowControl/>
              <w:spacing w:after="0" w:line="240" w:lineRule="auto"/>
              <w:rPr>
                <w:rFonts w:ascii="Arial" w:hAnsi="Arial" w:cs="Arial"/>
                <w:color w:val="000000" w:themeColor="text1"/>
                <w:kern w:val="0"/>
                <w:sz w:val="21"/>
                <w:szCs w:val="21"/>
              </w:rPr>
            </w:pPr>
          </w:p>
        </w:tc>
        <w:tc>
          <w:tcPr>
            <w:tcW w:w="1010" w:type="dxa"/>
            <w:vMerge/>
            <w:tcBorders>
              <w:top w:val="nil"/>
              <w:left w:val="nil"/>
              <w:bottom w:val="nil"/>
              <w:right w:val="nil"/>
            </w:tcBorders>
            <w:vAlign w:val="center"/>
            <w:hideMark/>
          </w:tcPr>
          <w:p w14:paraId="0A29F420" w14:textId="77777777" w:rsidR="00DD7B30" w:rsidRPr="00CB75A4" w:rsidRDefault="00DD7B30" w:rsidP="00DD7B30">
            <w:pPr>
              <w:widowControl/>
              <w:spacing w:after="0" w:line="240" w:lineRule="auto"/>
              <w:rPr>
                <w:rFonts w:ascii="Arial" w:hAnsi="Arial" w:cs="Arial"/>
                <w:color w:val="000000" w:themeColor="text1"/>
                <w:kern w:val="0"/>
                <w:sz w:val="21"/>
                <w:szCs w:val="21"/>
              </w:rPr>
            </w:pPr>
          </w:p>
        </w:tc>
        <w:tc>
          <w:tcPr>
            <w:tcW w:w="1028" w:type="dxa"/>
            <w:tcBorders>
              <w:top w:val="nil"/>
              <w:left w:val="nil"/>
              <w:bottom w:val="nil"/>
              <w:right w:val="nil"/>
            </w:tcBorders>
            <w:shd w:val="clear" w:color="000000" w:fill="FFFFFF"/>
            <w:vAlign w:val="center"/>
            <w:hideMark/>
          </w:tcPr>
          <w:p w14:paraId="068736D0" w14:textId="77777777" w:rsidR="00DD7B30" w:rsidRPr="00CB75A4" w:rsidRDefault="00DD7B30" w:rsidP="00DD7B30">
            <w:pPr>
              <w:widowControl/>
              <w:spacing w:after="0" w:line="240" w:lineRule="auto"/>
              <w:rPr>
                <w:rFonts w:ascii="Arial" w:hAnsi="Arial" w:cs="Arial"/>
                <w:color w:val="000000" w:themeColor="text1"/>
                <w:kern w:val="0"/>
                <w:sz w:val="21"/>
                <w:szCs w:val="21"/>
              </w:rPr>
            </w:pPr>
            <w:r w:rsidRPr="00CB75A4">
              <w:rPr>
                <w:rFonts w:ascii="Arial" w:hAnsi="Arial" w:cs="Arial"/>
                <w:color w:val="000000" w:themeColor="text1"/>
                <w:kern w:val="0"/>
                <w:sz w:val="21"/>
                <w:szCs w:val="21"/>
              </w:rPr>
              <w:t>Reverse</w:t>
            </w:r>
          </w:p>
        </w:tc>
        <w:tc>
          <w:tcPr>
            <w:tcW w:w="3369" w:type="dxa"/>
            <w:tcBorders>
              <w:top w:val="nil"/>
              <w:left w:val="nil"/>
              <w:bottom w:val="nil"/>
              <w:right w:val="nil"/>
            </w:tcBorders>
            <w:shd w:val="clear" w:color="000000" w:fill="FFFFFF"/>
            <w:vAlign w:val="center"/>
            <w:hideMark/>
          </w:tcPr>
          <w:p w14:paraId="0C4E779C" w14:textId="77777777" w:rsidR="00DD7B30" w:rsidRPr="00CB75A4" w:rsidRDefault="00DD7B30" w:rsidP="00DD7B30">
            <w:pPr>
              <w:widowControl/>
              <w:spacing w:after="0" w:line="240" w:lineRule="auto"/>
              <w:rPr>
                <w:rFonts w:ascii="Arial" w:hAnsi="Arial" w:cs="Arial"/>
                <w:color w:val="000000" w:themeColor="text1"/>
                <w:kern w:val="0"/>
                <w:sz w:val="20"/>
                <w:szCs w:val="20"/>
              </w:rPr>
            </w:pPr>
            <w:r w:rsidRPr="00CB75A4">
              <w:rPr>
                <w:rFonts w:ascii="Arial" w:hAnsi="Arial" w:cs="Arial"/>
                <w:color w:val="000000" w:themeColor="text1"/>
                <w:kern w:val="0"/>
                <w:sz w:val="20"/>
                <w:szCs w:val="20"/>
              </w:rPr>
              <w:t>TGAACAGAGACGATGTATTGGC</w:t>
            </w:r>
          </w:p>
        </w:tc>
      </w:tr>
      <w:tr w:rsidR="00CB75A4" w:rsidRPr="00CB75A4" w14:paraId="355677FD" w14:textId="77777777" w:rsidTr="00105F2A">
        <w:trPr>
          <w:trHeight w:val="600"/>
        </w:trPr>
        <w:tc>
          <w:tcPr>
            <w:tcW w:w="2913" w:type="dxa"/>
            <w:vMerge w:val="restart"/>
            <w:tcBorders>
              <w:top w:val="nil"/>
              <w:left w:val="nil"/>
              <w:bottom w:val="nil"/>
              <w:right w:val="nil"/>
            </w:tcBorders>
            <w:shd w:val="clear" w:color="000000" w:fill="FFFFFF"/>
            <w:vAlign w:val="center"/>
            <w:hideMark/>
          </w:tcPr>
          <w:p w14:paraId="334A1EA7" w14:textId="77777777" w:rsidR="00DD7B30" w:rsidRPr="00CB75A4" w:rsidRDefault="00DD7B30" w:rsidP="00DD7B30">
            <w:pPr>
              <w:widowControl/>
              <w:spacing w:after="0" w:line="240" w:lineRule="auto"/>
              <w:rPr>
                <w:rFonts w:ascii="Arial" w:hAnsi="Arial" w:cs="Arial"/>
                <w:color w:val="000000" w:themeColor="text1"/>
                <w:kern w:val="0"/>
                <w:sz w:val="21"/>
                <w:szCs w:val="21"/>
              </w:rPr>
            </w:pPr>
            <w:r w:rsidRPr="00CB75A4">
              <w:rPr>
                <w:rFonts w:ascii="Arial" w:hAnsi="Arial" w:cs="Arial"/>
                <w:color w:val="000000" w:themeColor="text1"/>
                <w:kern w:val="0"/>
                <w:sz w:val="21"/>
                <w:szCs w:val="21"/>
              </w:rPr>
              <w:t>NIBAN apoptosis regulator 1</w:t>
            </w:r>
          </w:p>
        </w:tc>
        <w:tc>
          <w:tcPr>
            <w:tcW w:w="1080" w:type="dxa"/>
            <w:vMerge w:val="restart"/>
            <w:tcBorders>
              <w:top w:val="nil"/>
              <w:left w:val="nil"/>
              <w:bottom w:val="nil"/>
              <w:right w:val="nil"/>
            </w:tcBorders>
            <w:shd w:val="clear" w:color="000000" w:fill="FFFFFF"/>
            <w:vAlign w:val="center"/>
            <w:hideMark/>
          </w:tcPr>
          <w:p w14:paraId="3D86C622" w14:textId="77777777" w:rsidR="00DD7B30" w:rsidRPr="00CB75A4" w:rsidRDefault="00DD7B30" w:rsidP="00DD7B30">
            <w:pPr>
              <w:widowControl/>
              <w:spacing w:after="0" w:line="240" w:lineRule="auto"/>
              <w:rPr>
                <w:rFonts w:ascii="Arial" w:hAnsi="Arial" w:cs="Arial"/>
                <w:color w:val="000000" w:themeColor="text1"/>
                <w:kern w:val="0"/>
                <w:sz w:val="21"/>
                <w:szCs w:val="21"/>
              </w:rPr>
            </w:pPr>
            <w:r w:rsidRPr="00CB75A4">
              <w:rPr>
                <w:rFonts w:ascii="Arial" w:hAnsi="Arial" w:cs="Arial"/>
                <w:color w:val="000000" w:themeColor="text1"/>
                <w:kern w:val="0"/>
                <w:sz w:val="21"/>
                <w:szCs w:val="21"/>
              </w:rPr>
              <w:t>NIBAN1</w:t>
            </w:r>
          </w:p>
        </w:tc>
        <w:tc>
          <w:tcPr>
            <w:tcW w:w="1010" w:type="dxa"/>
            <w:vMerge w:val="restart"/>
            <w:tcBorders>
              <w:top w:val="nil"/>
              <w:left w:val="nil"/>
              <w:bottom w:val="nil"/>
              <w:right w:val="nil"/>
            </w:tcBorders>
            <w:shd w:val="clear" w:color="000000" w:fill="FFFFFF"/>
            <w:vAlign w:val="center"/>
            <w:hideMark/>
          </w:tcPr>
          <w:p w14:paraId="766BDB8B" w14:textId="77777777" w:rsidR="00DD7B30" w:rsidRPr="00CB75A4" w:rsidRDefault="00DD7B30" w:rsidP="00DD7B30">
            <w:pPr>
              <w:widowControl/>
              <w:spacing w:after="0" w:line="240" w:lineRule="auto"/>
              <w:rPr>
                <w:rFonts w:ascii="Arial" w:hAnsi="Arial" w:cs="Arial"/>
                <w:color w:val="000000" w:themeColor="text1"/>
                <w:kern w:val="0"/>
                <w:sz w:val="21"/>
                <w:szCs w:val="21"/>
              </w:rPr>
            </w:pPr>
            <w:r w:rsidRPr="00CB75A4">
              <w:rPr>
                <w:rFonts w:ascii="Arial" w:hAnsi="Arial" w:cs="Arial"/>
                <w:color w:val="000000" w:themeColor="text1"/>
                <w:kern w:val="0"/>
                <w:sz w:val="21"/>
                <w:szCs w:val="21"/>
              </w:rPr>
              <w:t>Human</w:t>
            </w:r>
          </w:p>
        </w:tc>
        <w:tc>
          <w:tcPr>
            <w:tcW w:w="1028" w:type="dxa"/>
            <w:tcBorders>
              <w:top w:val="nil"/>
              <w:left w:val="nil"/>
              <w:bottom w:val="nil"/>
              <w:right w:val="nil"/>
            </w:tcBorders>
            <w:shd w:val="clear" w:color="000000" w:fill="FFFFFF"/>
            <w:vAlign w:val="center"/>
            <w:hideMark/>
          </w:tcPr>
          <w:p w14:paraId="22D2517E" w14:textId="77777777" w:rsidR="00DD7B30" w:rsidRPr="00CB75A4" w:rsidRDefault="00DD7B30" w:rsidP="00DD7B30">
            <w:pPr>
              <w:widowControl/>
              <w:spacing w:after="0" w:line="240" w:lineRule="auto"/>
              <w:rPr>
                <w:rFonts w:ascii="Arial" w:hAnsi="Arial" w:cs="Arial"/>
                <w:color w:val="000000" w:themeColor="text1"/>
                <w:kern w:val="0"/>
                <w:sz w:val="21"/>
                <w:szCs w:val="21"/>
              </w:rPr>
            </w:pPr>
            <w:r w:rsidRPr="00CB75A4">
              <w:rPr>
                <w:rFonts w:ascii="Arial" w:hAnsi="Arial" w:cs="Arial"/>
                <w:color w:val="000000" w:themeColor="text1"/>
                <w:kern w:val="0"/>
                <w:sz w:val="21"/>
                <w:szCs w:val="21"/>
              </w:rPr>
              <w:t>Forward</w:t>
            </w:r>
          </w:p>
        </w:tc>
        <w:tc>
          <w:tcPr>
            <w:tcW w:w="3369" w:type="dxa"/>
            <w:tcBorders>
              <w:top w:val="nil"/>
              <w:left w:val="nil"/>
              <w:bottom w:val="nil"/>
              <w:right w:val="nil"/>
            </w:tcBorders>
            <w:shd w:val="clear" w:color="000000" w:fill="FFFFFF"/>
            <w:vAlign w:val="center"/>
            <w:hideMark/>
          </w:tcPr>
          <w:p w14:paraId="798D1B1F" w14:textId="77777777" w:rsidR="00DD7B30" w:rsidRPr="00CB75A4" w:rsidRDefault="00DD7B30" w:rsidP="00DD7B30">
            <w:pPr>
              <w:widowControl/>
              <w:spacing w:after="0" w:line="240" w:lineRule="auto"/>
              <w:rPr>
                <w:rFonts w:ascii="Arial" w:hAnsi="Arial" w:cs="Arial"/>
                <w:color w:val="000000" w:themeColor="text1"/>
                <w:kern w:val="0"/>
                <w:sz w:val="20"/>
                <w:szCs w:val="20"/>
              </w:rPr>
            </w:pPr>
            <w:r w:rsidRPr="00CB75A4">
              <w:rPr>
                <w:rFonts w:ascii="Arial" w:hAnsi="Arial" w:cs="Arial"/>
                <w:color w:val="000000" w:themeColor="text1"/>
                <w:kern w:val="0"/>
                <w:sz w:val="20"/>
                <w:szCs w:val="20"/>
              </w:rPr>
              <w:t>CCACCAAAGACAGTGTCCAGCT</w:t>
            </w:r>
          </w:p>
        </w:tc>
      </w:tr>
      <w:tr w:rsidR="00CB75A4" w:rsidRPr="00CB75A4" w14:paraId="210E9106" w14:textId="77777777" w:rsidTr="00105F2A">
        <w:trPr>
          <w:trHeight w:val="600"/>
        </w:trPr>
        <w:tc>
          <w:tcPr>
            <w:tcW w:w="2913" w:type="dxa"/>
            <w:vMerge/>
            <w:tcBorders>
              <w:top w:val="nil"/>
              <w:left w:val="nil"/>
              <w:bottom w:val="nil"/>
              <w:right w:val="nil"/>
            </w:tcBorders>
            <w:vAlign w:val="center"/>
            <w:hideMark/>
          </w:tcPr>
          <w:p w14:paraId="5145E4F9" w14:textId="77777777" w:rsidR="00DD7B30" w:rsidRPr="00CB75A4" w:rsidRDefault="00DD7B30" w:rsidP="00DD7B30">
            <w:pPr>
              <w:widowControl/>
              <w:spacing w:after="0" w:line="240" w:lineRule="auto"/>
              <w:rPr>
                <w:rFonts w:ascii="Arial" w:hAnsi="Arial" w:cs="Arial"/>
                <w:color w:val="000000" w:themeColor="text1"/>
                <w:kern w:val="0"/>
                <w:sz w:val="21"/>
                <w:szCs w:val="21"/>
              </w:rPr>
            </w:pPr>
          </w:p>
        </w:tc>
        <w:tc>
          <w:tcPr>
            <w:tcW w:w="1080" w:type="dxa"/>
            <w:vMerge/>
            <w:tcBorders>
              <w:top w:val="nil"/>
              <w:left w:val="nil"/>
              <w:bottom w:val="nil"/>
              <w:right w:val="nil"/>
            </w:tcBorders>
            <w:vAlign w:val="center"/>
            <w:hideMark/>
          </w:tcPr>
          <w:p w14:paraId="016E09EA" w14:textId="77777777" w:rsidR="00DD7B30" w:rsidRPr="00CB75A4" w:rsidRDefault="00DD7B30" w:rsidP="00DD7B30">
            <w:pPr>
              <w:widowControl/>
              <w:spacing w:after="0" w:line="240" w:lineRule="auto"/>
              <w:rPr>
                <w:rFonts w:ascii="Arial" w:hAnsi="Arial" w:cs="Arial"/>
                <w:color w:val="000000" w:themeColor="text1"/>
                <w:kern w:val="0"/>
                <w:sz w:val="21"/>
                <w:szCs w:val="21"/>
              </w:rPr>
            </w:pPr>
          </w:p>
        </w:tc>
        <w:tc>
          <w:tcPr>
            <w:tcW w:w="1010" w:type="dxa"/>
            <w:vMerge/>
            <w:tcBorders>
              <w:top w:val="nil"/>
              <w:left w:val="nil"/>
              <w:bottom w:val="nil"/>
              <w:right w:val="nil"/>
            </w:tcBorders>
            <w:vAlign w:val="center"/>
            <w:hideMark/>
          </w:tcPr>
          <w:p w14:paraId="757F073C" w14:textId="77777777" w:rsidR="00DD7B30" w:rsidRPr="00CB75A4" w:rsidRDefault="00DD7B30" w:rsidP="00DD7B30">
            <w:pPr>
              <w:widowControl/>
              <w:spacing w:after="0" w:line="240" w:lineRule="auto"/>
              <w:rPr>
                <w:rFonts w:ascii="Arial" w:hAnsi="Arial" w:cs="Arial"/>
                <w:color w:val="000000" w:themeColor="text1"/>
                <w:kern w:val="0"/>
                <w:sz w:val="21"/>
                <w:szCs w:val="21"/>
              </w:rPr>
            </w:pPr>
          </w:p>
        </w:tc>
        <w:tc>
          <w:tcPr>
            <w:tcW w:w="1028" w:type="dxa"/>
            <w:tcBorders>
              <w:top w:val="nil"/>
              <w:left w:val="nil"/>
              <w:bottom w:val="nil"/>
              <w:right w:val="nil"/>
            </w:tcBorders>
            <w:shd w:val="clear" w:color="000000" w:fill="FFFFFF"/>
            <w:vAlign w:val="center"/>
            <w:hideMark/>
          </w:tcPr>
          <w:p w14:paraId="25456F9A" w14:textId="77777777" w:rsidR="00DD7B30" w:rsidRPr="00CB75A4" w:rsidRDefault="00DD7B30" w:rsidP="00DD7B30">
            <w:pPr>
              <w:widowControl/>
              <w:spacing w:after="0" w:line="240" w:lineRule="auto"/>
              <w:rPr>
                <w:rFonts w:ascii="Arial" w:hAnsi="Arial" w:cs="Arial"/>
                <w:color w:val="000000" w:themeColor="text1"/>
                <w:kern w:val="0"/>
                <w:sz w:val="21"/>
                <w:szCs w:val="21"/>
              </w:rPr>
            </w:pPr>
            <w:r w:rsidRPr="00CB75A4">
              <w:rPr>
                <w:rFonts w:ascii="Arial" w:hAnsi="Arial" w:cs="Arial"/>
                <w:color w:val="000000" w:themeColor="text1"/>
                <w:kern w:val="0"/>
                <w:sz w:val="21"/>
                <w:szCs w:val="21"/>
              </w:rPr>
              <w:t>Reverse</w:t>
            </w:r>
          </w:p>
        </w:tc>
        <w:tc>
          <w:tcPr>
            <w:tcW w:w="3369" w:type="dxa"/>
            <w:tcBorders>
              <w:top w:val="nil"/>
              <w:left w:val="nil"/>
              <w:bottom w:val="nil"/>
              <w:right w:val="nil"/>
            </w:tcBorders>
            <w:shd w:val="clear" w:color="000000" w:fill="FFFFFF"/>
            <w:vAlign w:val="center"/>
            <w:hideMark/>
          </w:tcPr>
          <w:p w14:paraId="73D72E0D" w14:textId="77777777" w:rsidR="00DD7B30" w:rsidRPr="00CB75A4" w:rsidRDefault="00DD7B30" w:rsidP="00DD7B30">
            <w:pPr>
              <w:widowControl/>
              <w:spacing w:after="0" w:line="240" w:lineRule="auto"/>
              <w:rPr>
                <w:rFonts w:ascii="Arial" w:hAnsi="Arial" w:cs="Arial"/>
                <w:color w:val="000000" w:themeColor="text1"/>
                <w:kern w:val="0"/>
                <w:sz w:val="20"/>
                <w:szCs w:val="20"/>
              </w:rPr>
            </w:pPr>
            <w:r w:rsidRPr="00CB75A4">
              <w:rPr>
                <w:rFonts w:ascii="Arial" w:hAnsi="Arial" w:cs="Arial"/>
                <w:color w:val="000000" w:themeColor="text1"/>
                <w:kern w:val="0"/>
                <w:sz w:val="20"/>
                <w:szCs w:val="20"/>
              </w:rPr>
              <w:t>AAGCGGCTCTTGAGATCCTGCA</w:t>
            </w:r>
          </w:p>
        </w:tc>
      </w:tr>
      <w:tr w:rsidR="00CB75A4" w:rsidRPr="00CB75A4" w14:paraId="0FC7A61F" w14:textId="77777777" w:rsidTr="00105F2A">
        <w:trPr>
          <w:trHeight w:val="600"/>
        </w:trPr>
        <w:tc>
          <w:tcPr>
            <w:tcW w:w="2913" w:type="dxa"/>
            <w:vMerge w:val="restart"/>
            <w:tcBorders>
              <w:top w:val="nil"/>
              <w:left w:val="nil"/>
              <w:bottom w:val="single" w:sz="8" w:space="0" w:color="000000"/>
              <w:right w:val="nil"/>
            </w:tcBorders>
            <w:shd w:val="clear" w:color="000000" w:fill="FFFFFF"/>
            <w:vAlign w:val="center"/>
            <w:hideMark/>
          </w:tcPr>
          <w:p w14:paraId="46DE6706" w14:textId="77777777" w:rsidR="00DD7B30" w:rsidRPr="00CB75A4" w:rsidRDefault="00DD7B30" w:rsidP="00DD7B30">
            <w:pPr>
              <w:widowControl/>
              <w:spacing w:after="0" w:line="240" w:lineRule="auto"/>
              <w:rPr>
                <w:rFonts w:ascii="Arial" w:hAnsi="Arial" w:cs="Arial"/>
                <w:color w:val="000000" w:themeColor="text1"/>
                <w:kern w:val="0"/>
                <w:sz w:val="21"/>
                <w:szCs w:val="21"/>
              </w:rPr>
            </w:pPr>
            <w:r w:rsidRPr="00CB75A4">
              <w:rPr>
                <w:rFonts w:ascii="Arial" w:hAnsi="Arial" w:cs="Arial"/>
                <w:color w:val="000000" w:themeColor="text1"/>
                <w:kern w:val="0"/>
                <w:sz w:val="21"/>
                <w:szCs w:val="21"/>
              </w:rPr>
              <w:t>Toll-like receptor 1</w:t>
            </w:r>
          </w:p>
        </w:tc>
        <w:tc>
          <w:tcPr>
            <w:tcW w:w="1080" w:type="dxa"/>
            <w:vMerge w:val="restart"/>
            <w:tcBorders>
              <w:top w:val="nil"/>
              <w:left w:val="nil"/>
              <w:bottom w:val="single" w:sz="8" w:space="0" w:color="000000"/>
              <w:right w:val="nil"/>
            </w:tcBorders>
            <w:shd w:val="clear" w:color="000000" w:fill="FFFFFF"/>
            <w:vAlign w:val="center"/>
            <w:hideMark/>
          </w:tcPr>
          <w:p w14:paraId="5D2334D5" w14:textId="77777777" w:rsidR="00DD7B30" w:rsidRPr="00CB75A4" w:rsidRDefault="00DD7B30" w:rsidP="00DD7B30">
            <w:pPr>
              <w:widowControl/>
              <w:spacing w:after="0" w:line="240" w:lineRule="auto"/>
              <w:rPr>
                <w:rFonts w:ascii="Arial" w:hAnsi="Arial" w:cs="Arial"/>
                <w:color w:val="000000" w:themeColor="text1"/>
                <w:kern w:val="0"/>
                <w:sz w:val="21"/>
                <w:szCs w:val="21"/>
              </w:rPr>
            </w:pPr>
            <w:r w:rsidRPr="00CB75A4">
              <w:rPr>
                <w:rFonts w:ascii="Arial" w:hAnsi="Arial" w:cs="Arial"/>
                <w:color w:val="000000" w:themeColor="text1"/>
                <w:kern w:val="0"/>
                <w:sz w:val="21"/>
                <w:szCs w:val="21"/>
              </w:rPr>
              <w:t>TLR1</w:t>
            </w:r>
          </w:p>
        </w:tc>
        <w:tc>
          <w:tcPr>
            <w:tcW w:w="1010" w:type="dxa"/>
            <w:vMerge w:val="restart"/>
            <w:tcBorders>
              <w:top w:val="nil"/>
              <w:left w:val="nil"/>
              <w:bottom w:val="single" w:sz="8" w:space="0" w:color="000000"/>
              <w:right w:val="nil"/>
            </w:tcBorders>
            <w:shd w:val="clear" w:color="000000" w:fill="FFFFFF"/>
            <w:vAlign w:val="center"/>
            <w:hideMark/>
          </w:tcPr>
          <w:p w14:paraId="2AAEBF8C" w14:textId="77777777" w:rsidR="00DD7B30" w:rsidRPr="00CB75A4" w:rsidRDefault="00DD7B30" w:rsidP="00DD7B30">
            <w:pPr>
              <w:widowControl/>
              <w:spacing w:after="0" w:line="240" w:lineRule="auto"/>
              <w:rPr>
                <w:rFonts w:ascii="Arial" w:hAnsi="Arial" w:cs="Arial"/>
                <w:color w:val="000000" w:themeColor="text1"/>
                <w:kern w:val="0"/>
                <w:sz w:val="21"/>
                <w:szCs w:val="21"/>
              </w:rPr>
            </w:pPr>
            <w:r w:rsidRPr="00CB75A4">
              <w:rPr>
                <w:rFonts w:ascii="Arial" w:hAnsi="Arial" w:cs="Arial"/>
                <w:color w:val="000000" w:themeColor="text1"/>
                <w:kern w:val="0"/>
                <w:sz w:val="21"/>
                <w:szCs w:val="21"/>
              </w:rPr>
              <w:t>Human</w:t>
            </w:r>
          </w:p>
        </w:tc>
        <w:tc>
          <w:tcPr>
            <w:tcW w:w="1028" w:type="dxa"/>
            <w:tcBorders>
              <w:top w:val="nil"/>
              <w:left w:val="nil"/>
              <w:bottom w:val="nil"/>
              <w:right w:val="nil"/>
            </w:tcBorders>
            <w:shd w:val="clear" w:color="000000" w:fill="FFFFFF"/>
            <w:vAlign w:val="center"/>
            <w:hideMark/>
          </w:tcPr>
          <w:p w14:paraId="0CF7347B" w14:textId="77777777" w:rsidR="00DD7B30" w:rsidRPr="00CB75A4" w:rsidRDefault="00DD7B30" w:rsidP="00DD7B30">
            <w:pPr>
              <w:widowControl/>
              <w:spacing w:after="0" w:line="240" w:lineRule="auto"/>
              <w:rPr>
                <w:rFonts w:ascii="Arial" w:hAnsi="Arial" w:cs="Arial"/>
                <w:color w:val="000000" w:themeColor="text1"/>
                <w:kern w:val="0"/>
                <w:sz w:val="21"/>
                <w:szCs w:val="21"/>
              </w:rPr>
            </w:pPr>
            <w:r w:rsidRPr="00CB75A4">
              <w:rPr>
                <w:rFonts w:ascii="Arial" w:hAnsi="Arial" w:cs="Arial"/>
                <w:color w:val="000000" w:themeColor="text1"/>
                <w:kern w:val="0"/>
                <w:sz w:val="21"/>
                <w:szCs w:val="21"/>
              </w:rPr>
              <w:t>Forward</w:t>
            </w:r>
          </w:p>
        </w:tc>
        <w:tc>
          <w:tcPr>
            <w:tcW w:w="3369" w:type="dxa"/>
            <w:tcBorders>
              <w:top w:val="nil"/>
              <w:left w:val="nil"/>
              <w:bottom w:val="nil"/>
              <w:right w:val="nil"/>
            </w:tcBorders>
            <w:shd w:val="clear" w:color="000000" w:fill="FFFFFF"/>
            <w:vAlign w:val="center"/>
            <w:hideMark/>
          </w:tcPr>
          <w:p w14:paraId="02A50544" w14:textId="77777777" w:rsidR="00DD7B30" w:rsidRPr="00CB75A4" w:rsidRDefault="00DD7B30" w:rsidP="00DD7B30">
            <w:pPr>
              <w:widowControl/>
              <w:spacing w:after="0" w:line="240" w:lineRule="auto"/>
              <w:rPr>
                <w:rFonts w:ascii="Arial" w:hAnsi="Arial" w:cs="Arial"/>
                <w:color w:val="000000" w:themeColor="text1"/>
                <w:kern w:val="0"/>
                <w:sz w:val="20"/>
                <w:szCs w:val="20"/>
              </w:rPr>
            </w:pPr>
            <w:r w:rsidRPr="00CB75A4">
              <w:rPr>
                <w:rFonts w:ascii="Arial" w:hAnsi="Arial" w:cs="Arial"/>
                <w:color w:val="000000" w:themeColor="text1"/>
                <w:kern w:val="0"/>
                <w:sz w:val="20"/>
                <w:szCs w:val="20"/>
              </w:rPr>
              <w:t>CAGCGATGTGTTCGGTTTTCCG</w:t>
            </w:r>
          </w:p>
        </w:tc>
      </w:tr>
      <w:tr w:rsidR="00CB75A4" w:rsidRPr="00CB75A4" w14:paraId="1552D141" w14:textId="77777777" w:rsidTr="00105F2A">
        <w:trPr>
          <w:trHeight w:val="600"/>
        </w:trPr>
        <w:tc>
          <w:tcPr>
            <w:tcW w:w="2913" w:type="dxa"/>
            <w:vMerge/>
            <w:tcBorders>
              <w:top w:val="nil"/>
              <w:left w:val="nil"/>
              <w:bottom w:val="single" w:sz="8" w:space="0" w:color="000000"/>
              <w:right w:val="nil"/>
            </w:tcBorders>
            <w:vAlign w:val="center"/>
            <w:hideMark/>
          </w:tcPr>
          <w:p w14:paraId="793CB160" w14:textId="77777777" w:rsidR="00DD7B30" w:rsidRPr="00CB75A4" w:rsidRDefault="00DD7B30" w:rsidP="00DD7B30">
            <w:pPr>
              <w:widowControl/>
              <w:spacing w:after="0" w:line="240" w:lineRule="auto"/>
              <w:rPr>
                <w:rFonts w:ascii="Arial" w:hAnsi="Arial" w:cs="Arial"/>
                <w:color w:val="000000" w:themeColor="text1"/>
                <w:kern w:val="0"/>
                <w:sz w:val="21"/>
                <w:szCs w:val="21"/>
              </w:rPr>
            </w:pPr>
          </w:p>
        </w:tc>
        <w:tc>
          <w:tcPr>
            <w:tcW w:w="1080" w:type="dxa"/>
            <w:vMerge/>
            <w:tcBorders>
              <w:top w:val="nil"/>
              <w:left w:val="nil"/>
              <w:bottom w:val="single" w:sz="8" w:space="0" w:color="000000"/>
              <w:right w:val="nil"/>
            </w:tcBorders>
            <w:vAlign w:val="center"/>
            <w:hideMark/>
          </w:tcPr>
          <w:p w14:paraId="286DB6F9" w14:textId="77777777" w:rsidR="00DD7B30" w:rsidRPr="00CB75A4" w:rsidRDefault="00DD7B30" w:rsidP="00DD7B30">
            <w:pPr>
              <w:widowControl/>
              <w:spacing w:after="0" w:line="240" w:lineRule="auto"/>
              <w:rPr>
                <w:rFonts w:ascii="Arial" w:hAnsi="Arial" w:cs="Arial"/>
                <w:i/>
                <w:iCs/>
                <w:color w:val="000000" w:themeColor="text1"/>
                <w:kern w:val="0"/>
                <w:sz w:val="21"/>
                <w:szCs w:val="21"/>
              </w:rPr>
            </w:pPr>
          </w:p>
        </w:tc>
        <w:tc>
          <w:tcPr>
            <w:tcW w:w="1010" w:type="dxa"/>
            <w:vMerge/>
            <w:tcBorders>
              <w:top w:val="nil"/>
              <w:left w:val="nil"/>
              <w:bottom w:val="single" w:sz="8" w:space="0" w:color="000000"/>
              <w:right w:val="nil"/>
            </w:tcBorders>
            <w:vAlign w:val="center"/>
            <w:hideMark/>
          </w:tcPr>
          <w:p w14:paraId="1411351E" w14:textId="77777777" w:rsidR="00DD7B30" w:rsidRPr="00CB75A4" w:rsidRDefault="00DD7B30" w:rsidP="00DD7B30">
            <w:pPr>
              <w:widowControl/>
              <w:spacing w:after="0" w:line="240" w:lineRule="auto"/>
              <w:rPr>
                <w:rFonts w:ascii="Arial" w:hAnsi="Arial" w:cs="Arial"/>
                <w:color w:val="000000" w:themeColor="text1"/>
                <w:kern w:val="0"/>
                <w:sz w:val="21"/>
                <w:szCs w:val="21"/>
              </w:rPr>
            </w:pPr>
          </w:p>
        </w:tc>
        <w:tc>
          <w:tcPr>
            <w:tcW w:w="1028" w:type="dxa"/>
            <w:tcBorders>
              <w:top w:val="nil"/>
              <w:left w:val="nil"/>
              <w:bottom w:val="single" w:sz="8" w:space="0" w:color="000000"/>
              <w:right w:val="nil"/>
            </w:tcBorders>
            <w:shd w:val="clear" w:color="000000" w:fill="FFFFFF"/>
            <w:vAlign w:val="center"/>
            <w:hideMark/>
          </w:tcPr>
          <w:p w14:paraId="732F7E63" w14:textId="77777777" w:rsidR="00DD7B30" w:rsidRPr="00CB75A4" w:rsidRDefault="00DD7B30" w:rsidP="00DD7B30">
            <w:pPr>
              <w:widowControl/>
              <w:spacing w:after="0" w:line="240" w:lineRule="auto"/>
              <w:rPr>
                <w:rFonts w:ascii="Arial" w:hAnsi="Arial" w:cs="Arial"/>
                <w:color w:val="000000" w:themeColor="text1"/>
                <w:kern w:val="0"/>
                <w:sz w:val="21"/>
                <w:szCs w:val="21"/>
              </w:rPr>
            </w:pPr>
            <w:r w:rsidRPr="00CB75A4">
              <w:rPr>
                <w:rFonts w:ascii="Arial" w:hAnsi="Arial" w:cs="Arial"/>
                <w:color w:val="000000" w:themeColor="text1"/>
                <w:kern w:val="0"/>
                <w:sz w:val="21"/>
                <w:szCs w:val="21"/>
              </w:rPr>
              <w:t>Reverse</w:t>
            </w:r>
          </w:p>
        </w:tc>
        <w:tc>
          <w:tcPr>
            <w:tcW w:w="3369" w:type="dxa"/>
            <w:tcBorders>
              <w:top w:val="nil"/>
              <w:left w:val="nil"/>
              <w:bottom w:val="single" w:sz="8" w:space="0" w:color="000000"/>
              <w:right w:val="nil"/>
            </w:tcBorders>
            <w:shd w:val="clear" w:color="000000" w:fill="FFFFFF"/>
            <w:vAlign w:val="center"/>
            <w:hideMark/>
          </w:tcPr>
          <w:p w14:paraId="0010888A" w14:textId="77777777" w:rsidR="00DD7B30" w:rsidRPr="00CB75A4" w:rsidRDefault="00DD7B30" w:rsidP="00DD7B30">
            <w:pPr>
              <w:widowControl/>
              <w:spacing w:after="0" w:line="240" w:lineRule="auto"/>
              <w:rPr>
                <w:rFonts w:ascii="Arial" w:hAnsi="Arial" w:cs="Arial"/>
                <w:color w:val="000000" w:themeColor="text1"/>
                <w:kern w:val="0"/>
                <w:sz w:val="20"/>
                <w:szCs w:val="20"/>
              </w:rPr>
            </w:pPr>
            <w:r w:rsidRPr="00CB75A4">
              <w:rPr>
                <w:rFonts w:ascii="Arial" w:hAnsi="Arial" w:cs="Arial"/>
                <w:color w:val="000000" w:themeColor="text1"/>
                <w:kern w:val="0"/>
                <w:sz w:val="20"/>
                <w:szCs w:val="20"/>
              </w:rPr>
              <w:t>GATGGGCAAAGCATGTGGACCA</w:t>
            </w:r>
          </w:p>
        </w:tc>
      </w:tr>
    </w:tbl>
    <w:p w14:paraId="22B318BC" w14:textId="77777777" w:rsidR="00105F2A" w:rsidRPr="00CB75A4" w:rsidRDefault="00105F2A" w:rsidP="00105F2A">
      <w:pPr>
        <w:spacing w:line="480" w:lineRule="auto"/>
        <w:rPr>
          <w:rFonts w:ascii="Arial" w:hAnsi="Arial" w:cs="Arial"/>
          <w:color w:val="000000" w:themeColor="text1"/>
        </w:rPr>
      </w:pPr>
      <w:r w:rsidRPr="00CB75A4">
        <w:rPr>
          <w:rFonts w:ascii="Arial" w:hAnsi="Arial" w:cs="Arial"/>
          <w:color w:val="000000" w:themeColor="text1"/>
        </w:rPr>
        <w:t>Abbreviations: RT-qPCR, reverse transcription quantitative polymerase chain reaction; GAPDH, glyceraldehyde-3-phosphate dehydrogenase; CSF2RB, colony-stimulating factor 2 receptor subunit beta; NIBAN1, NIBAN apoptosis regulator 1; TLR1, toll-like receptor 1.</w:t>
      </w:r>
    </w:p>
    <w:p w14:paraId="25326A28" w14:textId="23214087" w:rsidR="00105F2A" w:rsidRPr="00CB75A4" w:rsidRDefault="00105F2A">
      <w:pPr>
        <w:rPr>
          <w:rFonts w:hint="eastAsia"/>
          <w:color w:val="000000" w:themeColor="text1"/>
        </w:rPr>
      </w:pPr>
    </w:p>
    <w:p w14:paraId="0CFC4648" w14:textId="77777777" w:rsidR="00105F2A" w:rsidRPr="00CB75A4" w:rsidRDefault="00105F2A" w:rsidP="00105F2A">
      <w:pPr>
        <w:spacing w:line="480" w:lineRule="auto"/>
        <w:rPr>
          <w:rFonts w:ascii="Arial" w:hAnsi="Arial" w:cs="Arial"/>
          <w:color w:val="000000" w:themeColor="text1"/>
        </w:rPr>
      </w:pPr>
      <w:r w:rsidRPr="00CB75A4">
        <w:rPr>
          <w:rFonts w:hint="eastAsia"/>
          <w:color w:val="000000" w:themeColor="text1"/>
        </w:rPr>
        <w:br w:type="page"/>
      </w:r>
      <w:r w:rsidRPr="00CB75A4">
        <w:rPr>
          <w:rFonts w:ascii="Arial" w:hAnsi="Arial" w:cs="Arial"/>
          <w:color w:val="000000" w:themeColor="text1"/>
        </w:rPr>
        <w:lastRenderedPageBreak/>
        <w:t xml:space="preserve">Supplementary Table </w:t>
      </w:r>
      <w:r w:rsidRPr="00CB75A4">
        <w:rPr>
          <w:rFonts w:ascii="Arial" w:hAnsi="Arial" w:cs="Arial" w:hint="eastAsia"/>
          <w:color w:val="000000" w:themeColor="text1"/>
        </w:rPr>
        <w:t>2</w:t>
      </w:r>
      <w:r w:rsidRPr="00CB75A4">
        <w:rPr>
          <w:rFonts w:ascii="Arial" w:hAnsi="Arial" w:cs="Arial"/>
          <w:color w:val="000000" w:themeColor="text1"/>
        </w:rPr>
        <w:t xml:space="preserve">. </w:t>
      </w:r>
      <w:r w:rsidRPr="00CB75A4">
        <w:rPr>
          <w:rFonts w:ascii="Arial" w:hAnsi="Arial" w:cs="Arial" w:hint="eastAsia"/>
          <w:color w:val="000000" w:themeColor="text1"/>
        </w:rPr>
        <w:t xml:space="preserve">Statistical comparison of </w:t>
      </w:r>
      <w:proofErr w:type="spellStart"/>
      <w:r w:rsidRPr="00CB75A4">
        <w:rPr>
          <w:rFonts w:ascii="Arial" w:hAnsi="Arial" w:cs="Arial" w:hint="eastAsia"/>
          <w:color w:val="000000" w:themeColor="text1"/>
        </w:rPr>
        <w:t>CIBERSORTx</w:t>
      </w:r>
      <w:proofErr w:type="spellEnd"/>
      <w:r w:rsidRPr="00CB75A4">
        <w:rPr>
          <w:rFonts w:ascii="Arial" w:hAnsi="Arial" w:cs="Arial" w:hint="eastAsia"/>
          <w:color w:val="000000" w:themeColor="text1"/>
        </w:rPr>
        <w:t>-derived immune cell signatures among groups.</w:t>
      </w:r>
    </w:p>
    <w:tbl>
      <w:tblPr>
        <w:tblW w:w="9640" w:type="dxa"/>
        <w:tblLook w:val="04A0" w:firstRow="1" w:lastRow="0" w:firstColumn="1" w:lastColumn="0" w:noHBand="0" w:noVBand="1"/>
      </w:tblPr>
      <w:tblGrid>
        <w:gridCol w:w="1544"/>
        <w:gridCol w:w="2778"/>
        <w:gridCol w:w="2778"/>
        <w:gridCol w:w="1264"/>
        <w:gridCol w:w="1276"/>
      </w:tblGrid>
      <w:tr w:rsidR="00CB75A4" w:rsidRPr="00CB75A4" w14:paraId="58BD1D5F" w14:textId="77777777" w:rsidTr="007E1E4E">
        <w:trPr>
          <w:trHeight w:val="1200"/>
        </w:trPr>
        <w:tc>
          <w:tcPr>
            <w:tcW w:w="1544" w:type="dxa"/>
            <w:tcBorders>
              <w:top w:val="single" w:sz="8" w:space="0" w:color="auto"/>
              <w:left w:val="nil"/>
              <w:bottom w:val="single" w:sz="8" w:space="0" w:color="auto"/>
              <w:right w:val="nil"/>
            </w:tcBorders>
            <w:shd w:val="clear" w:color="000000" w:fill="FFFFFF"/>
            <w:vAlign w:val="center"/>
            <w:hideMark/>
          </w:tcPr>
          <w:p w14:paraId="4520F287"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r w:rsidRPr="00CB75A4">
              <w:rPr>
                <w:rFonts w:ascii="Arial" w:hAnsi="Arial" w:cs="Arial"/>
                <w:b/>
                <w:bCs/>
                <w:color w:val="000000" w:themeColor="text1"/>
                <w:kern w:val="0"/>
                <w:sz w:val="18"/>
                <w:szCs w:val="18"/>
              </w:rPr>
              <w:t xml:space="preserve">Immune Cell </w:t>
            </w:r>
            <w:r w:rsidRPr="00CB75A4">
              <w:rPr>
                <w:rFonts w:ascii="Arial" w:hAnsi="Arial" w:cs="Arial" w:hint="eastAsia"/>
                <w:b/>
                <w:bCs/>
                <w:color w:val="000000" w:themeColor="text1"/>
                <w:kern w:val="0"/>
                <w:sz w:val="18"/>
                <w:szCs w:val="18"/>
              </w:rPr>
              <w:t>signature</w:t>
            </w:r>
          </w:p>
        </w:tc>
        <w:tc>
          <w:tcPr>
            <w:tcW w:w="2778" w:type="dxa"/>
            <w:tcBorders>
              <w:top w:val="single" w:sz="8" w:space="0" w:color="auto"/>
              <w:left w:val="nil"/>
              <w:bottom w:val="single" w:sz="8" w:space="0" w:color="auto"/>
              <w:right w:val="nil"/>
            </w:tcBorders>
            <w:shd w:val="clear" w:color="000000" w:fill="FFFFFF"/>
            <w:vAlign w:val="center"/>
            <w:hideMark/>
          </w:tcPr>
          <w:p w14:paraId="1C04EBA1" w14:textId="3FEE8754" w:rsidR="00105F2A" w:rsidRPr="00CB75A4" w:rsidRDefault="00105F2A" w:rsidP="00383566">
            <w:pPr>
              <w:widowControl/>
              <w:spacing w:after="0" w:line="240" w:lineRule="auto"/>
              <w:rPr>
                <w:rFonts w:ascii="Arial" w:hAnsi="Arial" w:cs="Arial"/>
                <w:b/>
                <w:bCs/>
                <w:color w:val="000000" w:themeColor="text1"/>
                <w:kern w:val="0"/>
                <w:sz w:val="18"/>
                <w:szCs w:val="18"/>
              </w:rPr>
            </w:pPr>
            <w:r w:rsidRPr="00CB75A4">
              <w:rPr>
                <w:rFonts w:ascii="Arial" w:hAnsi="Arial" w:cs="Arial"/>
                <w:b/>
                <w:bCs/>
                <w:color w:val="000000" w:themeColor="text1"/>
                <w:kern w:val="0"/>
                <w:sz w:val="18"/>
                <w:szCs w:val="18"/>
              </w:rPr>
              <w:t>Group</w:t>
            </w:r>
            <w:r w:rsidR="007E1E4E">
              <w:rPr>
                <w:rFonts w:ascii="Arial" w:hAnsi="Arial" w:cs="Arial" w:hint="eastAsia"/>
                <w:b/>
                <w:bCs/>
                <w:color w:val="000000" w:themeColor="text1"/>
                <w:kern w:val="0"/>
                <w:sz w:val="18"/>
                <w:szCs w:val="18"/>
              </w:rPr>
              <w:t xml:space="preserve"> 1</w:t>
            </w:r>
            <w:r w:rsidRPr="00CB75A4">
              <w:rPr>
                <w:rFonts w:ascii="Arial" w:hAnsi="Arial" w:cs="Arial"/>
                <w:b/>
                <w:bCs/>
                <w:color w:val="000000" w:themeColor="text1"/>
                <w:kern w:val="0"/>
                <w:sz w:val="18"/>
                <w:szCs w:val="18"/>
              </w:rPr>
              <w:t xml:space="preserve"> (Mean ± SD)</w:t>
            </w:r>
          </w:p>
        </w:tc>
        <w:tc>
          <w:tcPr>
            <w:tcW w:w="2778" w:type="dxa"/>
            <w:tcBorders>
              <w:top w:val="single" w:sz="8" w:space="0" w:color="auto"/>
              <w:left w:val="nil"/>
              <w:bottom w:val="single" w:sz="8" w:space="0" w:color="auto"/>
              <w:right w:val="nil"/>
            </w:tcBorders>
            <w:shd w:val="clear" w:color="000000" w:fill="FFFFFF"/>
            <w:vAlign w:val="center"/>
            <w:hideMark/>
          </w:tcPr>
          <w:p w14:paraId="03D03704" w14:textId="43F4FB88" w:rsidR="00105F2A" w:rsidRPr="00CB75A4" w:rsidRDefault="00105F2A" w:rsidP="00383566">
            <w:pPr>
              <w:widowControl/>
              <w:spacing w:after="0" w:line="240" w:lineRule="auto"/>
              <w:rPr>
                <w:rFonts w:ascii="Arial" w:hAnsi="Arial" w:cs="Arial"/>
                <w:b/>
                <w:bCs/>
                <w:color w:val="000000" w:themeColor="text1"/>
                <w:kern w:val="0"/>
                <w:sz w:val="18"/>
                <w:szCs w:val="18"/>
              </w:rPr>
            </w:pPr>
            <w:r w:rsidRPr="00CB75A4">
              <w:rPr>
                <w:rFonts w:ascii="Arial" w:hAnsi="Arial" w:cs="Arial"/>
                <w:b/>
                <w:bCs/>
                <w:color w:val="000000" w:themeColor="text1"/>
                <w:kern w:val="0"/>
                <w:sz w:val="18"/>
                <w:szCs w:val="18"/>
              </w:rPr>
              <w:t>Group</w:t>
            </w:r>
            <w:r w:rsidR="007E1E4E">
              <w:rPr>
                <w:rFonts w:ascii="Arial" w:hAnsi="Arial" w:cs="Arial" w:hint="eastAsia"/>
                <w:b/>
                <w:bCs/>
                <w:color w:val="000000" w:themeColor="text1"/>
                <w:kern w:val="0"/>
                <w:sz w:val="18"/>
                <w:szCs w:val="18"/>
              </w:rPr>
              <w:t xml:space="preserve"> 2</w:t>
            </w:r>
            <w:r w:rsidRPr="00CB75A4">
              <w:rPr>
                <w:rFonts w:ascii="Arial" w:hAnsi="Arial" w:cs="Arial"/>
                <w:b/>
                <w:bCs/>
                <w:color w:val="000000" w:themeColor="text1"/>
                <w:kern w:val="0"/>
                <w:sz w:val="18"/>
                <w:szCs w:val="18"/>
              </w:rPr>
              <w:t xml:space="preserve"> (Mean ± SD)</w:t>
            </w:r>
          </w:p>
        </w:tc>
        <w:tc>
          <w:tcPr>
            <w:tcW w:w="1264" w:type="dxa"/>
            <w:tcBorders>
              <w:top w:val="single" w:sz="8" w:space="0" w:color="auto"/>
              <w:left w:val="nil"/>
              <w:bottom w:val="single" w:sz="8" w:space="0" w:color="auto"/>
              <w:right w:val="nil"/>
            </w:tcBorders>
            <w:shd w:val="clear" w:color="000000" w:fill="FFFFFF"/>
            <w:vAlign w:val="center"/>
            <w:hideMark/>
          </w:tcPr>
          <w:p w14:paraId="65DB386B" w14:textId="03F89985" w:rsidR="00105F2A" w:rsidRPr="00CB75A4" w:rsidRDefault="007E1E4E" w:rsidP="00383566">
            <w:pPr>
              <w:widowControl/>
              <w:spacing w:after="0" w:line="240" w:lineRule="auto"/>
              <w:rPr>
                <w:rFonts w:ascii="Arial" w:hAnsi="Arial" w:cs="Arial"/>
                <w:b/>
                <w:bCs/>
                <w:color w:val="000000" w:themeColor="text1"/>
                <w:kern w:val="0"/>
                <w:sz w:val="18"/>
                <w:szCs w:val="18"/>
              </w:rPr>
            </w:pPr>
            <w:r w:rsidRPr="007E1E4E">
              <w:rPr>
                <w:rFonts w:ascii="Arial" w:hAnsi="Arial" w:cs="Arial" w:hint="eastAsia"/>
                <w:b/>
                <w:bCs/>
                <w:color w:val="000000" w:themeColor="text1"/>
                <w:kern w:val="0"/>
                <w:sz w:val="18"/>
                <w:szCs w:val="18"/>
              </w:rPr>
              <w:t>Pairwise Wilcoxon rank-sum test P value</w:t>
            </w:r>
          </w:p>
        </w:tc>
        <w:tc>
          <w:tcPr>
            <w:tcW w:w="1276" w:type="dxa"/>
            <w:tcBorders>
              <w:top w:val="single" w:sz="8" w:space="0" w:color="auto"/>
              <w:left w:val="nil"/>
              <w:bottom w:val="single" w:sz="8" w:space="0" w:color="auto"/>
              <w:right w:val="nil"/>
            </w:tcBorders>
            <w:shd w:val="clear" w:color="000000" w:fill="FFFFFF"/>
            <w:vAlign w:val="center"/>
            <w:hideMark/>
          </w:tcPr>
          <w:p w14:paraId="261041E8" w14:textId="38BC9531" w:rsidR="00105F2A" w:rsidRPr="00CB75A4" w:rsidRDefault="007E1E4E" w:rsidP="00383566">
            <w:pPr>
              <w:widowControl/>
              <w:spacing w:after="0" w:line="240" w:lineRule="auto"/>
              <w:rPr>
                <w:rFonts w:ascii="Arial" w:hAnsi="Arial" w:cs="Arial"/>
                <w:b/>
                <w:bCs/>
                <w:color w:val="000000" w:themeColor="text1"/>
                <w:kern w:val="0"/>
                <w:sz w:val="18"/>
                <w:szCs w:val="18"/>
              </w:rPr>
            </w:pPr>
            <w:r w:rsidRPr="007E1E4E">
              <w:rPr>
                <w:rFonts w:ascii="Arial" w:hAnsi="Arial" w:cs="Arial" w:hint="eastAsia"/>
                <w:b/>
                <w:bCs/>
                <w:color w:val="000000" w:themeColor="text1"/>
                <w:kern w:val="0"/>
                <w:sz w:val="18"/>
                <w:szCs w:val="18"/>
              </w:rPr>
              <w:t>Overall Kruskal-Wallis test P value</w:t>
            </w:r>
          </w:p>
        </w:tc>
      </w:tr>
      <w:tr w:rsidR="00CB75A4" w:rsidRPr="00CB75A4" w14:paraId="108D4AB8" w14:textId="77777777" w:rsidTr="007E1E4E">
        <w:trPr>
          <w:trHeight w:val="561"/>
        </w:trPr>
        <w:tc>
          <w:tcPr>
            <w:tcW w:w="1544" w:type="dxa"/>
            <w:vMerge w:val="restart"/>
            <w:tcBorders>
              <w:top w:val="nil"/>
              <w:left w:val="nil"/>
              <w:bottom w:val="nil"/>
              <w:right w:val="nil"/>
            </w:tcBorders>
            <w:shd w:val="clear" w:color="000000" w:fill="FFFFFF"/>
            <w:vAlign w:val="center"/>
            <w:hideMark/>
          </w:tcPr>
          <w:p w14:paraId="6A1CB946"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r w:rsidRPr="00CB75A4">
              <w:rPr>
                <w:rFonts w:ascii="Arial" w:hAnsi="Arial" w:cs="Arial"/>
                <w:b/>
                <w:bCs/>
                <w:color w:val="000000" w:themeColor="text1"/>
                <w:kern w:val="0"/>
                <w:sz w:val="18"/>
                <w:szCs w:val="18"/>
              </w:rPr>
              <w:t>B cells naive</w:t>
            </w:r>
          </w:p>
        </w:tc>
        <w:tc>
          <w:tcPr>
            <w:tcW w:w="2778" w:type="dxa"/>
            <w:tcBorders>
              <w:top w:val="nil"/>
              <w:left w:val="nil"/>
              <w:bottom w:val="nil"/>
              <w:right w:val="nil"/>
            </w:tcBorders>
            <w:shd w:val="clear" w:color="000000" w:fill="FFFFFF"/>
            <w:vAlign w:val="center"/>
            <w:hideMark/>
          </w:tcPr>
          <w:p w14:paraId="6AFCA49E"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HC(0.09±0.03)</w:t>
            </w:r>
          </w:p>
        </w:tc>
        <w:tc>
          <w:tcPr>
            <w:tcW w:w="2778" w:type="dxa"/>
            <w:tcBorders>
              <w:top w:val="nil"/>
              <w:left w:val="nil"/>
              <w:bottom w:val="nil"/>
              <w:right w:val="nil"/>
            </w:tcBorders>
            <w:shd w:val="clear" w:color="000000" w:fill="FFFFFF"/>
            <w:vAlign w:val="center"/>
            <w:hideMark/>
          </w:tcPr>
          <w:p w14:paraId="79443AB4"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PresC(0.08±0.04)</w:t>
            </w:r>
          </w:p>
        </w:tc>
        <w:tc>
          <w:tcPr>
            <w:tcW w:w="1264" w:type="dxa"/>
            <w:tcBorders>
              <w:top w:val="nil"/>
              <w:left w:val="nil"/>
              <w:bottom w:val="nil"/>
              <w:right w:val="nil"/>
            </w:tcBorders>
            <w:shd w:val="clear" w:color="000000" w:fill="FFFFFF"/>
            <w:vAlign w:val="center"/>
            <w:hideMark/>
          </w:tcPr>
          <w:p w14:paraId="498D0E97"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0.8</w:t>
            </w:r>
          </w:p>
        </w:tc>
        <w:tc>
          <w:tcPr>
            <w:tcW w:w="1276" w:type="dxa"/>
            <w:vMerge w:val="restart"/>
            <w:tcBorders>
              <w:top w:val="nil"/>
              <w:left w:val="nil"/>
              <w:bottom w:val="nil"/>
              <w:right w:val="nil"/>
            </w:tcBorders>
            <w:shd w:val="clear" w:color="000000" w:fill="FFFFFF"/>
            <w:vAlign w:val="center"/>
            <w:hideMark/>
          </w:tcPr>
          <w:p w14:paraId="437592CB"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0.02</w:t>
            </w:r>
          </w:p>
        </w:tc>
      </w:tr>
      <w:tr w:rsidR="00CB75A4" w:rsidRPr="00CB75A4" w14:paraId="29394DBF" w14:textId="77777777" w:rsidTr="007E1E4E">
        <w:trPr>
          <w:trHeight w:val="561"/>
        </w:trPr>
        <w:tc>
          <w:tcPr>
            <w:tcW w:w="1544" w:type="dxa"/>
            <w:vMerge/>
            <w:tcBorders>
              <w:top w:val="nil"/>
              <w:left w:val="nil"/>
              <w:bottom w:val="nil"/>
              <w:right w:val="nil"/>
            </w:tcBorders>
            <w:vAlign w:val="center"/>
            <w:hideMark/>
          </w:tcPr>
          <w:p w14:paraId="17782793"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7792E4C0"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HC(0.09±0.03)</w:t>
            </w:r>
          </w:p>
        </w:tc>
        <w:tc>
          <w:tcPr>
            <w:tcW w:w="2778" w:type="dxa"/>
            <w:tcBorders>
              <w:top w:val="nil"/>
              <w:left w:val="nil"/>
              <w:bottom w:val="nil"/>
              <w:right w:val="nil"/>
            </w:tcBorders>
            <w:shd w:val="clear" w:color="000000" w:fill="FFFFFF"/>
            <w:vAlign w:val="center"/>
            <w:hideMark/>
          </w:tcPr>
          <w:p w14:paraId="595E9C59"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LowC(0.04±0.02)</w:t>
            </w:r>
          </w:p>
        </w:tc>
        <w:tc>
          <w:tcPr>
            <w:tcW w:w="1264" w:type="dxa"/>
            <w:tcBorders>
              <w:top w:val="nil"/>
              <w:left w:val="nil"/>
              <w:bottom w:val="nil"/>
              <w:right w:val="nil"/>
            </w:tcBorders>
            <w:shd w:val="clear" w:color="000000" w:fill="FFFFFF"/>
            <w:vAlign w:val="center"/>
            <w:hideMark/>
          </w:tcPr>
          <w:p w14:paraId="1DA0F340"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4.10E-03</w:t>
            </w:r>
          </w:p>
        </w:tc>
        <w:tc>
          <w:tcPr>
            <w:tcW w:w="1276" w:type="dxa"/>
            <w:vMerge/>
            <w:tcBorders>
              <w:top w:val="nil"/>
              <w:left w:val="nil"/>
              <w:bottom w:val="nil"/>
              <w:right w:val="nil"/>
            </w:tcBorders>
            <w:vAlign w:val="center"/>
            <w:hideMark/>
          </w:tcPr>
          <w:p w14:paraId="42A0ADD3"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790AD5D3" w14:textId="77777777" w:rsidTr="007E1E4E">
        <w:trPr>
          <w:trHeight w:val="561"/>
        </w:trPr>
        <w:tc>
          <w:tcPr>
            <w:tcW w:w="1544" w:type="dxa"/>
            <w:vMerge/>
            <w:tcBorders>
              <w:top w:val="nil"/>
              <w:left w:val="nil"/>
              <w:bottom w:val="nil"/>
              <w:right w:val="nil"/>
            </w:tcBorders>
            <w:vAlign w:val="center"/>
            <w:hideMark/>
          </w:tcPr>
          <w:p w14:paraId="166866EA"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3E40E045"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PresC(0.08±0.04)</w:t>
            </w:r>
          </w:p>
        </w:tc>
        <w:tc>
          <w:tcPr>
            <w:tcW w:w="2778" w:type="dxa"/>
            <w:tcBorders>
              <w:top w:val="nil"/>
              <w:left w:val="nil"/>
              <w:bottom w:val="nil"/>
              <w:right w:val="nil"/>
            </w:tcBorders>
            <w:shd w:val="clear" w:color="000000" w:fill="FFFFFF"/>
            <w:vAlign w:val="center"/>
            <w:hideMark/>
          </w:tcPr>
          <w:p w14:paraId="59E898EC"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LowC(0.04±0.02)</w:t>
            </w:r>
          </w:p>
        </w:tc>
        <w:tc>
          <w:tcPr>
            <w:tcW w:w="1264" w:type="dxa"/>
            <w:tcBorders>
              <w:top w:val="nil"/>
              <w:left w:val="nil"/>
              <w:bottom w:val="nil"/>
              <w:right w:val="nil"/>
            </w:tcBorders>
            <w:shd w:val="clear" w:color="000000" w:fill="FFFFFF"/>
            <w:vAlign w:val="center"/>
            <w:hideMark/>
          </w:tcPr>
          <w:p w14:paraId="4B3F781D"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0.04</w:t>
            </w:r>
          </w:p>
        </w:tc>
        <w:tc>
          <w:tcPr>
            <w:tcW w:w="1276" w:type="dxa"/>
            <w:vMerge/>
            <w:tcBorders>
              <w:top w:val="nil"/>
              <w:left w:val="nil"/>
              <w:bottom w:val="nil"/>
              <w:right w:val="nil"/>
            </w:tcBorders>
            <w:vAlign w:val="center"/>
            <w:hideMark/>
          </w:tcPr>
          <w:p w14:paraId="5CEFDD54"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44CEFB90" w14:textId="77777777" w:rsidTr="007E1E4E">
        <w:trPr>
          <w:trHeight w:val="561"/>
        </w:trPr>
        <w:tc>
          <w:tcPr>
            <w:tcW w:w="1544" w:type="dxa"/>
            <w:vMerge w:val="restart"/>
            <w:tcBorders>
              <w:top w:val="nil"/>
              <w:left w:val="nil"/>
              <w:bottom w:val="nil"/>
              <w:right w:val="nil"/>
            </w:tcBorders>
            <w:shd w:val="clear" w:color="000000" w:fill="FFFFFF"/>
            <w:vAlign w:val="center"/>
            <w:hideMark/>
          </w:tcPr>
          <w:p w14:paraId="2FB9F897"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r w:rsidRPr="00CB75A4">
              <w:rPr>
                <w:rFonts w:ascii="Arial" w:hAnsi="Arial" w:cs="Arial"/>
                <w:b/>
                <w:bCs/>
                <w:color w:val="000000" w:themeColor="text1"/>
                <w:kern w:val="0"/>
                <w:sz w:val="18"/>
                <w:szCs w:val="18"/>
              </w:rPr>
              <w:t>B cells memory</w:t>
            </w:r>
          </w:p>
        </w:tc>
        <w:tc>
          <w:tcPr>
            <w:tcW w:w="2778" w:type="dxa"/>
            <w:tcBorders>
              <w:top w:val="nil"/>
              <w:left w:val="nil"/>
              <w:bottom w:val="nil"/>
              <w:right w:val="nil"/>
            </w:tcBorders>
            <w:shd w:val="clear" w:color="000000" w:fill="FFFFFF"/>
            <w:vAlign w:val="center"/>
            <w:hideMark/>
          </w:tcPr>
          <w:p w14:paraId="0C8272EE"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HC(3.7e-3±9.8e-3)</w:t>
            </w:r>
          </w:p>
        </w:tc>
        <w:tc>
          <w:tcPr>
            <w:tcW w:w="2778" w:type="dxa"/>
            <w:tcBorders>
              <w:top w:val="nil"/>
              <w:left w:val="nil"/>
              <w:bottom w:val="nil"/>
              <w:right w:val="nil"/>
            </w:tcBorders>
            <w:shd w:val="clear" w:color="000000" w:fill="FFFFFF"/>
            <w:vAlign w:val="center"/>
            <w:hideMark/>
          </w:tcPr>
          <w:p w14:paraId="037FBF2D"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PresC(0.01±1.0e-2)</w:t>
            </w:r>
          </w:p>
        </w:tc>
        <w:tc>
          <w:tcPr>
            <w:tcW w:w="1264" w:type="dxa"/>
            <w:tcBorders>
              <w:top w:val="nil"/>
              <w:left w:val="nil"/>
              <w:bottom w:val="nil"/>
              <w:right w:val="nil"/>
            </w:tcBorders>
            <w:shd w:val="clear" w:color="000000" w:fill="FFFFFF"/>
            <w:vAlign w:val="center"/>
            <w:hideMark/>
          </w:tcPr>
          <w:p w14:paraId="56D5C2FD"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0.12</w:t>
            </w:r>
          </w:p>
        </w:tc>
        <w:tc>
          <w:tcPr>
            <w:tcW w:w="1276" w:type="dxa"/>
            <w:vMerge w:val="restart"/>
            <w:tcBorders>
              <w:top w:val="nil"/>
              <w:left w:val="nil"/>
              <w:bottom w:val="nil"/>
              <w:right w:val="nil"/>
            </w:tcBorders>
            <w:shd w:val="clear" w:color="000000" w:fill="FFFFFF"/>
            <w:vAlign w:val="center"/>
            <w:hideMark/>
          </w:tcPr>
          <w:p w14:paraId="61A6531A"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8.90E-04</w:t>
            </w:r>
          </w:p>
        </w:tc>
      </w:tr>
      <w:tr w:rsidR="00CB75A4" w:rsidRPr="00CB75A4" w14:paraId="5A15013D" w14:textId="77777777" w:rsidTr="007E1E4E">
        <w:trPr>
          <w:trHeight w:val="561"/>
        </w:trPr>
        <w:tc>
          <w:tcPr>
            <w:tcW w:w="1544" w:type="dxa"/>
            <w:vMerge/>
            <w:tcBorders>
              <w:top w:val="nil"/>
              <w:left w:val="nil"/>
              <w:bottom w:val="nil"/>
              <w:right w:val="nil"/>
            </w:tcBorders>
            <w:vAlign w:val="center"/>
            <w:hideMark/>
          </w:tcPr>
          <w:p w14:paraId="5395AB76"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2FDFBA24"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HC(3.7e-3±9.8e-3)</w:t>
            </w:r>
          </w:p>
        </w:tc>
        <w:tc>
          <w:tcPr>
            <w:tcW w:w="2778" w:type="dxa"/>
            <w:tcBorders>
              <w:top w:val="nil"/>
              <w:left w:val="nil"/>
              <w:bottom w:val="nil"/>
              <w:right w:val="nil"/>
            </w:tcBorders>
            <w:shd w:val="clear" w:color="000000" w:fill="FFFFFF"/>
            <w:vAlign w:val="center"/>
            <w:hideMark/>
          </w:tcPr>
          <w:p w14:paraId="34F4BC9D"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LowC(0.05±0.02)</w:t>
            </w:r>
          </w:p>
        </w:tc>
        <w:tc>
          <w:tcPr>
            <w:tcW w:w="1264" w:type="dxa"/>
            <w:tcBorders>
              <w:top w:val="nil"/>
              <w:left w:val="nil"/>
              <w:bottom w:val="nil"/>
              <w:right w:val="nil"/>
            </w:tcBorders>
            <w:shd w:val="clear" w:color="000000" w:fill="FFFFFF"/>
            <w:vAlign w:val="center"/>
            <w:hideMark/>
          </w:tcPr>
          <w:p w14:paraId="2BF49C17"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2.20E-03</w:t>
            </w:r>
          </w:p>
        </w:tc>
        <w:tc>
          <w:tcPr>
            <w:tcW w:w="1276" w:type="dxa"/>
            <w:vMerge/>
            <w:tcBorders>
              <w:top w:val="nil"/>
              <w:left w:val="nil"/>
              <w:bottom w:val="nil"/>
              <w:right w:val="nil"/>
            </w:tcBorders>
            <w:vAlign w:val="center"/>
            <w:hideMark/>
          </w:tcPr>
          <w:p w14:paraId="6214FC04"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70ABBAC9" w14:textId="77777777" w:rsidTr="007E1E4E">
        <w:trPr>
          <w:trHeight w:val="561"/>
        </w:trPr>
        <w:tc>
          <w:tcPr>
            <w:tcW w:w="1544" w:type="dxa"/>
            <w:vMerge/>
            <w:tcBorders>
              <w:top w:val="nil"/>
              <w:left w:val="nil"/>
              <w:bottom w:val="nil"/>
              <w:right w:val="nil"/>
            </w:tcBorders>
            <w:vAlign w:val="center"/>
            <w:hideMark/>
          </w:tcPr>
          <w:p w14:paraId="72DD6E8D"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33E71EEB"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PresC(0.01±1.0e-2)</w:t>
            </w:r>
          </w:p>
        </w:tc>
        <w:tc>
          <w:tcPr>
            <w:tcW w:w="2778" w:type="dxa"/>
            <w:tcBorders>
              <w:top w:val="nil"/>
              <w:left w:val="nil"/>
              <w:bottom w:val="nil"/>
              <w:right w:val="nil"/>
            </w:tcBorders>
            <w:shd w:val="clear" w:color="000000" w:fill="FFFFFF"/>
            <w:vAlign w:val="center"/>
            <w:hideMark/>
          </w:tcPr>
          <w:p w14:paraId="4499F569"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LowC(0.05±0.02)</w:t>
            </w:r>
          </w:p>
        </w:tc>
        <w:tc>
          <w:tcPr>
            <w:tcW w:w="1264" w:type="dxa"/>
            <w:tcBorders>
              <w:top w:val="nil"/>
              <w:left w:val="nil"/>
              <w:bottom w:val="nil"/>
              <w:right w:val="nil"/>
            </w:tcBorders>
            <w:shd w:val="clear" w:color="000000" w:fill="FFFFFF"/>
            <w:vAlign w:val="center"/>
            <w:hideMark/>
          </w:tcPr>
          <w:p w14:paraId="6168A764"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3.30E-03</w:t>
            </w:r>
          </w:p>
        </w:tc>
        <w:tc>
          <w:tcPr>
            <w:tcW w:w="1276" w:type="dxa"/>
            <w:vMerge/>
            <w:tcBorders>
              <w:top w:val="nil"/>
              <w:left w:val="nil"/>
              <w:bottom w:val="nil"/>
              <w:right w:val="nil"/>
            </w:tcBorders>
            <w:vAlign w:val="center"/>
            <w:hideMark/>
          </w:tcPr>
          <w:p w14:paraId="06EA96E6"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4FEBC600" w14:textId="77777777" w:rsidTr="007E1E4E">
        <w:trPr>
          <w:trHeight w:val="561"/>
        </w:trPr>
        <w:tc>
          <w:tcPr>
            <w:tcW w:w="1544" w:type="dxa"/>
            <w:vMerge w:val="restart"/>
            <w:tcBorders>
              <w:top w:val="nil"/>
              <w:left w:val="nil"/>
              <w:bottom w:val="nil"/>
              <w:right w:val="nil"/>
            </w:tcBorders>
            <w:shd w:val="clear" w:color="000000" w:fill="FFFFFF"/>
            <w:vAlign w:val="center"/>
            <w:hideMark/>
          </w:tcPr>
          <w:p w14:paraId="0729AAEF"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r w:rsidRPr="00CB75A4">
              <w:rPr>
                <w:rFonts w:ascii="Arial" w:hAnsi="Arial" w:cs="Arial"/>
                <w:b/>
                <w:bCs/>
                <w:color w:val="000000" w:themeColor="text1"/>
                <w:kern w:val="0"/>
                <w:sz w:val="18"/>
                <w:szCs w:val="18"/>
              </w:rPr>
              <w:t>Plasma cells</w:t>
            </w:r>
          </w:p>
        </w:tc>
        <w:tc>
          <w:tcPr>
            <w:tcW w:w="2778" w:type="dxa"/>
            <w:tcBorders>
              <w:top w:val="nil"/>
              <w:left w:val="nil"/>
              <w:bottom w:val="nil"/>
              <w:right w:val="nil"/>
            </w:tcBorders>
            <w:shd w:val="clear" w:color="000000" w:fill="FFFFFF"/>
            <w:vAlign w:val="center"/>
            <w:hideMark/>
          </w:tcPr>
          <w:p w14:paraId="648F3451"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HC(0.0e+0±0.0e+0)</w:t>
            </w:r>
          </w:p>
        </w:tc>
        <w:tc>
          <w:tcPr>
            <w:tcW w:w="2778" w:type="dxa"/>
            <w:tcBorders>
              <w:top w:val="nil"/>
              <w:left w:val="nil"/>
              <w:bottom w:val="nil"/>
              <w:right w:val="nil"/>
            </w:tcBorders>
            <w:shd w:val="clear" w:color="000000" w:fill="FFFFFF"/>
            <w:vAlign w:val="center"/>
            <w:hideMark/>
          </w:tcPr>
          <w:p w14:paraId="64D6E8AE"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PresC(0.0e+0±0.0e+0)</w:t>
            </w:r>
          </w:p>
        </w:tc>
        <w:tc>
          <w:tcPr>
            <w:tcW w:w="1264" w:type="dxa"/>
            <w:tcBorders>
              <w:top w:val="nil"/>
              <w:left w:val="nil"/>
              <w:bottom w:val="nil"/>
              <w:right w:val="nil"/>
            </w:tcBorders>
            <w:shd w:val="clear" w:color="000000" w:fill="FFFFFF"/>
            <w:vAlign w:val="center"/>
            <w:hideMark/>
          </w:tcPr>
          <w:p w14:paraId="23A95293"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NA</w:t>
            </w:r>
          </w:p>
        </w:tc>
        <w:tc>
          <w:tcPr>
            <w:tcW w:w="1276" w:type="dxa"/>
            <w:vMerge w:val="restart"/>
            <w:tcBorders>
              <w:top w:val="nil"/>
              <w:left w:val="nil"/>
              <w:bottom w:val="nil"/>
              <w:right w:val="nil"/>
            </w:tcBorders>
            <w:shd w:val="clear" w:color="000000" w:fill="FFFFFF"/>
            <w:vAlign w:val="center"/>
            <w:hideMark/>
          </w:tcPr>
          <w:p w14:paraId="31D19271"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NA</w:t>
            </w:r>
          </w:p>
        </w:tc>
      </w:tr>
      <w:tr w:rsidR="00CB75A4" w:rsidRPr="00CB75A4" w14:paraId="23B9A5E4" w14:textId="77777777" w:rsidTr="007E1E4E">
        <w:trPr>
          <w:trHeight w:val="561"/>
        </w:trPr>
        <w:tc>
          <w:tcPr>
            <w:tcW w:w="1544" w:type="dxa"/>
            <w:vMerge/>
            <w:tcBorders>
              <w:top w:val="nil"/>
              <w:left w:val="nil"/>
              <w:bottom w:val="nil"/>
              <w:right w:val="nil"/>
            </w:tcBorders>
            <w:vAlign w:val="center"/>
            <w:hideMark/>
          </w:tcPr>
          <w:p w14:paraId="2317DCBF"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657C50B2"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HC(0.0e+0±0.0e+0)</w:t>
            </w:r>
          </w:p>
        </w:tc>
        <w:tc>
          <w:tcPr>
            <w:tcW w:w="2778" w:type="dxa"/>
            <w:tcBorders>
              <w:top w:val="nil"/>
              <w:left w:val="nil"/>
              <w:bottom w:val="nil"/>
              <w:right w:val="nil"/>
            </w:tcBorders>
            <w:shd w:val="clear" w:color="000000" w:fill="FFFFFF"/>
            <w:vAlign w:val="center"/>
            <w:hideMark/>
          </w:tcPr>
          <w:p w14:paraId="6D30972D"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LowC(0.0e+0±0.0e+0)</w:t>
            </w:r>
          </w:p>
        </w:tc>
        <w:tc>
          <w:tcPr>
            <w:tcW w:w="1264" w:type="dxa"/>
            <w:tcBorders>
              <w:top w:val="nil"/>
              <w:left w:val="nil"/>
              <w:bottom w:val="nil"/>
              <w:right w:val="nil"/>
            </w:tcBorders>
            <w:shd w:val="clear" w:color="000000" w:fill="FFFFFF"/>
            <w:vAlign w:val="center"/>
            <w:hideMark/>
          </w:tcPr>
          <w:p w14:paraId="7C24835E"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NA</w:t>
            </w:r>
          </w:p>
        </w:tc>
        <w:tc>
          <w:tcPr>
            <w:tcW w:w="1276" w:type="dxa"/>
            <w:vMerge/>
            <w:tcBorders>
              <w:top w:val="nil"/>
              <w:left w:val="nil"/>
              <w:bottom w:val="nil"/>
              <w:right w:val="nil"/>
            </w:tcBorders>
            <w:vAlign w:val="center"/>
            <w:hideMark/>
          </w:tcPr>
          <w:p w14:paraId="1FD0AE41"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725E0705" w14:textId="77777777" w:rsidTr="007E1E4E">
        <w:trPr>
          <w:trHeight w:val="561"/>
        </w:trPr>
        <w:tc>
          <w:tcPr>
            <w:tcW w:w="1544" w:type="dxa"/>
            <w:vMerge/>
            <w:tcBorders>
              <w:top w:val="nil"/>
              <w:left w:val="nil"/>
              <w:bottom w:val="nil"/>
              <w:right w:val="nil"/>
            </w:tcBorders>
            <w:vAlign w:val="center"/>
            <w:hideMark/>
          </w:tcPr>
          <w:p w14:paraId="241DF119"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2BB71AAF"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PresC(0.0e+0±0.0e+0)</w:t>
            </w:r>
          </w:p>
        </w:tc>
        <w:tc>
          <w:tcPr>
            <w:tcW w:w="2778" w:type="dxa"/>
            <w:tcBorders>
              <w:top w:val="nil"/>
              <w:left w:val="nil"/>
              <w:bottom w:val="nil"/>
              <w:right w:val="nil"/>
            </w:tcBorders>
            <w:shd w:val="clear" w:color="000000" w:fill="FFFFFF"/>
            <w:vAlign w:val="center"/>
            <w:hideMark/>
          </w:tcPr>
          <w:p w14:paraId="2A8773CF"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LowC(0.0e+0±0.0e+0)</w:t>
            </w:r>
          </w:p>
        </w:tc>
        <w:tc>
          <w:tcPr>
            <w:tcW w:w="1264" w:type="dxa"/>
            <w:tcBorders>
              <w:top w:val="nil"/>
              <w:left w:val="nil"/>
              <w:bottom w:val="nil"/>
              <w:right w:val="nil"/>
            </w:tcBorders>
            <w:shd w:val="clear" w:color="000000" w:fill="FFFFFF"/>
            <w:vAlign w:val="center"/>
            <w:hideMark/>
          </w:tcPr>
          <w:p w14:paraId="29728393"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NA</w:t>
            </w:r>
          </w:p>
        </w:tc>
        <w:tc>
          <w:tcPr>
            <w:tcW w:w="1276" w:type="dxa"/>
            <w:vMerge/>
            <w:tcBorders>
              <w:top w:val="nil"/>
              <w:left w:val="nil"/>
              <w:bottom w:val="nil"/>
              <w:right w:val="nil"/>
            </w:tcBorders>
            <w:vAlign w:val="center"/>
            <w:hideMark/>
          </w:tcPr>
          <w:p w14:paraId="292E5ACC"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63CAB5B6" w14:textId="77777777" w:rsidTr="007E1E4E">
        <w:trPr>
          <w:trHeight w:val="561"/>
        </w:trPr>
        <w:tc>
          <w:tcPr>
            <w:tcW w:w="1544" w:type="dxa"/>
            <w:vMerge w:val="restart"/>
            <w:tcBorders>
              <w:top w:val="nil"/>
              <w:left w:val="nil"/>
              <w:bottom w:val="nil"/>
              <w:right w:val="nil"/>
            </w:tcBorders>
            <w:shd w:val="clear" w:color="000000" w:fill="FFFFFF"/>
            <w:vAlign w:val="center"/>
            <w:hideMark/>
          </w:tcPr>
          <w:p w14:paraId="1C402C87"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r w:rsidRPr="00CB75A4">
              <w:rPr>
                <w:rFonts w:ascii="Arial" w:hAnsi="Arial" w:cs="Arial"/>
                <w:b/>
                <w:bCs/>
                <w:color w:val="000000" w:themeColor="text1"/>
                <w:kern w:val="0"/>
                <w:sz w:val="18"/>
                <w:szCs w:val="18"/>
              </w:rPr>
              <w:t>T cells CD8</w:t>
            </w:r>
          </w:p>
        </w:tc>
        <w:tc>
          <w:tcPr>
            <w:tcW w:w="2778" w:type="dxa"/>
            <w:tcBorders>
              <w:top w:val="nil"/>
              <w:left w:val="nil"/>
              <w:bottom w:val="nil"/>
              <w:right w:val="nil"/>
            </w:tcBorders>
            <w:shd w:val="clear" w:color="000000" w:fill="FFFFFF"/>
            <w:vAlign w:val="center"/>
            <w:hideMark/>
          </w:tcPr>
          <w:p w14:paraId="64F8E51F"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HC(0.24±0.09)</w:t>
            </w:r>
          </w:p>
        </w:tc>
        <w:tc>
          <w:tcPr>
            <w:tcW w:w="2778" w:type="dxa"/>
            <w:tcBorders>
              <w:top w:val="nil"/>
              <w:left w:val="nil"/>
              <w:bottom w:val="nil"/>
              <w:right w:val="nil"/>
            </w:tcBorders>
            <w:shd w:val="clear" w:color="000000" w:fill="FFFFFF"/>
            <w:vAlign w:val="center"/>
            <w:hideMark/>
          </w:tcPr>
          <w:p w14:paraId="3B7ACB4D"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PresC(0.15±0.07)</w:t>
            </w:r>
          </w:p>
        </w:tc>
        <w:tc>
          <w:tcPr>
            <w:tcW w:w="1264" w:type="dxa"/>
            <w:tcBorders>
              <w:top w:val="nil"/>
              <w:left w:val="nil"/>
              <w:bottom w:val="nil"/>
              <w:right w:val="nil"/>
            </w:tcBorders>
            <w:shd w:val="clear" w:color="000000" w:fill="FFFFFF"/>
            <w:vAlign w:val="center"/>
            <w:hideMark/>
          </w:tcPr>
          <w:p w14:paraId="70D6182B"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0.1</w:t>
            </w:r>
          </w:p>
        </w:tc>
        <w:tc>
          <w:tcPr>
            <w:tcW w:w="1276" w:type="dxa"/>
            <w:vMerge w:val="restart"/>
            <w:tcBorders>
              <w:top w:val="nil"/>
              <w:left w:val="nil"/>
              <w:bottom w:val="nil"/>
              <w:right w:val="nil"/>
            </w:tcBorders>
            <w:shd w:val="clear" w:color="000000" w:fill="FFFFFF"/>
            <w:vAlign w:val="center"/>
            <w:hideMark/>
          </w:tcPr>
          <w:p w14:paraId="606A2999"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0.18</w:t>
            </w:r>
          </w:p>
        </w:tc>
      </w:tr>
      <w:tr w:rsidR="00CB75A4" w:rsidRPr="00CB75A4" w14:paraId="4A716C0A" w14:textId="77777777" w:rsidTr="007E1E4E">
        <w:trPr>
          <w:trHeight w:val="561"/>
        </w:trPr>
        <w:tc>
          <w:tcPr>
            <w:tcW w:w="1544" w:type="dxa"/>
            <w:vMerge/>
            <w:tcBorders>
              <w:top w:val="nil"/>
              <w:left w:val="nil"/>
              <w:bottom w:val="nil"/>
              <w:right w:val="nil"/>
            </w:tcBorders>
            <w:vAlign w:val="center"/>
            <w:hideMark/>
          </w:tcPr>
          <w:p w14:paraId="72A9ECDE"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7BF0F41C"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HC(0.24±0.09)</w:t>
            </w:r>
          </w:p>
        </w:tc>
        <w:tc>
          <w:tcPr>
            <w:tcW w:w="2778" w:type="dxa"/>
            <w:tcBorders>
              <w:top w:val="nil"/>
              <w:left w:val="nil"/>
              <w:bottom w:val="nil"/>
              <w:right w:val="nil"/>
            </w:tcBorders>
            <w:shd w:val="clear" w:color="000000" w:fill="FFFFFF"/>
            <w:vAlign w:val="center"/>
            <w:hideMark/>
          </w:tcPr>
          <w:p w14:paraId="65D1D2ED"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LowC(0.18±0.07)</w:t>
            </w:r>
          </w:p>
        </w:tc>
        <w:tc>
          <w:tcPr>
            <w:tcW w:w="1264" w:type="dxa"/>
            <w:tcBorders>
              <w:top w:val="nil"/>
              <w:left w:val="nil"/>
              <w:bottom w:val="nil"/>
              <w:right w:val="nil"/>
            </w:tcBorders>
            <w:shd w:val="clear" w:color="000000" w:fill="FFFFFF"/>
            <w:vAlign w:val="center"/>
            <w:hideMark/>
          </w:tcPr>
          <w:p w14:paraId="3D95B892"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0.32</w:t>
            </w:r>
          </w:p>
        </w:tc>
        <w:tc>
          <w:tcPr>
            <w:tcW w:w="1276" w:type="dxa"/>
            <w:vMerge/>
            <w:tcBorders>
              <w:top w:val="nil"/>
              <w:left w:val="nil"/>
              <w:bottom w:val="nil"/>
              <w:right w:val="nil"/>
            </w:tcBorders>
            <w:vAlign w:val="center"/>
            <w:hideMark/>
          </w:tcPr>
          <w:p w14:paraId="33D69726"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052779B0" w14:textId="77777777" w:rsidTr="007E1E4E">
        <w:trPr>
          <w:trHeight w:val="561"/>
        </w:trPr>
        <w:tc>
          <w:tcPr>
            <w:tcW w:w="1544" w:type="dxa"/>
            <w:vMerge/>
            <w:tcBorders>
              <w:top w:val="nil"/>
              <w:left w:val="nil"/>
              <w:bottom w:val="nil"/>
              <w:right w:val="nil"/>
            </w:tcBorders>
            <w:vAlign w:val="center"/>
            <w:hideMark/>
          </w:tcPr>
          <w:p w14:paraId="7C4A904C"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538EBD8D"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PresC(0.15±0.07)</w:t>
            </w:r>
          </w:p>
        </w:tc>
        <w:tc>
          <w:tcPr>
            <w:tcW w:w="2778" w:type="dxa"/>
            <w:tcBorders>
              <w:top w:val="nil"/>
              <w:left w:val="nil"/>
              <w:bottom w:val="nil"/>
              <w:right w:val="nil"/>
            </w:tcBorders>
            <w:shd w:val="clear" w:color="000000" w:fill="FFFFFF"/>
            <w:vAlign w:val="center"/>
            <w:hideMark/>
          </w:tcPr>
          <w:p w14:paraId="260AB380"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LowC(0.18±0.07)</w:t>
            </w:r>
          </w:p>
        </w:tc>
        <w:tc>
          <w:tcPr>
            <w:tcW w:w="1264" w:type="dxa"/>
            <w:tcBorders>
              <w:top w:val="nil"/>
              <w:left w:val="nil"/>
              <w:bottom w:val="nil"/>
              <w:right w:val="nil"/>
            </w:tcBorders>
            <w:shd w:val="clear" w:color="000000" w:fill="FFFFFF"/>
            <w:vAlign w:val="center"/>
            <w:hideMark/>
          </w:tcPr>
          <w:p w14:paraId="0394F0D9"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0.38</w:t>
            </w:r>
          </w:p>
        </w:tc>
        <w:tc>
          <w:tcPr>
            <w:tcW w:w="1276" w:type="dxa"/>
            <w:vMerge/>
            <w:tcBorders>
              <w:top w:val="nil"/>
              <w:left w:val="nil"/>
              <w:bottom w:val="nil"/>
              <w:right w:val="nil"/>
            </w:tcBorders>
            <w:vAlign w:val="center"/>
            <w:hideMark/>
          </w:tcPr>
          <w:p w14:paraId="03E862EB"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16487A6D" w14:textId="77777777" w:rsidTr="007E1E4E">
        <w:trPr>
          <w:trHeight w:val="561"/>
        </w:trPr>
        <w:tc>
          <w:tcPr>
            <w:tcW w:w="1544" w:type="dxa"/>
            <w:vMerge w:val="restart"/>
            <w:tcBorders>
              <w:top w:val="nil"/>
              <w:left w:val="nil"/>
              <w:bottom w:val="nil"/>
              <w:right w:val="nil"/>
            </w:tcBorders>
            <w:shd w:val="clear" w:color="000000" w:fill="FFFFFF"/>
            <w:vAlign w:val="center"/>
            <w:hideMark/>
          </w:tcPr>
          <w:p w14:paraId="5673FDC6"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r w:rsidRPr="00CB75A4">
              <w:rPr>
                <w:rFonts w:ascii="Arial" w:hAnsi="Arial" w:cs="Arial"/>
                <w:b/>
                <w:bCs/>
                <w:color w:val="000000" w:themeColor="text1"/>
                <w:kern w:val="0"/>
                <w:sz w:val="18"/>
                <w:szCs w:val="18"/>
              </w:rPr>
              <w:t>T cells CD4 naive</w:t>
            </w:r>
          </w:p>
        </w:tc>
        <w:tc>
          <w:tcPr>
            <w:tcW w:w="2778" w:type="dxa"/>
            <w:tcBorders>
              <w:top w:val="nil"/>
              <w:left w:val="nil"/>
              <w:bottom w:val="nil"/>
              <w:right w:val="nil"/>
            </w:tcBorders>
            <w:shd w:val="clear" w:color="000000" w:fill="FFFFFF"/>
            <w:vAlign w:val="center"/>
            <w:hideMark/>
          </w:tcPr>
          <w:p w14:paraId="3ADB6E8B"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HC(0.03±0.06)</w:t>
            </w:r>
          </w:p>
        </w:tc>
        <w:tc>
          <w:tcPr>
            <w:tcW w:w="2778" w:type="dxa"/>
            <w:tcBorders>
              <w:top w:val="nil"/>
              <w:left w:val="nil"/>
              <w:bottom w:val="nil"/>
              <w:right w:val="nil"/>
            </w:tcBorders>
            <w:shd w:val="clear" w:color="000000" w:fill="FFFFFF"/>
            <w:vAlign w:val="center"/>
            <w:hideMark/>
          </w:tcPr>
          <w:p w14:paraId="0F2CADA1"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PresC(0.01±0.03)</w:t>
            </w:r>
          </w:p>
        </w:tc>
        <w:tc>
          <w:tcPr>
            <w:tcW w:w="1264" w:type="dxa"/>
            <w:tcBorders>
              <w:top w:val="nil"/>
              <w:left w:val="nil"/>
              <w:bottom w:val="nil"/>
              <w:right w:val="nil"/>
            </w:tcBorders>
            <w:shd w:val="clear" w:color="000000" w:fill="FFFFFF"/>
            <w:vAlign w:val="center"/>
            <w:hideMark/>
          </w:tcPr>
          <w:p w14:paraId="400DB8E1"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0.44</w:t>
            </w:r>
          </w:p>
        </w:tc>
        <w:tc>
          <w:tcPr>
            <w:tcW w:w="1276" w:type="dxa"/>
            <w:vMerge w:val="restart"/>
            <w:tcBorders>
              <w:top w:val="nil"/>
              <w:left w:val="nil"/>
              <w:bottom w:val="nil"/>
              <w:right w:val="nil"/>
            </w:tcBorders>
            <w:shd w:val="clear" w:color="000000" w:fill="FFFFFF"/>
            <w:vAlign w:val="center"/>
            <w:hideMark/>
          </w:tcPr>
          <w:p w14:paraId="697A5CD6"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0.48</w:t>
            </w:r>
          </w:p>
        </w:tc>
      </w:tr>
      <w:tr w:rsidR="00CB75A4" w:rsidRPr="00CB75A4" w14:paraId="73C50DC3" w14:textId="77777777" w:rsidTr="007E1E4E">
        <w:trPr>
          <w:trHeight w:val="561"/>
        </w:trPr>
        <w:tc>
          <w:tcPr>
            <w:tcW w:w="1544" w:type="dxa"/>
            <w:vMerge/>
            <w:tcBorders>
              <w:top w:val="nil"/>
              <w:left w:val="nil"/>
              <w:bottom w:val="nil"/>
              <w:right w:val="nil"/>
            </w:tcBorders>
            <w:vAlign w:val="center"/>
            <w:hideMark/>
          </w:tcPr>
          <w:p w14:paraId="758D64A9"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4C5BA905"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HC(0.03±0.06)</w:t>
            </w:r>
          </w:p>
        </w:tc>
        <w:tc>
          <w:tcPr>
            <w:tcW w:w="2778" w:type="dxa"/>
            <w:tcBorders>
              <w:top w:val="nil"/>
              <w:left w:val="nil"/>
              <w:bottom w:val="nil"/>
              <w:right w:val="nil"/>
            </w:tcBorders>
            <w:shd w:val="clear" w:color="000000" w:fill="FFFFFF"/>
            <w:vAlign w:val="center"/>
            <w:hideMark/>
          </w:tcPr>
          <w:p w14:paraId="737007F2"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LowC(3.2e-3±6.3e-3)</w:t>
            </w:r>
          </w:p>
        </w:tc>
        <w:tc>
          <w:tcPr>
            <w:tcW w:w="1264" w:type="dxa"/>
            <w:tcBorders>
              <w:top w:val="nil"/>
              <w:left w:val="nil"/>
              <w:bottom w:val="nil"/>
              <w:right w:val="nil"/>
            </w:tcBorders>
            <w:shd w:val="clear" w:color="000000" w:fill="FFFFFF"/>
            <w:vAlign w:val="center"/>
            <w:hideMark/>
          </w:tcPr>
          <w:p w14:paraId="2BEDB4AB"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0.29</w:t>
            </w:r>
          </w:p>
        </w:tc>
        <w:tc>
          <w:tcPr>
            <w:tcW w:w="1276" w:type="dxa"/>
            <w:vMerge/>
            <w:tcBorders>
              <w:top w:val="nil"/>
              <w:left w:val="nil"/>
              <w:bottom w:val="nil"/>
              <w:right w:val="nil"/>
            </w:tcBorders>
            <w:vAlign w:val="center"/>
            <w:hideMark/>
          </w:tcPr>
          <w:p w14:paraId="5938D15F"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5D70A906" w14:textId="77777777" w:rsidTr="007E1E4E">
        <w:trPr>
          <w:trHeight w:val="561"/>
        </w:trPr>
        <w:tc>
          <w:tcPr>
            <w:tcW w:w="1544" w:type="dxa"/>
            <w:vMerge/>
            <w:tcBorders>
              <w:top w:val="nil"/>
              <w:left w:val="nil"/>
              <w:bottom w:val="nil"/>
              <w:right w:val="nil"/>
            </w:tcBorders>
            <w:vAlign w:val="center"/>
            <w:hideMark/>
          </w:tcPr>
          <w:p w14:paraId="69ADF363"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515F1F6A"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PresC(0.01±0.03)</w:t>
            </w:r>
          </w:p>
        </w:tc>
        <w:tc>
          <w:tcPr>
            <w:tcW w:w="2778" w:type="dxa"/>
            <w:tcBorders>
              <w:top w:val="nil"/>
              <w:left w:val="nil"/>
              <w:bottom w:val="nil"/>
              <w:right w:val="nil"/>
            </w:tcBorders>
            <w:shd w:val="clear" w:color="000000" w:fill="FFFFFF"/>
            <w:vAlign w:val="center"/>
            <w:hideMark/>
          </w:tcPr>
          <w:p w14:paraId="4945086A"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LowC(3.2e-3±6.3e-3)</w:t>
            </w:r>
          </w:p>
        </w:tc>
        <w:tc>
          <w:tcPr>
            <w:tcW w:w="1264" w:type="dxa"/>
            <w:tcBorders>
              <w:top w:val="nil"/>
              <w:left w:val="nil"/>
              <w:bottom w:val="nil"/>
              <w:right w:val="nil"/>
            </w:tcBorders>
            <w:shd w:val="clear" w:color="000000" w:fill="FFFFFF"/>
            <w:vAlign w:val="center"/>
            <w:hideMark/>
          </w:tcPr>
          <w:p w14:paraId="78609B5A"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0.94</w:t>
            </w:r>
          </w:p>
        </w:tc>
        <w:tc>
          <w:tcPr>
            <w:tcW w:w="1276" w:type="dxa"/>
            <w:vMerge/>
            <w:tcBorders>
              <w:top w:val="nil"/>
              <w:left w:val="nil"/>
              <w:bottom w:val="nil"/>
              <w:right w:val="nil"/>
            </w:tcBorders>
            <w:vAlign w:val="center"/>
            <w:hideMark/>
          </w:tcPr>
          <w:p w14:paraId="2D34CB86"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220C00F8" w14:textId="77777777" w:rsidTr="007E1E4E">
        <w:trPr>
          <w:trHeight w:val="561"/>
        </w:trPr>
        <w:tc>
          <w:tcPr>
            <w:tcW w:w="1544" w:type="dxa"/>
            <w:vMerge w:val="restart"/>
            <w:tcBorders>
              <w:top w:val="nil"/>
              <w:left w:val="nil"/>
              <w:bottom w:val="nil"/>
              <w:right w:val="nil"/>
            </w:tcBorders>
            <w:shd w:val="clear" w:color="000000" w:fill="FFFFFF"/>
            <w:vAlign w:val="center"/>
            <w:hideMark/>
          </w:tcPr>
          <w:p w14:paraId="461120BF"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r w:rsidRPr="00CB75A4">
              <w:rPr>
                <w:rFonts w:ascii="Arial" w:hAnsi="Arial" w:cs="Arial"/>
                <w:b/>
                <w:bCs/>
                <w:color w:val="000000" w:themeColor="text1"/>
                <w:kern w:val="0"/>
                <w:sz w:val="18"/>
                <w:szCs w:val="18"/>
              </w:rPr>
              <w:t>T cells CD4 memory resting</w:t>
            </w:r>
          </w:p>
        </w:tc>
        <w:tc>
          <w:tcPr>
            <w:tcW w:w="2778" w:type="dxa"/>
            <w:tcBorders>
              <w:top w:val="nil"/>
              <w:left w:val="nil"/>
              <w:bottom w:val="nil"/>
              <w:right w:val="nil"/>
            </w:tcBorders>
            <w:shd w:val="clear" w:color="000000" w:fill="FFFFFF"/>
            <w:vAlign w:val="center"/>
            <w:hideMark/>
          </w:tcPr>
          <w:p w14:paraId="1A2229DD"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HC(0.03±0.02)</w:t>
            </w:r>
          </w:p>
        </w:tc>
        <w:tc>
          <w:tcPr>
            <w:tcW w:w="2778" w:type="dxa"/>
            <w:tcBorders>
              <w:top w:val="nil"/>
              <w:left w:val="nil"/>
              <w:bottom w:val="nil"/>
              <w:right w:val="nil"/>
            </w:tcBorders>
            <w:shd w:val="clear" w:color="000000" w:fill="FFFFFF"/>
            <w:vAlign w:val="center"/>
            <w:hideMark/>
          </w:tcPr>
          <w:p w14:paraId="2BACBB09"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PresC(0.07±0.03)</w:t>
            </w:r>
          </w:p>
        </w:tc>
        <w:tc>
          <w:tcPr>
            <w:tcW w:w="1264" w:type="dxa"/>
            <w:tcBorders>
              <w:top w:val="nil"/>
              <w:left w:val="nil"/>
              <w:bottom w:val="nil"/>
              <w:right w:val="nil"/>
            </w:tcBorders>
            <w:shd w:val="clear" w:color="000000" w:fill="FFFFFF"/>
            <w:vAlign w:val="center"/>
            <w:hideMark/>
          </w:tcPr>
          <w:p w14:paraId="1C900125"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0.02</w:t>
            </w:r>
          </w:p>
        </w:tc>
        <w:tc>
          <w:tcPr>
            <w:tcW w:w="1276" w:type="dxa"/>
            <w:vMerge w:val="restart"/>
            <w:tcBorders>
              <w:top w:val="nil"/>
              <w:left w:val="nil"/>
              <w:bottom w:val="nil"/>
              <w:right w:val="nil"/>
            </w:tcBorders>
            <w:shd w:val="clear" w:color="000000" w:fill="FFFFFF"/>
            <w:vAlign w:val="center"/>
            <w:hideMark/>
          </w:tcPr>
          <w:p w14:paraId="5B8896BF"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8.90E-04</w:t>
            </w:r>
          </w:p>
        </w:tc>
      </w:tr>
      <w:tr w:rsidR="00CB75A4" w:rsidRPr="00CB75A4" w14:paraId="3E15CBC6" w14:textId="77777777" w:rsidTr="007E1E4E">
        <w:trPr>
          <w:trHeight w:val="561"/>
        </w:trPr>
        <w:tc>
          <w:tcPr>
            <w:tcW w:w="1544" w:type="dxa"/>
            <w:vMerge/>
            <w:tcBorders>
              <w:top w:val="nil"/>
              <w:left w:val="nil"/>
              <w:bottom w:val="nil"/>
              <w:right w:val="nil"/>
            </w:tcBorders>
            <w:vAlign w:val="center"/>
            <w:hideMark/>
          </w:tcPr>
          <w:p w14:paraId="418DECEE"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7CC74132"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HC(0.03±0.02)</w:t>
            </w:r>
          </w:p>
        </w:tc>
        <w:tc>
          <w:tcPr>
            <w:tcW w:w="2778" w:type="dxa"/>
            <w:tcBorders>
              <w:top w:val="nil"/>
              <w:left w:val="nil"/>
              <w:bottom w:val="nil"/>
              <w:right w:val="nil"/>
            </w:tcBorders>
            <w:shd w:val="clear" w:color="000000" w:fill="FFFFFF"/>
            <w:vAlign w:val="center"/>
            <w:hideMark/>
          </w:tcPr>
          <w:p w14:paraId="031D1A19"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LowC(0.12±0.04)</w:t>
            </w:r>
          </w:p>
        </w:tc>
        <w:tc>
          <w:tcPr>
            <w:tcW w:w="1264" w:type="dxa"/>
            <w:tcBorders>
              <w:top w:val="nil"/>
              <w:left w:val="nil"/>
              <w:bottom w:val="nil"/>
              <w:right w:val="nil"/>
            </w:tcBorders>
            <w:shd w:val="clear" w:color="000000" w:fill="FFFFFF"/>
            <w:vAlign w:val="center"/>
            <w:hideMark/>
          </w:tcPr>
          <w:p w14:paraId="0E7ED92C"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5.80E-04</w:t>
            </w:r>
          </w:p>
        </w:tc>
        <w:tc>
          <w:tcPr>
            <w:tcW w:w="1276" w:type="dxa"/>
            <w:vMerge/>
            <w:tcBorders>
              <w:top w:val="nil"/>
              <w:left w:val="nil"/>
              <w:bottom w:val="nil"/>
              <w:right w:val="nil"/>
            </w:tcBorders>
            <w:vAlign w:val="center"/>
            <w:hideMark/>
          </w:tcPr>
          <w:p w14:paraId="335E2748"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06222883" w14:textId="77777777" w:rsidTr="007E1E4E">
        <w:trPr>
          <w:trHeight w:val="561"/>
        </w:trPr>
        <w:tc>
          <w:tcPr>
            <w:tcW w:w="1544" w:type="dxa"/>
            <w:vMerge/>
            <w:tcBorders>
              <w:top w:val="nil"/>
              <w:left w:val="nil"/>
              <w:bottom w:val="nil"/>
              <w:right w:val="nil"/>
            </w:tcBorders>
            <w:vAlign w:val="center"/>
            <w:hideMark/>
          </w:tcPr>
          <w:p w14:paraId="653743DE"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14338CCB"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PresC(0.07±0.03)</w:t>
            </w:r>
          </w:p>
        </w:tc>
        <w:tc>
          <w:tcPr>
            <w:tcW w:w="2778" w:type="dxa"/>
            <w:tcBorders>
              <w:top w:val="nil"/>
              <w:left w:val="nil"/>
              <w:bottom w:val="nil"/>
              <w:right w:val="nil"/>
            </w:tcBorders>
            <w:shd w:val="clear" w:color="000000" w:fill="FFFFFF"/>
            <w:vAlign w:val="center"/>
            <w:hideMark/>
          </w:tcPr>
          <w:p w14:paraId="18AD05DD"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LowC(0.12±0.04)</w:t>
            </w:r>
          </w:p>
        </w:tc>
        <w:tc>
          <w:tcPr>
            <w:tcW w:w="1264" w:type="dxa"/>
            <w:tcBorders>
              <w:top w:val="nil"/>
              <w:left w:val="nil"/>
              <w:bottom w:val="nil"/>
              <w:right w:val="nil"/>
            </w:tcBorders>
            <w:shd w:val="clear" w:color="000000" w:fill="FFFFFF"/>
            <w:vAlign w:val="center"/>
            <w:hideMark/>
          </w:tcPr>
          <w:p w14:paraId="40C6B904"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0.01</w:t>
            </w:r>
          </w:p>
        </w:tc>
        <w:tc>
          <w:tcPr>
            <w:tcW w:w="1276" w:type="dxa"/>
            <w:vMerge/>
            <w:tcBorders>
              <w:top w:val="nil"/>
              <w:left w:val="nil"/>
              <w:bottom w:val="nil"/>
              <w:right w:val="nil"/>
            </w:tcBorders>
            <w:vAlign w:val="center"/>
            <w:hideMark/>
          </w:tcPr>
          <w:p w14:paraId="22B49E1B"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3ADD4304" w14:textId="77777777" w:rsidTr="007E1E4E">
        <w:trPr>
          <w:trHeight w:val="561"/>
        </w:trPr>
        <w:tc>
          <w:tcPr>
            <w:tcW w:w="1544" w:type="dxa"/>
            <w:vMerge w:val="restart"/>
            <w:tcBorders>
              <w:top w:val="nil"/>
              <w:left w:val="nil"/>
              <w:bottom w:val="nil"/>
              <w:right w:val="nil"/>
            </w:tcBorders>
            <w:shd w:val="clear" w:color="000000" w:fill="FFFFFF"/>
            <w:vAlign w:val="center"/>
            <w:hideMark/>
          </w:tcPr>
          <w:p w14:paraId="6778CDA1"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r w:rsidRPr="00CB75A4">
              <w:rPr>
                <w:rFonts w:ascii="Arial" w:hAnsi="Arial" w:cs="Arial"/>
                <w:b/>
                <w:bCs/>
                <w:color w:val="000000" w:themeColor="text1"/>
                <w:kern w:val="0"/>
                <w:sz w:val="18"/>
                <w:szCs w:val="18"/>
              </w:rPr>
              <w:t>T cells CD4 memory activated</w:t>
            </w:r>
          </w:p>
        </w:tc>
        <w:tc>
          <w:tcPr>
            <w:tcW w:w="2778" w:type="dxa"/>
            <w:tcBorders>
              <w:top w:val="nil"/>
              <w:left w:val="nil"/>
              <w:bottom w:val="nil"/>
              <w:right w:val="nil"/>
            </w:tcBorders>
            <w:shd w:val="clear" w:color="000000" w:fill="FFFFFF"/>
            <w:vAlign w:val="center"/>
            <w:hideMark/>
          </w:tcPr>
          <w:p w14:paraId="2075817E"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HC(0.04±0.02)</w:t>
            </w:r>
          </w:p>
        </w:tc>
        <w:tc>
          <w:tcPr>
            <w:tcW w:w="2778" w:type="dxa"/>
            <w:tcBorders>
              <w:top w:val="nil"/>
              <w:left w:val="nil"/>
              <w:bottom w:val="nil"/>
              <w:right w:val="nil"/>
            </w:tcBorders>
            <w:shd w:val="clear" w:color="000000" w:fill="FFFFFF"/>
            <w:vAlign w:val="center"/>
            <w:hideMark/>
          </w:tcPr>
          <w:p w14:paraId="56F576BE"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PresC(9.8e-3±9.3e-3)</w:t>
            </w:r>
          </w:p>
        </w:tc>
        <w:tc>
          <w:tcPr>
            <w:tcW w:w="1264" w:type="dxa"/>
            <w:tcBorders>
              <w:top w:val="nil"/>
              <w:left w:val="nil"/>
              <w:bottom w:val="nil"/>
              <w:right w:val="nil"/>
            </w:tcBorders>
            <w:shd w:val="clear" w:color="000000" w:fill="FFFFFF"/>
            <w:vAlign w:val="center"/>
            <w:hideMark/>
          </w:tcPr>
          <w:p w14:paraId="21D94B2A"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7.20E-03</w:t>
            </w:r>
          </w:p>
        </w:tc>
        <w:tc>
          <w:tcPr>
            <w:tcW w:w="1276" w:type="dxa"/>
            <w:vMerge w:val="restart"/>
            <w:tcBorders>
              <w:top w:val="nil"/>
              <w:left w:val="nil"/>
              <w:bottom w:val="nil"/>
              <w:right w:val="nil"/>
            </w:tcBorders>
            <w:shd w:val="clear" w:color="000000" w:fill="FFFFFF"/>
            <w:vAlign w:val="center"/>
            <w:hideMark/>
          </w:tcPr>
          <w:p w14:paraId="28255291"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0.01</w:t>
            </w:r>
          </w:p>
        </w:tc>
      </w:tr>
      <w:tr w:rsidR="00CB75A4" w:rsidRPr="00CB75A4" w14:paraId="0E577458" w14:textId="77777777" w:rsidTr="007E1E4E">
        <w:trPr>
          <w:trHeight w:val="561"/>
        </w:trPr>
        <w:tc>
          <w:tcPr>
            <w:tcW w:w="1544" w:type="dxa"/>
            <w:vMerge/>
            <w:tcBorders>
              <w:top w:val="nil"/>
              <w:left w:val="nil"/>
              <w:bottom w:val="nil"/>
              <w:right w:val="nil"/>
            </w:tcBorders>
            <w:vAlign w:val="center"/>
            <w:hideMark/>
          </w:tcPr>
          <w:p w14:paraId="5560CF16"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7DF568A3"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HC(0.04±0.02)</w:t>
            </w:r>
          </w:p>
        </w:tc>
        <w:tc>
          <w:tcPr>
            <w:tcW w:w="2778" w:type="dxa"/>
            <w:tcBorders>
              <w:top w:val="nil"/>
              <w:left w:val="nil"/>
              <w:bottom w:val="nil"/>
              <w:right w:val="nil"/>
            </w:tcBorders>
            <w:shd w:val="clear" w:color="000000" w:fill="FFFFFF"/>
            <w:vAlign w:val="center"/>
            <w:hideMark/>
          </w:tcPr>
          <w:p w14:paraId="4ABC39C3"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LowC(0.02±0.02)</w:t>
            </w:r>
          </w:p>
        </w:tc>
        <w:tc>
          <w:tcPr>
            <w:tcW w:w="1264" w:type="dxa"/>
            <w:tcBorders>
              <w:top w:val="nil"/>
              <w:left w:val="nil"/>
              <w:bottom w:val="nil"/>
              <w:right w:val="nil"/>
            </w:tcBorders>
            <w:shd w:val="clear" w:color="000000" w:fill="FFFFFF"/>
            <w:vAlign w:val="center"/>
            <w:hideMark/>
          </w:tcPr>
          <w:p w14:paraId="3200D41E"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0.03</w:t>
            </w:r>
          </w:p>
        </w:tc>
        <w:tc>
          <w:tcPr>
            <w:tcW w:w="1276" w:type="dxa"/>
            <w:vMerge/>
            <w:tcBorders>
              <w:top w:val="nil"/>
              <w:left w:val="nil"/>
              <w:bottom w:val="nil"/>
              <w:right w:val="nil"/>
            </w:tcBorders>
            <w:vAlign w:val="center"/>
            <w:hideMark/>
          </w:tcPr>
          <w:p w14:paraId="64D65A6A"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52BE2B4B" w14:textId="77777777" w:rsidTr="007E1E4E">
        <w:trPr>
          <w:trHeight w:val="561"/>
        </w:trPr>
        <w:tc>
          <w:tcPr>
            <w:tcW w:w="1544" w:type="dxa"/>
            <w:vMerge/>
            <w:tcBorders>
              <w:top w:val="nil"/>
              <w:left w:val="nil"/>
              <w:bottom w:val="nil"/>
              <w:right w:val="nil"/>
            </w:tcBorders>
            <w:vAlign w:val="center"/>
            <w:hideMark/>
          </w:tcPr>
          <w:p w14:paraId="4C1713A8"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2C59FD02"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PresC(9.8e-3±9.3e-3)</w:t>
            </w:r>
          </w:p>
        </w:tc>
        <w:tc>
          <w:tcPr>
            <w:tcW w:w="2778" w:type="dxa"/>
            <w:tcBorders>
              <w:top w:val="nil"/>
              <w:left w:val="nil"/>
              <w:bottom w:val="nil"/>
              <w:right w:val="nil"/>
            </w:tcBorders>
            <w:shd w:val="clear" w:color="000000" w:fill="FFFFFF"/>
            <w:vAlign w:val="center"/>
            <w:hideMark/>
          </w:tcPr>
          <w:p w14:paraId="134BFB90"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LowC(0.02±0.02)</w:t>
            </w:r>
          </w:p>
        </w:tc>
        <w:tc>
          <w:tcPr>
            <w:tcW w:w="1264" w:type="dxa"/>
            <w:tcBorders>
              <w:top w:val="nil"/>
              <w:left w:val="nil"/>
              <w:bottom w:val="nil"/>
              <w:right w:val="nil"/>
            </w:tcBorders>
            <w:shd w:val="clear" w:color="000000" w:fill="FFFFFF"/>
            <w:vAlign w:val="center"/>
            <w:hideMark/>
          </w:tcPr>
          <w:p w14:paraId="64FE81E0"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0.61</w:t>
            </w:r>
          </w:p>
        </w:tc>
        <w:tc>
          <w:tcPr>
            <w:tcW w:w="1276" w:type="dxa"/>
            <w:vMerge/>
            <w:tcBorders>
              <w:top w:val="nil"/>
              <w:left w:val="nil"/>
              <w:bottom w:val="nil"/>
              <w:right w:val="nil"/>
            </w:tcBorders>
            <w:vAlign w:val="center"/>
            <w:hideMark/>
          </w:tcPr>
          <w:p w14:paraId="12C961EB"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5AC99752" w14:textId="77777777" w:rsidTr="007E1E4E">
        <w:trPr>
          <w:trHeight w:val="561"/>
        </w:trPr>
        <w:tc>
          <w:tcPr>
            <w:tcW w:w="1544" w:type="dxa"/>
            <w:vMerge w:val="restart"/>
            <w:tcBorders>
              <w:top w:val="nil"/>
              <w:left w:val="nil"/>
              <w:bottom w:val="nil"/>
              <w:right w:val="nil"/>
            </w:tcBorders>
            <w:shd w:val="clear" w:color="000000" w:fill="FFFFFF"/>
            <w:vAlign w:val="center"/>
            <w:hideMark/>
          </w:tcPr>
          <w:p w14:paraId="648FBB8E"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r w:rsidRPr="00CB75A4">
              <w:rPr>
                <w:rFonts w:ascii="Arial" w:hAnsi="Arial" w:cs="Arial"/>
                <w:b/>
                <w:bCs/>
                <w:color w:val="000000" w:themeColor="text1"/>
                <w:kern w:val="0"/>
                <w:sz w:val="18"/>
                <w:szCs w:val="18"/>
              </w:rPr>
              <w:t>T cells follicular helper</w:t>
            </w:r>
          </w:p>
        </w:tc>
        <w:tc>
          <w:tcPr>
            <w:tcW w:w="2778" w:type="dxa"/>
            <w:tcBorders>
              <w:top w:val="nil"/>
              <w:left w:val="nil"/>
              <w:bottom w:val="nil"/>
              <w:right w:val="nil"/>
            </w:tcBorders>
            <w:shd w:val="clear" w:color="000000" w:fill="FFFFFF"/>
            <w:vAlign w:val="center"/>
            <w:hideMark/>
          </w:tcPr>
          <w:p w14:paraId="791B1238"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HC(2.4e-3±6.4e-3)</w:t>
            </w:r>
          </w:p>
        </w:tc>
        <w:tc>
          <w:tcPr>
            <w:tcW w:w="2778" w:type="dxa"/>
            <w:tcBorders>
              <w:top w:val="nil"/>
              <w:left w:val="nil"/>
              <w:bottom w:val="nil"/>
              <w:right w:val="nil"/>
            </w:tcBorders>
            <w:shd w:val="clear" w:color="000000" w:fill="FFFFFF"/>
            <w:vAlign w:val="center"/>
            <w:hideMark/>
          </w:tcPr>
          <w:p w14:paraId="1E96F42B"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PresC(8.4e-3±8.4e-3)</w:t>
            </w:r>
          </w:p>
        </w:tc>
        <w:tc>
          <w:tcPr>
            <w:tcW w:w="1264" w:type="dxa"/>
            <w:tcBorders>
              <w:top w:val="nil"/>
              <w:left w:val="nil"/>
              <w:bottom w:val="nil"/>
              <w:right w:val="nil"/>
            </w:tcBorders>
            <w:shd w:val="clear" w:color="000000" w:fill="FFFFFF"/>
            <w:vAlign w:val="center"/>
            <w:hideMark/>
          </w:tcPr>
          <w:p w14:paraId="2021D8FC"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0.14</w:t>
            </w:r>
          </w:p>
        </w:tc>
        <w:tc>
          <w:tcPr>
            <w:tcW w:w="1276" w:type="dxa"/>
            <w:vMerge w:val="restart"/>
            <w:tcBorders>
              <w:top w:val="nil"/>
              <w:left w:val="nil"/>
              <w:bottom w:val="nil"/>
              <w:right w:val="nil"/>
            </w:tcBorders>
            <w:shd w:val="clear" w:color="000000" w:fill="FFFFFF"/>
            <w:vAlign w:val="center"/>
            <w:hideMark/>
          </w:tcPr>
          <w:p w14:paraId="4D8DFA56"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0.1</w:t>
            </w:r>
          </w:p>
        </w:tc>
      </w:tr>
      <w:tr w:rsidR="00CB75A4" w:rsidRPr="00CB75A4" w14:paraId="6F4E089C" w14:textId="77777777" w:rsidTr="007E1E4E">
        <w:trPr>
          <w:trHeight w:val="561"/>
        </w:trPr>
        <w:tc>
          <w:tcPr>
            <w:tcW w:w="1544" w:type="dxa"/>
            <w:vMerge/>
            <w:tcBorders>
              <w:top w:val="nil"/>
              <w:left w:val="nil"/>
              <w:bottom w:val="nil"/>
              <w:right w:val="nil"/>
            </w:tcBorders>
            <w:vAlign w:val="center"/>
            <w:hideMark/>
          </w:tcPr>
          <w:p w14:paraId="02BF1C14"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78A4E555"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HC(2.4e-3±6.4e-3)</w:t>
            </w:r>
          </w:p>
        </w:tc>
        <w:tc>
          <w:tcPr>
            <w:tcW w:w="2778" w:type="dxa"/>
            <w:tcBorders>
              <w:top w:val="nil"/>
              <w:left w:val="nil"/>
              <w:bottom w:val="nil"/>
              <w:right w:val="nil"/>
            </w:tcBorders>
            <w:shd w:val="clear" w:color="000000" w:fill="FFFFFF"/>
            <w:vAlign w:val="center"/>
            <w:hideMark/>
          </w:tcPr>
          <w:p w14:paraId="68FEE551"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LowC(6.1e-4±1.6e-3)</w:t>
            </w:r>
          </w:p>
        </w:tc>
        <w:tc>
          <w:tcPr>
            <w:tcW w:w="1264" w:type="dxa"/>
            <w:tcBorders>
              <w:top w:val="nil"/>
              <w:left w:val="nil"/>
              <w:bottom w:val="nil"/>
              <w:right w:val="nil"/>
            </w:tcBorders>
            <w:shd w:val="clear" w:color="000000" w:fill="FFFFFF"/>
            <w:vAlign w:val="center"/>
            <w:hideMark/>
          </w:tcPr>
          <w:p w14:paraId="15B03383"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1</w:t>
            </w:r>
          </w:p>
        </w:tc>
        <w:tc>
          <w:tcPr>
            <w:tcW w:w="1276" w:type="dxa"/>
            <w:vMerge/>
            <w:tcBorders>
              <w:top w:val="nil"/>
              <w:left w:val="nil"/>
              <w:bottom w:val="nil"/>
              <w:right w:val="nil"/>
            </w:tcBorders>
            <w:vAlign w:val="center"/>
            <w:hideMark/>
          </w:tcPr>
          <w:p w14:paraId="23B4EF53"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412DC1C7" w14:textId="77777777" w:rsidTr="007E1E4E">
        <w:trPr>
          <w:trHeight w:val="561"/>
        </w:trPr>
        <w:tc>
          <w:tcPr>
            <w:tcW w:w="1544" w:type="dxa"/>
            <w:vMerge/>
            <w:tcBorders>
              <w:top w:val="nil"/>
              <w:left w:val="nil"/>
              <w:bottom w:val="nil"/>
              <w:right w:val="nil"/>
            </w:tcBorders>
            <w:vAlign w:val="center"/>
            <w:hideMark/>
          </w:tcPr>
          <w:p w14:paraId="1FAD3120"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52425431"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PresC(8.4e-3±8.4e-3)</w:t>
            </w:r>
          </w:p>
        </w:tc>
        <w:tc>
          <w:tcPr>
            <w:tcW w:w="2778" w:type="dxa"/>
            <w:tcBorders>
              <w:top w:val="nil"/>
              <w:left w:val="nil"/>
              <w:bottom w:val="nil"/>
              <w:right w:val="nil"/>
            </w:tcBorders>
            <w:shd w:val="clear" w:color="000000" w:fill="FFFFFF"/>
            <w:vAlign w:val="center"/>
            <w:hideMark/>
          </w:tcPr>
          <w:p w14:paraId="55A4C526"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LowC(6.1e-4±1.6e-3)</w:t>
            </w:r>
          </w:p>
        </w:tc>
        <w:tc>
          <w:tcPr>
            <w:tcW w:w="1264" w:type="dxa"/>
            <w:tcBorders>
              <w:top w:val="nil"/>
              <w:left w:val="nil"/>
              <w:bottom w:val="nil"/>
              <w:right w:val="nil"/>
            </w:tcBorders>
            <w:shd w:val="clear" w:color="000000" w:fill="FFFFFF"/>
            <w:vAlign w:val="center"/>
            <w:hideMark/>
          </w:tcPr>
          <w:p w14:paraId="2D2C2B7B"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0.07</w:t>
            </w:r>
          </w:p>
        </w:tc>
        <w:tc>
          <w:tcPr>
            <w:tcW w:w="1276" w:type="dxa"/>
            <w:vMerge/>
            <w:tcBorders>
              <w:top w:val="nil"/>
              <w:left w:val="nil"/>
              <w:bottom w:val="nil"/>
              <w:right w:val="nil"/>
            </w:tcBorders>
            <w:vAlign w:val="center"/>
            <w:hideMark/>
          </w:tcPr>
          <w:p w14:paraId="128CDE03"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572D9C1C" w14:textId="77777777" w:rsidTr="007E1E4E">
        <w:trPr>
          <w:trHeight w:val="561"/>
        </w:trPr>
        <w:tc>
          <w:tcPr>
            <w:tcW w:w="1544" w:type="dxa"/>
            <w:vMerge w:val="restart"/>
            <w:tcBorders>
              <w:top w:val="nil"/>
              <w:left w:val="nil"/>
              <w:bottom w:val="nil"/>
              <w:right w:val="nil"/>
            </w:tcBorders>
            <w:shd w:val="clear" w:color="000000" w:fill="FFFFFF"/>
            <w:vAlign w:val="center"/>
            <w:hideMark/>
          </w:tcPr>
          <w:p w14:paraId="136FBAF9"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r w:rsidRPr="00CB75A4">
              <w:rPr>
                <w:rFonts w:ascii="Arial" w:hAnsi="Arial" w:cs="Arial"/>
                <w:b/>
                <w:bCs/>
                <w:color w:val="000000" w:themeColor="text1"/>
                <w:kern w:val="0"/>
                <w:sz w:val="18"/>
                <w:szCs w:val="18"/>
              </w:rPr>
              <w:t>T cells regulatory (Tregs)</w:t>
            </w:r>
          </w:p>
        </w:tc>
        <w:tc>
          <w:tcPr>
            <w:tcW w:w="2778" w:type="dxa"/>
            <w:tcBorders>
              <w:top w:val="nil"/>
              <w:left w:val="nil"/>
              <w:bottom w:val="nil"/>
              <w:right w:val="nil"/>
            </w:tcBorders>
            <w:shd w:val="clear" w:color="000000" w:fill="FFFFFF"/>
            <w:vAlign w:val="center"/>
            <w:hideMark/>
          </w:tcPr>
          <w:p w14:paraId="4064A777"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HC(0.02±0.02)</w:t>
            </w:r>
          </w:p>
        </w:tc>
        <w:tc>
          <w:tcPr>
            <w:tcW w:w="2778" w:type="dxa"/>
            <w:tcBorders>
              <w:top w:val="nil"/>
              <w:left w:val="nil"/>
              <w:bottom w:val="nil"/>
              <w:right w:val="nil"/>
            </w:tcBorders>
            <w:shd w:val="clear" w:color="000000" w:fill="FFFFFF"/>
            <w:vAlign w:val="center"/>
            <w:hideMark/>
          </w:tcPr>
          <w:p w14:paraId="7079653B"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PresC(4.3e-3±7.2e-3)</w:t>
            </w:r>
          </w:p>
        </w:tc>
        <w:tc>
          <w:tcPr>
            <w:tcW w:w="1264" w:type="dxa"/>
            <w:tcBorders>
              <w:top w:val="nil"/>
              <w:left w:val="nil"/>
              <w:bottom w:val="nil"/>
              <w:right w:val="nil"/>
            </w:tcBorders>
            <w:shd w:val="clear" w:color="000000" w:fill="FFFFFF"/>
            <w:vAlign w:val="center"/>
            <w:hideMark/>
          </w:tcPr>
          <w:p w14:paraId="7C2D82F0"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0.03</w:t>
            </w:r>
          </w:p>
        </w:tc>
        <w:tc>
          <w:tcPr>
            <w:tcW w:w="1276" w:type="dxa"/>
            <w:vMerge w:val="restart"/>
            <w:tcBorders>
              <w:top w:val="nil"/>
              <w:left w:val="nil"/>
              <w:bottom w:val="nil"/>
              <w:right w:val="nil"/>
            </w:tcBorders>
            <w:shd w:val="clear" w:color="000000" w:fill="FFFFFF"/>
            <w:vAlign w:val="center"/>
            <w:hideMark/>
          </w:tcPr>
          <w:p w14:paraId="790530CA"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0.03</w:t>
            </w:r>
          </w:p>
        </w:tc>
      </w:tr>
      <w:tr w:rsidR="00CB75A4" w:rsidRPr="00CB75A4" w14:paraId="70E1FC1E" w14:textId="77777777" w:rsidTr="007E1E4E">
        <w:trPr>
          <w:trHeight w:val="561"/>
        </w:trPr>
        <w:tc>
          <w:tcPr>
            <w:tcW w:w="1544" w:type="dxa"/>
            <w:vMerge/>
            <w:tcBorders>
              <w:top w:val="nil"/>
              <w:left w:val="nil"/>
              <w:bottom w:val="nil"/>
              <w:right w:val="nil"/>
            </w:tcBorders>
            <w:vAlign w:val="center"/>
            <w:hideMark/>
          </w:tcPr>
          <w:p w14:paraId="0BCAB937"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7B301AB0"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HC(0.02±0.02)</w:t>
            </w:r>
          </w:p>
        </w:tc>
        <w:tc>
          <w:tcPr>
            <w:tcW w:w="2778" w:type="dxa"/>
            <w:tcBorders>
              <w:top w:val="nil"/>
              <w:left w:val="nil"/>
              <w:bottom w:val="nil"/>
              <w:right w:val="nil"/>
            </w:tcBorders>
            <w:shd w:val="clear" w:color="000000" w:fill="FFFFFF"/>
            <w:vAlign w:val="center"/>
            <w:hideMark/>
          </w:tcPr>
          <w:p w14:paraId="7F7CDC7A"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LowC(5.0e-3±7.3e-3)</w:t>
            </w:r>
          </w:p>
        </w:tc>
        <w:tc>
          <w:tcPr>
            <w:tcW w:w="1264" w:type="dxa"/>
            <w:tcBorders>
              <w:top w:val="nil"/>
              <w:left w:val="nil"/>
              <w:bottom w:val="nil"/>
              <w:right w:val="nil"/>
            </w:tcBorders>
            <w:shd w:val="clear" w:color="000000" w:fill="FFFFFF"/>
            <w:vAlign w:val="center"/>
            <w:hideMark/>
          </w:tcPr>
          <w:p w14:paraId="74232EFA"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0.04</w:t>
            </w:r>
          </w:p>
        </w:tc>
        <w:tc>
          <w:tcPr>
            <w:tcW w:w="1276" w:type="dxa"/>
            <w:vMerge/>
            <w:tcBorders>
              <w:top w:val="nil"/>
              <w:left w:val="nil"/>
              <w:bottom w:val="nil"/>
              <w:right w:val="nil"/>
            </w:tcBorders>
            <w:vAlign w:val="center"/>
            <w:hideMark/>
          </w:tcPr>
          <w:p w14:paraId="04CE1400"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645FDCBC" w14:textId="77777777" w:rsidTr="007E1E4E">
        <w:trPr>
          <w:trHeight w:val="561"/>
        </w:trPr>
        <w:tc>
          <w:tcPr>
            <w:tcW w:w="1544" w:type="dxa"/>
            <w:vMerge/>
            <w:tcBorders>
              <w:top w:val="nil"/>
              <w:left w:val="nil"/>
              <w:bottom w:val="nil"/>
              <w:right w:val="nil"/>
            </w:tcBorders>
            <w:vAlign w:val="center"/>
            <w:hideMark/>
          </w:tcPr>
          <w:p w14:paraId="28920CFA"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060892E3"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PresC(4.3e-3±7.2e-3)</w:t>
            </w:r>
          </w:p>
        </w:tc>
        <w:tc>
          <w:tcPr>
            <w:tcW w:w="2778" w:type="dxa"/>
            <w:tcBorders>
              <w:top w:val="nil"/>
              <w:left w:val="nil"/>
              <w:bottom w:val="nil"/>
              <w:right w:val="nil"/>
            </w:tcBorders>
            <w:shd w:val="clear" w:color="000000" w:fill="FFFFFF"/>
            <w:vAlign w:val="center"/>
            <w:hideMark/>
          </w:tcPr>
          <w:p w14:paraId="11F7CD8F"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LowC(5.0e-3±7.3e-3)</w:t>
            </w:r>
          </w:p>
        </w:tc>
        <w:tc>
          <w:tcPr>
            <w:tcW w:w="1264" w:type="dxa"/>
            <w:tcBorders>
              <w:top w:val="nil"/>
              <w:left w:val="nil"/>
              <w:bottom w:val="nil"/>
              <w:right w:val="nil"/>
            </w:tcBorders>
            <w:shd w:val="clear" w:color="000000" w:fill="FFFFFF"/>
            <w:vAlign w:val="center"/>
            <w:hideMark/>
          </w:tcPr>
          <w:p w14:paraId="6A95982D"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0.89</w:t>
            </w:r>
          </w:p>
        </w:tc>
        <w:tc>
          <w:tcPr>
            <w:tcW w:w="1276" w:type="dxa"/>
            <w:vMerge/>
            <w:tcBorders>
              <w:top w:val="nil"/>
              <w:left w:val="nil"/>
              <w:bottom w:val="nil"/>
              <w:right w:val="nil"/>
            </w:tcBorders>
            <w:vAlign w:val="center"/>
            <w:hideMark/>
          </w:tcPr>
          <w:p w14:paraId="07FBDD27"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386EED0A" w14:textId="77777777" w:rsidTr="007E1E4E">
        <w:trPr>
          <w:trHeight w:val="561"/>
        </w:trPr>
        <w:tc>
          <w:tcPr>
            <w:tcW w:w="1544" w:type="dxa"/>
            <w:vMerge w:val="restart"/>
            <w:tcBorders>
              <w:top w:val="nil"/>
              <w:left w:val="nil"/>
              <w:bottom w:val="nil"/>
              <w:right w:val="nil"/>
            </w:tcBorders>
            <w:shd w:val="clear" w:color="000000" w:fill="FFFFFF"/>
            <w:vAlign w:val="center"/>
            <w:hideMark/>
          </w:tcPr>
          <w:p w14:paraId="4CA401A5"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r w:rsidRPr="00CB75A4">
              <w:rPr>
                <w:rFonts w:ascii="Arial" w:hAnsi="Arial" w:cs="Arial"/>
                <w:b/>
                <w:bCs/>
                <w:color w:val="000000" w:themeColor="text1"/>
                <w:kern w:val="0"/>
                <w:sz w:val="18"/>
                <w:szCs w:val="18"/>
              </w:rPr>
              <w:t>T cells gamma delta</w:t>
            </w:r>
          </w:p>
        </w:tc>
        <w:tc>
          <w:tcPr>
            <w:tcW w:w="2778" w:type="dxa"/>
            <w:tcBorders>
              <w:top w:val="nil"/>
              <w:left w:val="nil"/>
              <w:bottom w:val="nil"/>
              <w:right w:val="nil"/>
            </w:tcBorders>
            <w:shd w:val="clear" w:color="000000" w:fill="FFFFFF"/>
            <w:vAlign w:val="center"/>
            <w:hideMark/>
          </w:tcPr>
          <w:p w14:paraId="4ADFFF9E"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HC(0.0e+0±0.0e+0)</w:t>
            </w:r>
          </w:p>
        </w:tc>
        <w:tc>
          <w:tcPr>
            <w:tcW w:w="2778" w:type="dxa"/>
            <w:tcBorders>
              <w:top w:val="nil"/>
              <w:left w:val="nil"/>
              <w:bottom w:val="nil"/>
              <w:right w:val="nil"/>
            </w:tcBorders>
            <w:shd w:val="clear" w:color="000000" w:fill="FFFFFF"/>
            <w:vAlign w:val="center"/>
            <w:hideMark/>
          </w:tcPr>
          <w:p w14:paraId="0E5E20BA"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PresC(0.0e+0±0.0e+0)</w:t>
            </w:r>
          </w:p>
        </w:tc>
        <w:tc>
          <w:tcPr>
            <w:tcW w:w="1264" w:type="dxa"/>
            <w:tcBorders>
              <w:top w:val="nil"/>
              <w:left w:val="nil"/>
              <w:bottom w:val="nil"/>
              <w:right w:val="nil"/>
            </w:tcBorders>
            <w:shd w:val="clear" w:color="000000" w:fill="FFFFFF"/>
            <w:vAlign w:val="center"/>
            <w:hideMark/>
          </w:tcPr>
          <w:p w14:paraId="4C1A2842"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NA</w:t>
            </w:r>
          </w:p>
        </w:tc>
        <w:tc>
          <w:tcPr>
            <w:tcW w:w="1276" w:type="dxa"/>
            <w:vMerge w:val="restart"/>
            <w:tcBorders>
              <w:top w:val="nil"/>
              <w:left w:val="nil"/>
              <w:bottom w:val="nil"/>
              <w:right w:val="nil"/>
            </w:tcBorders>
            <w:shd w:val="clear" w:color="000000" w:fill="FFFFFF"/>
            <w:vAlign w:val="center"/>
            <w:hideMark/>
          </w:tcPr>
          <w:p w14:paraId="228737A8"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NA</w:t>
            </w:r>
          </w:p>
        </w:tc>
      </w:tr>
      <w:tr w:rsidR="00CB75A4" w:rsidRPr="00CB75A4" w14:paraId="6481BC15" w14:textId="77777777" w:rsidTr="007E1E4E">
        <w:trPr>
          <w:trHeight w:val="561"/>
        </w:trPr>
        <w:tc>
          <w:tcPr>
            <w:tcW w:w="1544" w:type="dxa"/>
            <w:vMerge/>
            <w:tcBorders>
              <w:top w:val="nil"/>
              <w:left w:val="nil"/>
              <w:bottom w:val="nil"/>
              <w:right w:val="nil"/>
            </w:tcBorders>
            <w:vAlign w:val="center"/>
            <w:hideMark/>
          </w:tcPr>
          <w:p w14:paraId="12887DA4"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1948AA5D"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HC(0.0e+0±0.0e+0)</w:t>
            </w:r>
          </w:p>
        </w:tc>
        <w:tc>
          <w:tcPr>
            <w:tcW w:w="2778" w:type="dxa"/>
            <w:tcBorders>
              <w:top w:val="nil"/>
              <w:left w:val="nil"/>
              <w:bottom w:val="nil"/>
              <w:right w:val="nil"/>
            </w:tcBorders>
            <w:shd w:val="clear" w:color="000000" w:fill="FFFFFF"/>
            <w:vAlign w:val="center"/>
            <w:hideMark/>
          </w:tcPr>
          <w:p w14:paraId="13BC6497"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LowC(0.0e+0±0.0e+0)</w:t>
            </w:r>
          </w:p>
        </w:tc>
        <w:tc>
          <w:tcPr>
            <w:tcW w:w="1264" w:type="dxa"/>
            <w:tcBorders>
              <w:top w:val="nil"/>
              <w:left w:val="nil"/>
              <w:bottom w:val="nil"/>
              <w:right w:val="nil"/>
            </w:tcBorders>
            <w:shd w:val="clear" w:color="000000" w:fill="FFFFFF"/>
            <w:vAlign w:val="center"/>
            <w:hideMark/>
          </w:tcPr>
          <w:p w14:paraId="3D6BAE2D"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NA</w:t>
            </w:r>
          </w:p>
        </w:tc>
        <w:tc>
          <w:tcPr>
            <w:tcW w:w="1276" w:type="dxa"/>
            <w:vMerge/>
            <w:tcBorders>
              <w:top w:val="nil"/>
              <w:left w:val="nil"/>
              <w:bottom w:val="nil"/>
              <w:right w:val="nil"/>
            </w:tcBorders>
            <w:vAlign w:val="center"/>
            <w:hideMark/>
          </w:tcPr>
          <w:p w14:paraId="6705CC76"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21A25E1D" w14:textId="77777777" w:rsidTr="007E1E4E">
        <w:trPr>
          <w:trHeight w:val="561"/>
        </w:trPr>
        <w:tc>
          <w:tcPr>
            <w:tcW w:w="1544" w:type="dxa"/>
            <w:vMerge/>
            <w:tcBorders>
              <w:top w:val="nil"/>
              <w:left w:val="nil"/>
              <w:bottom w:val="nil"/>
              <w:right w:val="nil"/>
            </w:tcBorders>
            <w:vAlign w:val="center"/>
            <w:hideMark/>
          </w:tcPr>
          <w:p w14:paraId="60195D13"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48148DE0"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PresC(0.0e+0±0.0e+0)</w:t>
            </w:r>
          </w:p>
        </w:tc>
        <w:tc>
          <w:tcPr>
            <w:tcW w:w="2778" w:type="dxa"/>
            <w:tcBorders>
              <w:top w:val="nil"/>
              <w:left w:val="nil"/>
              <w:bottom w:val="nil"/>
              <w:right w:val="nil"/>
            </w:tcBorders>
            <w:shd w:val="clear" w:color="000000" w:fill="FFFFFF"/>
            <w:vAlign w:val="center"/>
            <w:hideMark/>
          </w:tcPr>
          <w:p w14:paraId="57939A66"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LowC(0.0e+0±0.0e+0)</w:t>
            </w:r>
          </w:p>
        </w:tc>
        <w:tc>
          <w:tcPr>
            <w:tcW w:w="1264" w:type="dxa"/>
            <w:tcBorders>
              <w:top w:val="nil"/>
              <w:left w:val="nil"/>
              <w:bottom w:val="nil"/>
              <w:right w:val="nil"/>
            </w:tcBorders>
            <w:shd w:val="clear" w:color="000000" w:fill="FFFFFF"/>
            <w:vAlign w:val="center"/>
            <w:hideMark/>
          </w:tcPr>
          <w:p w14:paraId="54971498"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NA</w:t>
            </w:r>
          </w:p>
        </w:tc>
        <w:tc>
          <w:tcPr>
            <w:tcW w:w="1276" w:type="dxa"/>
            <w:vMerge/>
            <w:tcBorders>
              <w:top w:val="nil"/>
              <w:left w:val="nil"/>
              <w:bottom w:val="nil"/>
              <w:right w:val="nil"/>
            </w:tcBorders>
            <w:vAlign w:val="center"/>
            <w:hideMark/>
          </w:tcPr>
          <w:p w14:paraId="42FDE761"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3B25D975" w14:textId="77777777" w:rsidTr="007E1E4E">
        <w:trPr>
          <w:trHeight w:val="561"/>
        </w:trPr>
        <w:tc>
          <w:tcPr>
            <w:tcW w:w="1544" w:type="dxa"/>
            <w:vMerge w:val="restart"/>
            <w:tcBorders>
              <w:top w:val="nil"/>
              <w:left w:val="nil"/>
              <w:bottom w:val="nil"/>
              <w:right w:val="nil"/>
            </w:tcBorders>
            <w:shd w:val="clear" w:color="000000" w:fill="FFFFFF"/>
            <w:vAlign w:val="center"/>
            <w:hideMark/>
          </w:tcPr>
          <w:p w14:paraId="6D014B42"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r w:rsidRPr="00CB75A4">
              <w:rPr>
                <w:rFonts w:ascii="Arial" w:hAnsi="Arial" w:cs="Arial"/>
                <w:b/>
                <w:bCs/>
                <w:color w:val="000000" w:themeColor="text1"/>
                <w:kern w:val="0"/>
                <w:sz w:val="18"/>
                <w:szCs w:val="18"/>
              </w:rPr>
              <w:t>NK cells resting</w:t>
            </w:r>
          </w:p>
        </w:tc>
        <w:tc>
          <w:tcPr>
            <w:tcW w:w="2778" w:type="dxa"/>
            <w:tcBorders>
              <w:top w:val="nil"/>
              <w:left w:val="nil"/>
              <w:bottom w:val="nil"/>
              <w:right w:val="nil"/>
            </w:tcBorders>
            <w:shd w:val="clear" w:color="000000" w:fill="FFFFFF"/>
            <w:vAlign w:val="center"/>
            <w:hideMark/>
          </w:tcPr>
          <w:p w14:paraId="65B1232D"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HC(0.14±0.01)</w:t>
            </w:r>
          </w:p>
        </w:tc>
        <w:tc>
          <w:tcPr>
            <w:tcW w:w="2778" w:type="dxa"/>
            <w:tcBorders>
              <w:top w:val="nil"/>
              <w:left w:val="nil"/>
              <w:bottom w:val="nil"/>
              <w:right w:val="nil"/>
            </w:tcBorders>
            <w:shd w:val="clear" w:color="000000" w:fill="FFFFFF"/>
            <w:vAlign w:val="center"/>
            <w:hideMark/>
          </w:tcPr>
          <w:p w14:paraId="579F6D75"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PresC(0.12±0.02)</w:t>
            </w:r>
          </w:p>
        </w:tc>
        <w:tc>
          <w:tcPr>
            <w:tcW w:w="1264" w:type="dxa"/>
            <w:tcBorders>
              <w:top w:val="nil"/>
              <w:left w:val="nil"/>
              <w:bottom w:val="nil"/>
              <w:right w:val="nil"/>
            </w:tcBorders>
            <w:shd w:val="clear" w:color="000000" w:fill="FFFFFF"/>
            <w:vAlign w:val="center"/>
            <w:hideMark/>
          </w:tcPr>
          <w:p w14:paraId="1A3701DD"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0.03</w:t>
            </w:r>
          </w:p>
        </w:tc>
        <w:tc>
          <w:tcPr>
            <w:tcW w:w="1276" w:type="dxa"/>
            <w:vMerge w:val="restart"/>
            <w:tcBorders>
              <w:top w:val="nil"/>
              <w:left w:val="nil"/>
              <w:bottom w:val="nil"/>
              <w:right w:val="nil"/>
            </w:tcBorders>
            <w:shd w:val="clear" w:color="000000" w:fill="FFFFFF"/>
            <w:vAlign w:val="center"/>
            <w:hideMark/>
          </w:tcPr>
          <w:p w14:paraId="4B4F4564"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8.10E-03</w:t>
            </w:r>
          </w:p>
        </w:tc>
      </w:tr>
      <w:tr w:rsidR="00CB75A4" w:rsidRPr="00CB75A4" w14:paraId="1FDB2F42" w14:textId="77777777" w:rsidTr="007E1E4E">
        <w:trPr>
          <w:trHeight w:val="561"/>
        </w:trPr>
        <w:tc>
          <w:tcPr>
            <w:tcW w:w="1544" w:type="dxa"/>
            <w:vMerge/>
            <w:tcBorders>
              <w:top w:val="nil"/>
              <w:left w:val="nil"/>
              <w:bottom w:val="nil"/>
              <w:right w:val="nil"/>
            </w:tcBorders>
            <w:vAlign w:val="center"/>
            <w:hideMark/>
          </w:tcPr>
          <w:p w14:paraId="361425F6"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3E011AA5"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HC(0.14±0.01)</w:t>
            </w:r>
          </w:p>
        </w:tc>
        <w:tc>
          <w:tcPr>
            <w:tcW w:w="2778" w:type="dxa"/>
            <w:tcBorders>
              <w:top w:val="nil"/>
              <w:left w:val="nil"/>
              <w:bottom w:val="nil"/>
              <w:right w:val="nil"/>
            </w:tcBorders>
            <w:shd w:val="clear" w:color="000000" w:fill="FFFFFF"/>
            <w:vAlign w:val="center"/>
            <w:hideMark/>
          </w:tcPr>
          <w:p w14:paraId="4B680255"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LowC(0.18±0.04)</w:t>
            </w:r>
          </w:p>
        </w:tc>
        <w:tc>
          <w:tcPr>
            <w:tcW w:w="1264" w:type="dxa"/>
            <w:tcBorders>
              <w:top w:val="nil"/>
              <w:left w:val="nil"/>
              <w:bottom w:val="nil"/>
              <w:right w:val="nil"/>
            </w:tcBorders>
            <w:shd w:val="clear" w:color="000000" w:fill="FFFFFF"/>
            <w:vAlign w:val="center"/>
            <w:hideMark/>
          </w:tcPr>
          <w:p w14:paraId="702E6146"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0.05</w:t>
            </w:r>
          </w:p>
        </w:tc>
        <w:tc>
          <w:tcPr>
            <w:tcW w:w="1276" w:type="dxa"/>
            <w:vMerge/>
            <w:tcBorders>
              <w:top w:val="nil"/>
              <w:left w:val="nil"/>
              <w:bottom w:val="nil"/>
              <w:right w:val="nil"/>
            </w:tcBorders>
            <w:vAlign w:val="center"/>
            <w:hideMark/>
          </w:tcPr>
          <w:p w14:paraId="3E56B7EF"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6A85E99E" w14:textId="77777777" w:rsidTr="007E1E4E">
        <w:trPr>
          <w:trHeight w:val="561"/>
        </w:trPr>
        <w:tc>
          <w:tcPr>
            <w:tcW w:w="1544" w:type="dxa"/>
            <w:vMerge/>
            <w:tcBorders>
              <w:top w:val="nil"/>
              <w:left w:val="nil"/>
              <w:bottom w:val="nil"/>
              <w:right w:val="nil"/>
            </w:tcBorders>
            <w:vAlign w:val="center"/>
            <w:hideMark/>
          </w:tcPr>
          <w:p w14:paraId="36B0ABE0"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32BE935B"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PresC(0.12±0.02)</w:t>
            </w:r>
          </w:p>
        </w:tc>
        <w:tc>
          <w:tcPr>
            <w:tcW w:w="2778" w:type="dxa"/>
            <w:tcBorders>
              <w:top w:val="nil"/>
              <w:left w:val="nil"/>
              <w:bottom w:val="nil"/>
              <w:right w:val="nil"/>
            </w:tcBorders>
            <w:shd w:val="clear" w:color="000000" w:fill="FFFFFF"/>
            <w:vAlign w:val="center"/>
            <w:hideMark/>
          </w:tcPr>
          <w:p w14:paraId="5427E1E0"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LowC(0.18±0.04)</w:t>
            </w:r>
          </w:p>
        </w:tc>
        <w:tc>
          <w:tcPr>
            <w:tcW w:w="1264" w:type="dxa"/>
            <w:tcBorders>
              <w:top w:val="nil"/>
              <w:left w:val="nil"/>
              <w:bottom w:val="nil"/>
              <w:right w:val="nil"/>
            </w:tcBorders>
            <w:shd w:val="clear" w:color="000000" w:fill="FFFFFF"/>
            <w:vAlign w:val="center"/>
            <w:hideMark/>
          </w:tcPr>
          <w:p w14:paraId="191123B9"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0.01</w:t>
            </w:r>
          </w:p>
        </w:tc>
        <w:tc>
          <w:tcPr>
            <w:tcW w:w="1276" w:type="dxa"/>
            <w:vMerge/>
            <w:tcBorders>
              <w:top w:val="nil"/>
              <w:left w:val="nil"/>
              <w:bottom w:val="nil"/>
              <w:right w:val="nil"/>
            </w:tcBorders>
            <w:vAlign w:val="center"/>
            <w:hideMark/>
          </w:tcPr>
          <w:p w14:paraId="41941F69"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1A1CA989" w14:textId="77777777" w:rsidTr="007E1E4E">
        <w:trPr>
          <w:trHeight w:val="561"/>
        </w:trPr>
        <w:tc>
          <w:tcPr>
            <w:tcW w:w="1544" w:type="dxa"/>
            <w:vMerge w:val="restart"/>
            <w:tcBorders>
              <w:top w:val="nil"/>
              <w:left w:val="nil"/>
              <w:bottom w:val="nil"/>
              <w:right w:val="nil"/>
            </w:tcBorders>
            <w:shd w:val="clear" w:color="000000" w:fill="FFFFFF"/>
            <w:vAlign w:val="center"/>
            <w:hideMark/>
          </w:tcPr>
          <w:p w14:paraId="2E603083"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r w:rsidRPr="00CB75A4">
              <w:rPr>
                <w:rFonts w:ascii="Arial" w:hAnsi="Arial" w:cs="Arial"/>
                <w:b/>
                <w:bCs/>
                <w:color w:val="000000" w:themeColor="text1"/>
                <w:kern w:val="0"/>
                <w:sz w:val="18"/>
                <w:szCs w:val="18"/>
              </w:rPr>
              <w:t>NK cells activated</w:t>
            </w:r>
          </w:p>
        </w:tc>
        <w:tc>
          <w:tcPr>
            <w:tcW w:w="2778" w:type="dxa"/>
            <w:tcBorders>
              <w:top w:val="nil"/>
              <w:left w:val="nil"/>
              <w:bottom w:val="nil"/>
              <w:right w:val="nil"/>
            </w:tcBorders>
            <w:shd w:val="clear" w:color="000000" w:fill="FFFFFF"/>
            <w:vAlign w:val="center"/>
            <w:hideMark/>
          </w:tcPr>
          <w:p w14:paraId="3B31CA76"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HC(0.01±0.02)</w:t>
            </w:r>
          </w:p>
        </w:tc>
        <w:tc>
          <w:tcPr>
            <w:tcW w:w="2778" w:type="dxa"/>
            <w:tcBorders>
              <w:top w:val="nil"/>
              <w:left w:val="nil"/>
              <w:bottom w:val="nil"/>
              <w:right w:val="nil"/>
            </w:tcBorders>
            <w:shd w:val="clear" w:color="000000" w:fill="FFFFFF"/>
            <w:vAlign w:val="center"/>
            <w:hideMark/>
          </w:tcPr>
          <w:p w14:paraId="0030E58A"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PresC(8.0e-4±2.1e-3)</w:t>
            </w:r>
          </w:p>
        </w:tc>
        <w:tc>
          <w:tcPr>
            <w:tcW w:w="1264" w:type="dxa"/>
            <w:tcBorders>
              <w:top w:val="nil"/>
              <w:left w:val="nil"/>
              <w:bottom w:val="nil"/>
              <w:right w:val="nil"/>
            </w:tcBorders>
            <w:shd w:val="clear" w:color="000000" w:fill="FFFFFF"/>
            <w:vAlign w:val="center"/>
            <w:hideMark/>
          </w:tcPr>
          <w:p w14:paraId="6EE29C59"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0.48</w:t>
            </w:r>
          </w:p>
        </w:tc>
        <w:tc>
          <w:tcPr>
            <w:tcW w:w="1276" w:type="dxa"/>
            <w:vMerge w:val="restart"/>
            <w:tcBorders>
              <w:top w:val="nil"/>
              <w:left w:val="nil"/>
              <w:bottom w:val="nil"/>
              <w:right w:val="nil"/>
            </w:tcBorders>
            <w:shd w:val="clear" w:color="000000" w:fill="FFFFFF"/>
            <w:vAlign w:val="center"/>
            <w:hideMark/>
          </w:tcPr>
          <w:p w14:paraId="0694EB89"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0.62</w:t>
            </w:r>
          </w:p>
        </w:tc>
      </w:tr>
      <w:tr w:rsidR="00CB75A4" w:rsidRPr="00CB75A4" w14:paraId="613567E8" w14:textId="77777777" w:rsidTr="007E1E4E">
        <w:trPr>
          <w:trHeight w:val="561"/>
        </w:trPr>
        <w:tc>
          <w:tcPr>
            <w:tcW w:w="1544" w:type="dxa"/>
            <w:vMerge/>
            <w:tcBorders>
              <w:top w:val="nil"/>
              <w:left w:val="nil"/>
              <w:bottom w:val="nil"/>
              <w:right w:val="nil"/>
            </w:tcBorders>
            <w:vAlign w:val="center"/>
            <w:hideMark/>
          </w:tcPr>
          <w:p w14:paraId="58A09A2D"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24478D09"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HC(0.01±0.02)</w:t>
            </w:r>
          </w:p>
        </w:tc>
        <w:tc>
          <w:tcPr>
            <w:tcW w:w="2778" w:type="dxa"/>
            <w:tcBorders>
              <w:top w:val="nil"/>
              <w:left w:val="nil"/>
              <w:bottom w:val="nil"/>
              <w:right w:val="nil"/>
            </w:tcBorders>
            <w:shd w:val="clear" w:color="000000" w:fill="FFFFFF"/>
            <w:vAlign w:val="center"/>
            <w:hideMark/>
          </w:tcPr>
          <w:p w14:paraId="67FA6031"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LowC(1.6e-3±4.2e-3)</w:t>
            </w:r>
          </w:p>
        </w:tc>
        <w:tc>
          <w:tcPr>
            <w:tcW w:w="1264" w:type="dxa"/>
            <w:tcBorders>
              <w:top w:val="nil"/>
              <w:left w:val="nil"/>
              <w:bottom w:val="nil"/>
              <w:right w:val="nil"/>
            </w:tcBorders>
            <w:shd w:val="clear" w:color="000000" w:fill="FFFFFF"/>
            <w:vAlign w:val="center"/>
            <w:hideMark/>
          </w:tcPr>
          <w:p w14:paraId="0B493469"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0.48</w:t>
            </w:r>
          </w:p>
        </w:tc>
        <w:tc>
          <w:tcPr>
            <w:tcW w:w="1276" w:type="dxa"/>
            <w:vMerge/>
            <w:tcBorders>
              <w:top w:val="nil"/>
              <w:left w:val="nil"/>
              <w:bottom w:val="nil"/>
              <w:right w:val="nil"/>
            </w:tcBorders>
            <w:vAlign w:val="center"/>
            <w:hideMark/>
          </w:tcPr>
          <w:p w14:paraId="126C563F"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5445BEC2" w14:textId="77777777" w:rsidTr="007E1E4E">
        <w:trPr>
          <w:trHeight w:val="561"/>
        </w:trPr>
        <w:tc>
          <w:tcPr>
            <w:tcW w:w="1544" w:type="dxa"/>
            <w:vMerge/>
            <w:tcBorders>
              <w:top w:val="nil"/>
              <w:left w:val="nil"/>
              <w:bottom w:val="nil"/>
              <w:right w:val="nil"/>
            </w:tcBorders>
            <w:vAlign w:val="center"/>
            <w:hideMark/>
          </w:tcPr>
          <w:p w14:paraId="58E011E3"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271B0CCE"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PresC(8.0e-4±2.1e-3)</w:t>
            </w:r>
          </w:p>
        </w:tc>
        <w:tc>
          <w:tcPr>
            <w:tcW w:w="2778" w:type="dxa"/>
            <w:tcBorders>
              <w:top w:val="nil"/>
              <w:left w:val="nil"/>
              <w:bottom w:val="nil"/>
              <w:right w:val="nil"/>
            </w:tcBorders>
            <w:shd w:val="clear" w:color="000000" w:fill="FFFFFF"/>
            <w:vAlign w:val="center"/>
            <w:hideMark/>
          </w:tcPr>
          <w:p w14:paraId="53C6FE6C"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LowC(1.6e-3±4.2e-3)</w:t>
            </w:r>
          </w:p>
        </w:tc>
        <w:tc>
          <w:tcPr>
            <w:tcW w:w="1264" w:type="dxa"/>
            <w:tcBorders>
              <w:top w:val="nil"/>
              <w:left w:val="nil"/>
              <w:bottom w:val="nil"/>
              <w:right w:val="nil"/>
            </w:tcBorders>
            <w:shd w:val="clear" w:color="000000" w:fill="FFFFFF"/>
            <w:vAlign w:val="center"/>
            <w:hideMark/>
          </w:tcPr>
          <w:p w14:paraId="141B48EF"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1</w:t>
            </w:r>
          </w:p>
        </w:tc>
        <w:tc>
          <w:tcPr>
            <w:tcW w:w="1276" w:type="dxa"/>
            <w:vMerge/>
            <w:tcBorders>
              <w:top w:val="nil"/>
              <w:left w:val="nil"/>
              <w:bottom w:val="nil"/>
              <w:right w:val="nil"/>
            </w:tcBorders>
            <w:vAlign w:val="center"/>
            <w:hideMark/>
          </w:tcPr>
          <w:p w14:paraId="75C9A82D"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632F2EDB" w14:textId="77777777" w:rsidTr="007E1E4E">
        <w:trPr>
          <w:trHeight w:val="561"/>
        </w:trPr>
        <w:tc>
          <w:tcPr>
            <w:tcW w:w="1544" w:type="dxa"/>
            <w:vMerge w:val="restart"/>
            <w:tcBorders>
              <w:top w:val="nil"/>
              <w:left w:val="nil"/>
              <w:bottom w:val="nil"/>
              <w:right w:val="nil"/>
            </w:tcBorders>
            <w:shd w:val="clear" w:color="000000" w:fill="FFFFFF"/>
            <w:vAlign w:val="center"/>
            <w:hideMark/>
          </w:tcPr>
          <w:p w14:paraId="12B3EE6C"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r w:rsidRPr="00CB75A4">
              <w:rPr>
                <w:rFonts w:ascii="Arial" w:hAnsi="Arial" w:cs="Arial"/>
                <w:b/>
                <w:bCs/>
                <w:color w:val="000000" w:themeColor="text1"/>
                <w:kern w:val="0"/>
                <w:sz w:val="18"/>
                <w:szCs w:val="18"/>
              </w:rPr>
              <w:t>Monocytes</w:t>
            </w:r>
          </w:p>
        </w:tc>
        <w:tc>
          <w:tcPr>
            <w:tcW w:w="2778" w:type="dxa"/>
            <w:tcBorders>
              <w:top w:val="nil"/>
              <w:left w:val="nil"/>
              <w:bottom w:val="nil"/>
              <w:right w:val="nil"/>
            </w:tcBorders>
            <w:shd w:val="clear" w:color="000000" w:fill="FFFFFF"/>
            <w:vAlign w:val="center"/>
            <w:hideMark/>
          </w:tcPr>
          <w:p w14:paraId="1BCE65D3"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HC(0.14±0.06)</w:t>
            </w:r>
          </w:p>
        </w:tc>
        <w:tc>
          <w:tcPr>
            <w:tcW w:w="2778" w:type="dxa"/>
            <w:tcBorders>
              <w:top w:val="nil"/>
              <w:left w:val="nil"/>
              <w:bottom w:val="nil"/>
              <w:right w:val="nil"/>
            </w:tcBorders>
            <w:shd w:val="clear" w:color="000000" w:fill="FFFFFF"/>
            <w:vAlign w:val="center"/>
            <w:hideMark/>
          </w:tcPr>
          <w:p w14:paraId="58251928"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PresC(0.20±0.14)</w:t>
            </w:r>
          </w:p>
        </w:tc>
        <w:tc>
          <w:tcPr>
            <w:tcW w:w="1264" w:type="dxa"/>
            <w:tcBorders>
              <w:top w:val="nil"/>
              <w:left w:val="nil"/>
              <w:bottom w:val="nil"/>
              <w:right w:val="nil"/>
            </w:tcBorders>
            <w:shd w:val="clear" w:color="000000" w:fill="FFFFFF"/>
            <w:vAlign w:val="center"/>
            <w:hideMark/>
          </w:tcPr>
          <w:p w14:paraId="2242F4A4"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0.71</w:t>
            </w:r>
          </w:p>
        </w:tc>
        <w:tc>
          <w:tcPr>
            <w:tcW w:w="1276" w:type="dxa"/>
            <w:vMerge w:val="restart"/>
            <w:tcBorders>
              <w:top w:val="nil"/>
              <w:left w:val="nil"/>
              <w:bottom w:val="nil"/>
              <w:right w:val="nil"/>
            </w:tcBorders>
            <w:shd w:val="clear" w:color="000000" w:fill="FFFFFF"/>
            <w:vAlign w:val="center"/>
            <w:hideMark/>
          </w:tcPr>
          <w:p w14:paraId="7DAFFAA3"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0.02</w:t>
            </w:r>
          </w:p>
        </w:tc>
      </w:tr>
      <w:tr w:rsidR="00CB75A4" w:rsidRPr="00CB75A4" w14:paraId="4570CD5F" w14:textId="77777777" w:rsidTr="007E1E4E">
        <w:trPr>
          <w:trHeight w:val="561"/>
        </w:trPr>
        <w:tc>
          <w:tcPr>
            <w:tcW w:w="1544" w:type="dxa"/>
            <w:vMerge/>
            <w:tcBorders>
              <w:top w:val="nil"/>
              <w:left w:val="nil"/>
              <w:bottom w:val="nil"/>
              <w:right w:val="nil"/>
            </w:tcBorders>
            <w:vAlign w:val="center"/>
            <w:hideMark/>
          </w:tcPr>
          <w:p w14:paraId="24257A47"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4CD0ACCA"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HC(0.14±0.06)</w:t>
            </w:r>
          </w:p>
        </w:tc>
        <w:tc>
          <w:tcPr>
            <w:tcW w:w="2778" w:type="dxa"/>
            <w:tcBorders>
              <w:top w:val="nil"/>
              <w:left w:val="nil"/>
              <w:bottom w:val="nil"/>
              <w:right w:val="nil"/>
            </w:tcBorders>
            <w:shd w:val="clear" w:color="000000" w:fill="FFFFFF"/>
            <w:vAlign w:val="center"/>
            <w:hideMark/>
          </w:tcPr>
          <w:p w14:paraId="7C81A7A8"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LowC(0.37±0.13)</w:t>
            </w:r>
          </w:p>
        </w:tc>
        <w:tc>
          <w:tcPr>
            <w:tcW w:w="1264" w:type="dxa"/>
            <w:tcBorders>
              <w:top w:val="nil"/>
              <w:left w:val="nil"/>
              <w:bottom w:val="nil"/>
              <w:right w:val="nil"/>
            </w:tcBorders>
            <w:shd w:val="clear" w:color="000000" w:fill="FFFFFF"/>
            <w:vAlign w:val="center"/>
            <w:hideMark/>
          </w:tcPr>
          <w:p w14:paraId="1509D5EA"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2.30E-03</w:t>
            </w:r>
          </w:p>
        </w:tc>
        <w:tc>
          <w:tcPr>
            <w:tcW w:w="1276" w:type="dxa"/>
            <w:vMerge/>
            <w:tcBorders>
              <w:top w:val="nil"/>
              <w:left w:val="nil"/>
              <w:bottom w:val="nil"/>
              <w:right w:val="nil"/>
            </w:tcBorders>
            <w:vAlign w:val="center"/>
            <w:hideMark/>
          </w:tcPr>
          <w:p w14:paraId="35602B7B"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754AA56D" w14:textId="77777777" w:rsidTr="007E1E4E">
        <w:trPr>
          <w:trHeight w:val="561"/>
        </w:trPr>
        <w:tc>
          <w:tcPr>
            <w:tcW w:w="1544" w:type="dxa"/>
            <w:vMerge/>
            <w:tcBorders>
              <w:top w:val="nil"/>
              <w:left w:val="nil"/>
              <w:bottom w:val="nil"/>
              <w:right w:val="nil"/>
            </w:tcBorders>
            <w:vAlign w:val="center"/>
            <w:hideMark/>
          </w:tcPr>
          <w:p w14:paraId="13839E7D"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3B63E73E"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PresC(0.20±0.14)</w:t>
            </w:r>
          </w:p>
        </w:tc>
        <w:tc>
          <w:tcPr>
            <w:tcW w:w="2778" w:type="dxa"/>
            <w:tcBorders>
              <w:top w:val="nil"/>
              <w:left w:val="nil"/>
              <w:bottom w:val="nil"/>
              <w:right w:val="nil"/>
            </w:tcBorders>
            <w:shd w:val="clear" w:color="000000" w:fill="FFFFFF"/>
            <w:vAlign w:val="center"/>
            <w:hideMark/>
          </w:tcPr>
          <w:p w14:paraId="02AB1A75"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LowC(0.37±0.13)</w:t>
            </w:r>
          </w:p>
        </w:tc>
        <w:tc>
          <w:tcPr>
            <w:tcW w:w="1264" w:type="dxa"/>
            <w:tcBorders>
              <w:top w:val="nil"/>
              <w:left w:val="nil"/>
              <w:bottom w:val="nil"/>
              <w:right w:val="nil"/>
            </w:tcBorders>
            <w:shd w:val="clear" w:color="000000" w:fill="FFFFFF"/>
            <w:vAlign w:val="center"/>
            <w:hideMark/>
          </w:tcPr>
          <w:p w14:paraId="7922A150"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0.07</w:t>
            </w:r>
          </w:p>
        </w:tc>
        <w:tc>
          <w:tcPr>
            <w:tcW w:w="1276" w:type="dxa"/>
            <w:vMerge/>
            <w:tcBorders>
              <w:top w:val="nil"/>
              <w:left w:val="nil"/>
              <w:bottom w:val="nil"/>
              <w:right w:val="nil"/>
            </w:tcBorders>
            <w:vAlign w:val="center"/>
            <w:hideMark/>
          </w:tcPr>
          <w:p w14:paraId="40937DB7"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52B9619A" w14:textId="77777777" w:rsidTr="007E1E4E">
        <w:trPr>
          <w:trHeight w:val="561"/>
        </w:trPr>
        <w:tc>
          <w:tcPr>
            <w:tcW w:w="1544" w:type="dxa"/>
            <w:vMerge w:val="restart"/>
            <w:tcBorders>
              <w:top w:val="nil"/>
              <w:left w:val="nil"/>
              <w:bottom w:val="nil"/>
              <w:right w:val="nil"/>
            </w:tcBorders>
            <w:shd w:val="clear" w:color="000000" w:fill="FFFFFF"/>
            <w:vAlign w:val="center"/>
            <w:hideMark/>
          </w:tcPr>
          <w:p w14:paraId="4BB93F88"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r w:rsidRPr="00CB75A4">
              <w:rPr>
                <w:rFonts w:ascii="Arial" w:hAnsi="Arial" w:cs="Arial"/>
                <w:b/>
                <w:bCs/>
                <w:color w:val="000000" w:themeColor="text1"/>
                <w:kern w:val="0"/>
                <w:sz w:val="18"/>
                <w:szCs w:val="18"/>
              </w:rPr>
              <w:t>Macrophages M0</w:t>
            </w:r>
          </w:p>
        </w:tc>
        <w:tc>
          <w:tcPr>
            <w:tcW w:w="2778" w:type="dxa"/>
            <w:tcBorders>
              <w:top w:val="nil"/>
              <w:left w:val="nil"/>
              <w:bottom w:val="nil"/>
              <w:right w:val="nil"/>
            </w:tcBorders>
            <w:shd w:val="clear" w:color="000000" w:fill="FFFFFF"/>
            <w:vAlign w:val="center"/>
            <w:hideMark/>
          </w:tcPr>
          <w:p w14:paraId="1CC724D7"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HC(2.3e-5±6.1e-5)</w:t>
            </w:r>
          </w:p>
        </w:tc>
        <w:tc>
          <w:tcPr>
            <w:tcW w:w="2778" w:type="dxa"/>
            <w:tcBorders>
              <w:top w:val="nil"/>
              <w:left w:val="nil"/>
              <w:bottom w:val="nil"/>
              <w:right w:val="nil"/>
            </w:tcBorders>
            <w:shd w:val="clear" w:color="000000" w:fill="FFFFFF"/>
            <w:vAlign w:val="center"/>
            <w:hideMark/>
          </w:tcPr>
          <w:p w14:paraId="1EDD1D2E"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PresC(0.0e+0±0.0e+0)</w:t>
            </w:r>
          </w:p>
        </w:tc>
        <w:tc>
          <w:tcPr>
            <w:tcW w:w="1264" w:type="dxa"/>
            <w:tcBorders>
              <w:top w:val="nil"/>
              <w:left w:val="nil"/>
              <w:bottom w:val="nil"/>
              <w:right w:val="nil"/>
            </w:tcBorders>
            <w:shd w:val="clear" w:color="000000" w:fill="FFFFFF"/>
            <w:vAlign w:val="center"/>
            <w:hideMark/>
          </w:tcPr>
          <w:p w14:paraId="23B535B8"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0.39</w:t>
            </w:r>
          </w:p>
        </w:tc>
        <w:tc>
          <w:tcPr>
            <w:tcW w:w="1276" w:type="dxa"/>
            <w:vMerge w:val="restart"/>
            <w:tcBorders>
              <w:top w:val="nil"/>
              <w:left w:val="nil"/>
              <w:bottom w:val="nil"/>
              <w:right w:val="nil"/>
            </w:tcBorders>
            <w:shd w:val="clear" w:color="000000" w:fill="FFFFFF"/>
            <w:vAlign w:val="center"/>
            <w:hideMark/>
          </w:tcPr>
          <w:p w14:paraId="79DA9CAC"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0.37</w:t>
            </w:r>
          </w:p>
        </w:tc>
      </w:tr>
      <w:tr w:rsidR="00CB75A4" w:rsidRPr="00CB75A4" w14:paraId="5ABFC503" w14:textId="77777777" w:rsidTr="007E1E4E">
        <w:trPr>
          <w:trHeight w:val="561"/>
        </w:trPr>
        <w:tc>
          <w:tcPr>
            <w:tcW w:w="1544" w:type="dxa"/>
            <w:vMerge/>
            <w:tcBorders>
              <w:top w:val="nil"/>
              <w:left w:val="nil"/>
              <w:bottom w:val="nil"/>
              <w:right w:val="nil"/>
            </w:tcBorders>
            <w:vAlign w:val="center"/>
            <w:hideMark/>
          </w:tcPr>
          <w:p w14:paraId="2CE2392C"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7DB819DB"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HC(2.3e-5±6.1e-5)</w:t>
            </w:r>
          </w:p>
        </w:tc>
        <w:tc>
          <w:tcPr>
            <w:tcW w:w="2778" w:type="dxa"/>
            <w:tcBorders>
              <w:top w:val="nil"/>
              <w:left w:val="nil"/>
              <w:bottom w:val="nil"/>
              <w:right w:val="nil"/>
            </w:tcBorders>
            <w:shd w:val="clear" w:color="000000" w:fill="FFFFFF"/>
            <w:vAlign w:val="center"/>
            <w:hideMark/>
          </w:tcPr>
          <w:p w14:paraId="1AC4F4B3"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LowC(0.0e+0±0.0e+0)</w:t>
            </w:r>
          </w:p>
        </w:tc>
        <w:tc>
          <w:tcPr>
            <w:tcW w:w="1264" w:type="dxa"/>
            <w:tcBorders>
              <w:top w:val="nil"/>
              <w:left w:val="nil"/>
              <w:bottom w:val="nil"/>
              <w:right w:val="nil"/>
            </w:tcBorders>
            <w:shd w:val="clear" w:color="000000" w:fill="FFFFFF"/>
            <w:vAlign w:val="center"/>
            <w:hideMark/>
          </w:tcPr>
          <w:p w14:paraId="10EC4089"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0.39</w:t>
            </w:r>
          </w:p>
        </w:tc>
        <w:tc>
          <w:tcPr>
            <w:tcW w:w="1276" w:type="dxa"/>
            <w:vMerge/>
            <w:tcBorders>
              <w:top w:val="nil"/>
              <w:left w:val="nil"/>
              <w:bottom w:val="nil"/>
              <w:right w:val="nil"/>
            </w:tcBorders>
            <w:vAlign w:val="center"/>
            <w:hideMark/>
          </w:tcPr>
          <w:p w14:paraId="52748283"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36F74044" w14:textId="77777777" w:rsidTr="007E1E4E">
        <w:trPr>
          <w:trHeight w:val="561"/>
        </w:trPr>
        <w:tc>
          <w:tcPr>
            <w:tcW w:w="1544" w:type="dxa"/>
            <w:vMerge/>
            <w:tcBorders>
              <w:top w:val="nil"/>
              <w:left w:val="nil"/>
              <w:bottom w:val="nil"/>
              <w:right w:val="nil"/>
            </w:tcBorders>
            <w:vAlign w:val="center"/>
            <w:hideMark/>
          </w:tcPr>
          <w:p w14:paraId="09F5F3BD"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3B943F80"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PresC(0.0e+0±0.0e+0)</w:t>
            </w:r>
          </w:p>
        </w:tc>
        <w:tc>
          <w:tcPr>
            <w:tcW w:w="2778" w:type="dxa"/>
            <w:tcBorders>
              <w:top w:val="nil"/>
              <w:left w:val="nil"/>
              <w:bottom w:val="nil"/>
              <w:right w:val="nil"/>
            </w:tcBorders>
            <w:shd w:val="clear" w:color="000000" w:fill="FFFFFF"/>
            <w:vAlign w:val="center"/>
            <w:hideMark/>
          </w:tcPr>
          <w:p w14:paraId="4154E0ED"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LowC(0.0e+0±0.0e+0)</w:t>
            </w:r>
          </w:p>
        </w:tc>
        <w:tc>
          <w:tcPr>
            <w:tcW w:w="1264" w:type="dxa"/>
            <w:tcBorders>
              <w:top w:val="nil"/>
              <w:left w:val="nil"/>
              <w:bottom w:val="nil"/>
              <w:right w:val="nil"/>
            </w:tcBorders>
            <w:shd w:val="clear" w:color="000000" w:fill="FFFFFF"/>
            <w:vAlign w:val="center"/>
            <w:hideMark/>
          </w:tcPr>
          <w:p w14:paraId="7045AC40"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NA</w:t>
            </w:r>
          </w:p>
        </w:tc>
        <w:tc>
          <w:tcPr>
            <w:tcW w:w="1276" w:type="dxa"/>
            <w:vMerge/>
            <w:tcBorders>
              <w:top w:val="nil"/>
              <w:left w:val="nil"/>
              <w:bottom w:val="nil"/>
              <w:right w:val="nil"/>
            </w:tcBorders>
            <w:vAlign w:val="center"/>
            <w:hideMark/>
          </w:tcPr>
          <w:p w14:paraId="3BEE1061"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7B1F6061" w14:textId="77777777" w:rsidTr="007E1E4E">
        <w:trPr>
          <w:trHeight w:val="561"/>
        </w:trPr>
        <w:tc>
          <w:tcPr>
            <w:tcW w:w="1544" w:type="dxa"/>
            <w:vMerge w:val="restart"/>
            <w:tcBorders>
              <w:top w:val="nil"/>
              <w:left w:val="nil"/>
              <w:bottom w:val="nil"/>
              <w:right w:val="nil"/>
            </w:tcBorders>
            <w:shd w:val="clear" w:color="000000" w:fill="FFFFFF"/>
            <w:vAlign w:val="center"/>
            <w:hideMark/>
          </w:tcPr>
          <w:p w14:paraId="4669412D"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r w:rsidRPr="00CB75A4">
              <w:rPr>
                <w:rFonts w:ascii="Arial" w:hAnsi="Arial" w:cs="Arial"/>
                <w:b/>
                <w:bCs/>
                <w:color w:val="000000" w:themeColor="text1"/>
                <w:kern w:val="0"/>
                <w:sz w:val="18"/>
                <w:szCs w:val="18"/>
              </w:rPr>
              <w:t>Macrophages M1</w:t>
            </w:r>
          </w:p>
        </w:tc>
        <w:tc>
          <w:tcPr>
            <w:tcW w:w="2778" w:type="dxa"/>
            <w:tcBorders>
              <w:top w:val="nil"/>
              <w:left w:val="nil"/>
              <w:bottom w:val="nil"/>
              <w:right w:val="nil"/>
            </w:tcBorders>
            <w:shd w:val="clear" w:color="000000" w:fill="FFFFFF"/>
            <w:vAlign w:val="center"/>
            <w:hideMark/>
          </w:tcPr>
          <w:p w14:paraId="4EF63855"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HC(9.2e-5±2.0e-4)</w:t>
            </w:r>
          </w:p>
        </w:tc>
        <w:tc>
          <w:tcPr>
            <w:tcW w:w="2778" w:type="dxa"/>
            <w:tcBorders>
              <w:top w:val="nil"/>
              <w:left w:val="nil"/>
              <w:bottom w:val="nil"/>
              <w:right w:val="nil"/>
            </w:tcBorders>
            <w:shd w:val="clear" w:color="000000" w:fill="FFFFFF"/>
            <w:vAlign w:val="center"/>
            <w:hideMark/>
          </w:tcPr>
          <w:p w14:paraId="56DBFEAD"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PresC(2.8e-4±7.5e-4)</w:t>
            </w:r>
          </w:p>
        </w:tc>
        <w:tc>
          <w:tcPr>
            <w:tcW w:w="1264" w:type="dxa"/>
            <w:tcBorders>
              <w:top w:val="nil"/>
              <w:left w:val="nil"/>
              <w:bottom w:val="nil"/>
              <w:right w:val="nil"/>
            </w:tcBorders>
            <w:shd w:val="clear" w:color="000000" w:fill="FFFFFF"/>
            <w:vAlign w:val="center"/>
            <w:hideMark/>
          </w:tcPr>
          <w:p w14:paraId="50C61EF8"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0.72</w:t>
            </w:r>
          </w:p>
        </w:tc>
        <w:tc>
          <w:tcPr>
            <w:tcW w:w="1276" w:type="dxa"/>
            <w:vMerge w:val="restart"/>
            <w:tcBorders>
              <w:top w:val="nil"/>
              <w:left w:val="nil"/>
              <w:bottom w:val="nil"/>
              <w:right w:val="nil"/>
            </w:tcBorders>
            <w:shd w:val="clear" w:color="000000" w:fill="FFFFFF"/>
            <w:vAlign w:val="center"/>
            <w:hideMark/>
          </w:tcPr>
          <w:p w14:paraId="5B9EEE0D"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0.36</w:t>
            </w:r>
          </w:p>
        </w:tc>
      </w:tr>
      <w:tr w:rsidR="00CB75A4" w:rsidRPr="00CB75A4" w14:paraId="4C0C6233" w14:textId="77777777" w:rsidTr="007E1E4E">
        <w:trPr>
          <w:trHeight w:val="561"/>
        </w:trPr>
        <w:tc>
          <w:tcPr>
            <w:tcW w:w="1544" w:type="dxa"/>
            <w:vMerge/>
            <w:tcBorders>
              <w:top w:val="nil"/>
              <w:left w:val="nil"/>
              <w:bottom w:val="nil"/>
              <w:right w:val="nil"/>
            </w:tcBorders>
            <w:vAlign w:val="center"/>
            <w:hideMark/>
          </w:tcPr>
          <w:p w14:paraId="7DC16C82"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006CC06D"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HC(9.2e-5±2.0e-4)</w:t>
            </w:r>
          </w:p>
        </w:tc>
        <w:tc>
          <w:tcPr>
            <w:tcW w:w="2778" w:type="dxa"/>
            <w:tcBorders>
              <w:top w:val="nil"/>
              <w:left w:val="nil"/>
              <w:bottom w:val="nil"/>
              <w:right w:val="nil"/>
            </w:tcBorders>
            <w:shd w:val="clear" w:color="000000" w:fill="FFFFFF"/>
            <w:vAlign w:val="center"/>
            <w:hideMark/>
          </w:tcPr>
          <w:p w14:paraId="671EB930"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LowC(0.0e+0±0.0e+0)</w:t>
            </w:r>
          </w:p>
        </w:tc>
        <w:tc>
          <w:tcPr>
            <w:tcW w:w="1264" w:type="dxa"/>
            <w:tcBorders>
              <w:top w:val="nil"/>
              <w:left w:val="nil"/>
              <w:bottom w:val="nil"/>
              <w:right w:val="nil"/>
            </w:tcBorders>
            <w:shd w:val="clear" w:color="000000" w:fill="FFFFFF"/>
            <w:vAlign w:val="center"/>
            <w:hideMark/>
          </w:tcPr>
          <w:p w14:paraId="20B34AFF"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0.17</w:t>
            </w:r>
          </w:p>
        </w:tc>
        <w:tc>
          <w:tcPr>
            <w:tcW w:w="1276" w:type="dxa"/>
            <w:vMerge/>
            <w:tcBorders>
              <w:top w:val="nil"/>
              <w:left w:val="nil"/>
              <w:bottom w:val="nil"/>
              <w:right w:val="nil"/>
            </w:tcBorders>
            <w:vAlign w:val="center"/>
            <w:hideMark/>
          </w:tcPr>
          <w:p w14:paraId="1950CE70"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0380A330" w14:textId="77777777" w:rsidTr="007E1E4E">
        <w:trPr>
          <w:trHeight w:val="561"/>
        </w:trPr>
        <w:tc>
          <w:tcPr>
            <w:tcW w:w="1544" w:type="dxa"/>
            <w:vMerge/>
            <w:tcBorders>
              <w:top w:val="nil"/>
              <w:left w:val="nil"/>
              <w:bottom w:val="nil"/>
              <w:right w:val="nil"/>
            </w:tcBorders>
            <w:vAlign w:val="center"/>
            <w:hideMark/>
          </w:tcPr>
          <w:p w14:paraId="12200B42"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725C9673"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PresC(2.8e-4±7.5e-4)</w:t>
            </w:r>
          </w:p>
        </w:tc>
        <w:tc>
          <w:tcPr>
            <w:tcW w:w="2778" w:type="dxa"/>
            <w:tcBorders>
              <w:top w:val="nil"/>
              <w:left w:val="nil"/>
              <w:bottom w:val="nil"/>
              <w:right w:val="nil"/>
            </w:tcBorders>
            <w:shd w:val="clear" w:color="000000" w:fill="FFFFFF"/>
            <w:vAlign w:val="center"/>
            <w:hideMark/>
          </w:tcPr>
          <w:p w14:paraId="6504B1CF"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LowC(0.0e+0±0.0e+0)</w:t>
            </w:r>
          </w:p>
        </w:tc>
        <w:tc>
          <w:tcPr>
            <w:tcW w:w="1264" w:type="dxa"/>
            <w:tcBorders>
              <w:top w:val="nil"/>
              <w:left w:val="nil"/>
              <w:bottom w:val="nil"/>
              <w:right w:val="nil"/>
            </w:tcBorders>
            <w:shd w:val="clear" w:color="000000" w:fill="FFFFFF"/>
            <w:vAlign w:val="center"/>
            <w:hideMark/>
          </w:tcPr>
          <w:p w14:paraId="0026521B"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0.39</w:t>
            </w:r>
          </w:p>
        </w:tc>
        <w:tc>
          <w:tcPr>
            <w:tcW w:w="1276" w:type="dxa"/>
            <w:vMerge/>
            <w:tcBorders>
              <w:top w:val="nil"/>
              <w:left w:val="nil"/>
              <w:bottom w:val="nil"/>
              <w:right w:val="nil"/>
            </w:tcBorders>
            <w:vAlign w:val="center"/>
            <w:hideMark/>
          </w:tcPr>
          <w:p w14:paraId="59288B9B"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6905663F" w14:textId="77777777" w:rsidTr="007E1E4E">
        <w:trPr>
          <w:trHeight w:val="561"/>
        </w:trPr>
        <w:tc>
          <w:tcPr>
            <w:tcW w:w="1544" w:type="dxa"/>
            <w:vMerge w:val="restart"/>
            <w:tcBorders>
              <w:top w:val="nil"/>
              <w:left w:val="nil"/>
              <w:bottom w:val="nil"/>
              <w:right w:val="nil"/>
            </w:tcBorders>
            <w:shd w:val="clear" w:color="000000" w:fill="FFFFFF"/>
            <w:vAlign w:val="center"/>
            <w:hideMark/>
          </w:tcPr>
          <w:p w14:paraId="79011D2F"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r w:rsidRPr="00CB75A4">
              <w:rPr>
                <w:rFonts w:ascii="Arial" w:hAnsi="Arial" w:cs="Arial"/>
                <w:b/>
                <w:bCs/>
                <w:color w:val="000000" w:themeColor="text1"/>
                <w:kern w:val="0"/>
                <w:sz w:val="18"/>
                <w:szCs w:val="18"/>
              </w:rPr>
              <w:t>Macrophages M2</w:t>
            </w:r>
          </w:p>
        </w:tc>
        <w:tc>
          <w:tcPr>
            <w:tcW w:w="2778" w:type="dxa"/>
            <w:tcBorders>
              <w:top w:val="nil"/>
              <w:left w:val="nil"/>
              <w:bottom w:val="nil"/>
              <w:right w:val="nil"/>
            </w:tcBorders>
            <w:shd w:val="clear" w:color="000000" w:fill="FFFFFF"/>
            <w:vAlign w:val="center"/>
            <w:hideMark/>
          </w:tcPr>
          <w:p w14:paraId="3AC98F7B"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HC(0.01±9.8e-3)</w:t>
            </w:r>
          </w:p>
        </w:tc>
        <w:tc>
          <w:tcPr>
            <w:tcW w:w="2778" w:type="dxa"/>
            <w:tcBorders>
              <w:top w:val="nil"/>
              <w:left w:val="nil"/>
              <w:bottom w:val="nil"/>
              <w:right w:val="nil"/>
            </w:tcBorders>
            <w:shd w:val="clear" w:color="000000" w:fill="FFFFFF"/>
            <w:vAlign w:val="center"/>
            <w:hideMark/>
          </w:tcPr>
          <w:p w14:paraId="619241D1"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PresC(0.03±0.02)</w:t>
            </w:r>
          </w:p>
        </w:tc>
        <w:tc>
          <w:tcPr>
            <w:tcW w:w="1264" w:type="dxa"/>
            <w:tcBorders>
              <w:top w:val="nil"/>
              <w:left w:val="nil"/>
              <w:bottom w:val="nil"/>
              <w:right w:val="nil"/>
            </w:tcBorders>
            <w:shd w:val="clear" w:color="000000" w:fill="FFFFFF"/>
            <w:vAlign w:val="center"/>
            <w:hideMark/>
          </w:tcPr>
          <w:p w14:paraId="42F3CA7D"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0.18</w:t>
            </w:r>
          </w:p>
        </w:tc>
        <w:tc>
          <w:tcPr>
            <w:tcW w:w="1276" w:type="dxa"/>
            <w:vMerge w:val="restart"/>
            <w:tcBorders>
              <w:top w:val="nil"/>
              <w:left w:val="nil"/>
              <w:bottom w:val="nil"/>
              <w:right w:val="nil"/>
            </w:tcBorders>
            <w:shd w:val="clear" w:color="000000" w:fill="FFFFFF"/>
            <w:vAlign w:val="center"/>
            <w:hideMark/>
          </w:tcPr>
          <w:p w14:paraId="1DABF5E7"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0.24</w:t>
            </w:r>
          </w:p>
        </w:tc>
      </w:tr>
      <w:tr w:rsidR="00CB75A4" w:rsidRPr="00CB75A4" w14:paraId="733E0D0A" w14:textId="77777777" w:rsidTr="007E1E4E">
        <w:trPr>
          <w:trHeight w:val="561"/>
        </w:trPr>
        <w:tc>
          <w:tcPr>
            <w:tcW w:w="1544" w:type="dxa"/>
            <w:vMerge/>
            <w:tcBorders>
              <w:top w:val="nil"/>
              <w:left w:val="nil"/>
              <w:bottom w:val="nil"/>
              <w:right w:val="nil"/>
            </w:tcBorders>
            <w:vAlign w:val="center"/>
            <w:hideMark/>
          </w:tcPr>
          <w:p w14:paraId="0F307C18"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52156C33"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HC(0.01±9.8e-3)</w:t>
            </w:r>
          </w:p>
        </w:tc>
        <w:tc>
          <w:tcPr>
            <w:tcW w:w="2778" w:type="dxa"/>
            <w:tcBorders>
              <w:top w:val="nil"/>
              <w:left w:val="nil"/>
              <w:bottom w:val="nil"/>
              <w:right w:val="nil"/>
            </w:tcBorders>
            <w:shd w:val="clear" w:color="000000" w:fill="FFFFFF"/>
            <w:vAlign w:val="center"/>
            <w:hideMark/>
          </w:tcPr>
          <w:p w14:paraId="1AE4C54F"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LowC(0.01±0.01)</w:t>
            </w:r>
          </w:p>
        </w:tc>
        <w:tc>
          <w:tcPr>
            <w:tcW w:w="1264" w:type="dxa"/>
            <w:tcBorders>
              <w:top w:val="nil"/>
              <w:left w:val="nil"/>
              <w:bottom w:val="nil"/>
              <w:right w:val="nil"/>
            </w:tcBorders>
            <w:shd w:val="clear" w:color="000000" w:fill="FFFFFF"/>
            <w:vAlign w:val="center"/>
            <w:hideMark/>
          </w:tcPr>
          <w:p w14:paraId="557226F0"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0.8</w:t>
            </w:r>
          </w:p>
        </w:tc>
        <w:tc>
          <w:tcPr>
            <w:tcW w:w="1276" w:type="dxa"/>
            <w:vMerge/>
            <w:tcBorders>
              <w:top w:val="nil"/>
              <w:left w:val="nil"/>
              <w:bottom w:val="nil"/>
              <w:right w:val="nil"/>
            </w:tcBorders>
            <w:vAlign w:val="center"/>
            <w:hideMark/>
          </w:tcPr>
          <w:p w14:paraId="174CAAB8"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4EFA995A" w14:textId="77777777" w:rsidTr="007E1E4E">
        <w:trPr>
          <w:trHeight w:val="561"/>
        </w:trPr>
        <w:tc>
          <w:tcPr>
            <w:tcW w:w="1544" w:type="dxa"/>
            <w:vMerge/>
            <w:tcBorders>
              <w:top w:val="nil"/>
              <w:left w:val="nil"/>
              <w:bottom w:val="nil"/>
              <w:right w:val="nil"/>
            </w:tcBorders>
            <w:vAlign w:val="center"/>
            <w:hideMark/>
          </w:tcPr>
          <w:p w14:paraId="2E871B51"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102FAE72"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PresC(0.03±0.02)</w:t>
            </w:r>
          </w:p>
        </w:tc>
        <w:tc>
          <w:tcPr>
            <w:tcW w:w="2778" w:type="dxa"/>
            <w:tcBorders>
              <w:top w:val="nil"/>
              <w:left w:val="nil"/>
              <w:bottom w:val="nil"/>
              <w:right w:val="nil"/>
            </w:tcBorders>
            <w:shd w:val="clear" w:color="000000" w:fill="FFFFFF"/>
            <w:vAlign w:val="center"/>
            <w:hideMark/>
          </w:tcPr>
          <w:p w14:paraId="104411DA"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LowC(0.01±0.01)</w:t>
            </w:r>
          </w:p>
        </w:tc>
        <w:tc>
          <w:tcPr>
            <w:tcW w:w="1264" w:type="dxa"/>
            <w:tcBorders>
              <w:top w:val="nil"/>
              <w:left w:val="nil"/>
              <w:bottom w:val="nil"/>
              <w:right w:val="nil"/>
            </w:tcBorders>
            <w:shd w:val="clear" w:color="000000" w:fill="FFFFFF"/>
            <w:vAlign w:val="center"/>
            <w:hideMark/>
          </w:tcPr>
          <w:p w14:paraId="1E6D81C8"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0.16</w:t>
            </w:r>
          </w:p>
        </w:tc>
        <w:tc>
          <w:tcPr>
            <w:tcW w:w="1276" w:type="dxa"/>
            <w:vMerge/>
            <w:tcBorders>
              <w:top w:val="nil"/>
              <w:left w:val="nil"/>
              <w:bottom w:val="nil"/>
              <w:right w:val="nil"/>
            </w:tcBorders>
            <w:vAlign w:val="center"/>
            <w:hideMark/>
          </w:tcPr>
          <w:p w14:paraId="6A18A83A"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54FA8E7C" w14:textId="77777777" w:rsidTr="007E1E4E">
        <w:trPr>
          <w:trHeight w:val="561"/>
        </w:trPr>
        <w:tc>
          <w:tcPr>
            <w:tcW w:w="1544" w:type="dxa"/>
            <w:vMerge w:val="restart"/>
            <w:tcBorders>
              <w:top w:val="nil"/>
              <w:left w:val="nil"/>
              <w:bottom w:val="nil"/>
              <w:right w:val="nil"/>
            </w:tcBorders>
            <w:shd w:val="clear" w:color="000000" w:fill="FFFFFF"/>
            <w:vAlign w:val="center"/>
            <w:hideMark/>
          </w:tcPr>
          <w:p w14:paraId="7ED9FB31"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r w:rsidRPr="00CB75A4">
              <w:rPr>
                <w:rFonts w:ascii="Arial" w:hAnsi="Arial" w:cs="Arial"/>
                <w:b/>
                <w:bCs/>
                <w:color w:val="000000" w:themeColor="text1"/>
                <w:kern w:val="0"/>
                <w:sz w:val="18"/>
                <w:szCs w:val="18"/>
              </w:rPr>
              <w:t>Dendritic cells resting</w:t>
            </w:r>
          </w:p>
        </w:tc>
        <w:tc>
          <w:tcPr>
            <w:tcW w:w="2778" w:type="dxa"/>
            <w:tcBorders>
              <w:top w:val="nil"/>
              <w:left w:val="nil"/>
              <w:bottom w:val="nil"/>
              <w:right w:val="nil"/>
            </w:tcBorders>
            <w:shd w:val="clear" w:color="000000" w:fill="FFFFFF"/>
            <w:vAlign w:val="center"/>
            <w:hideMark/>
          </w:tcPr>
          <w:p w14:paraId="0B867D6A"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HC(0.0e+0±0.0e+0)</w:t>
            </w:r>
          </w:p>
        </w:tc>
        <w:tc>
          <w:tcPr>
            <w:tcW w:w="2778" w:type="dxa"/>
            <w:tcBorders>
              <w:top w:val="nil"/>
              <w:left w:val="nil"/>
              <w:bottom w:val="nil"/>
              <w:right w:val="nil"/>
            </w:tcBorders>
            <w:shd w:val="clear" w:color="000000" w:fill="FFFFFF"/>
            <w:vAlign w:val="center"/>
            <w:hideMark/>
          </w:tcPr>
          <w:p w14:paraId="418613AA"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PresC(0.0e+0±0.0e+0)</w:t>
            </w:r>
          </w:p>
        </w:tc>
        <w:tc>
          <w:tcPr>
            <w:tcW w:w="1264" w:type="dxa"/>
            <w:tcBorders>
              <w:top w:val="nil"/>
              <w:left w:val="nil"/>
              <w:bottom w:val="nil"/>
              <w:right w:val="nil"/>
            </w:tcBorders>
            <w:shd w:val="clear" w:color="000000" w:fill="FFFFFF"/>
            <w:vAlign w:val="center"/>
            <w:hideMark/>
          </w:tcPr>
          <w:p w14:paraId="4FAD3786"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NA</w:t>
            </w:r>
          </w:p>
        </w:tc>
        <w:tc>
          <w:tcPr>
            <w:tcW w:w="1276" w:type="dxa"/>
            <w:vMerge w:val="restart"/>
            <w:tcBorders>
              <w:top w:val="nil"/>
              <w:left w:val="nil"/>
              <w:bottom w:val="nil"/>
              <w:right w:val="nil"/>
            </w:tcBorders>
            <w:shd w:val="clear" w:color="000000" w:fill="FFFFFF"/>
            <w:vAlign w:val="center"/>
            <w:hideMark/>
          </w:tcPr>
          <w:p w14:paraId="4337F68E"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NA</w:t>
            </w:r>
          </w:p>
        </w:tc>
      </w:tr>
      <w:tr w:rsidR="00CB75A4" w:rsidRPr="00CB75A4" w14:paraId="32BDE8F0" w14:textId="77777777" w:rsidTr="007E1E4E">
        <w:trPr>
          <w:trHeight w:val="561"/>
        </w:trPr>
        <w:tc>
          <w:tcPr>
            <w:tcW w:w="1544" w:type="dxa"/>
            <w:vMerge/>
            <w:tcBorders>
              <w:top w:val="nil"/>
              <w:left w:val="nil"/>
              <w:bottom w:val="nil"/>
              <w:right w:val="nil"/>
            </w:tcBorders>
            <w:vAlign w:val="center"/>
            <w:hideMark/>
          </w:tcPr>
          <w:p w14:paraId="2B391047"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4732367B"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HC(0.0e+0±0.0e+0)</w:t>
            </w:r>
          </w:p>
        </w:tc>
        <w:tc>
          <w:tcPr>
            <w:tcW w:w="2778" w:type="dxa"/>
            <w:tcBorders>
              <w:top w:val="nil"/>
              <w:left w:val="nil"/>
              <w:bottom w:val="nil"/>
              <w:right w:val="nil"/>
            </w:tcBorders>
            <w:shd w:val="clear" w:color="000000" w:fill="FFFFFF"/>
            <w:vAlign w:val="center"/>
            <w:hideMark/>
          </w:tcPr>
          <w:p w14:paraId="6C60D97C"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LowC(0.0e+0±0.0e+0)</w:t>
            </w:r>
          </w:p>
        </w:tc>
        <w:tc>
          <w:tcPr>
            <w:tcW w:w="1264" w:type="dxa"/>
            <w:tcBorders>
              <w:top w:val="nil"/>
              <w:left w:val="nil"/>
              <w:bottom w:val="nil"/>
              <w:right w:val="nil"/>
            </w:tcBorders>
            <w:shd w:val="clear" w:color="000000" w:fill="FFFFFF"/>
            <w:vAlign w:val="center"/>
            <w:hideMark/>
          </w:tcPr>
          <w:p w14:paraId="5A844ADA"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NA</w:t>
            </w:r>
          </w:p>
        </w:tc>
        <w:tc>
          <w:tcPr>
            <w:tcW w:w="1276" w:type="dxa"/>
            <w:vMerge/>
            <w:tcBorders>
              <w:top w:val="nil"/>
              <w:left w:val="nil"/>
              <w:bottom w:val="nil"/>
              <w:right w:val="nil"/>
            </w:tcBorders>
            <w:vAlign w:val="center"/>
            <w:hideMark/>
          </w:tcPr>
          <w:p w14:paraId="2038811D"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652B7962" w14:textId="77777777" w:rsidTr="007E1E4E">
        <w:trPr>
          <w:trHeight w:val="561"/>
        </w:trPr>
        <w:tc>
          <w:tcPr>
            <w:tcW w:w="1544" w:type="dxa"/>
            <w:vMerge/>
            <w:tcBorders>
              <w:top w:val="nil"/>
              <w:left w:val="nil"/>
              <w:bottom w:val="nil"/>
              <w:right w:val="nil"/>
            </w:tcBorders>
            <w:vAlign w:val="center"/>
            <w:hideMark/>
          </w:tcPr>
          <w:p w14:paraId="3A9E09E4"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5BEE4D56"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PresC(0.0e+0±0.0e+0)</w:t>
            </w:r>
          </w:p>
        </w:tc>
        <w:tc>
          <w:tcPr>
            <w:tcW w:w="2778" w:type="dxa"/>
            <w:tcBorders>
              <w:top w:val="nil"/>
              <w:left w:val="nil"/>
              <w:bottom w:val="nil"/>
              <w:right w:val="nil"/>
            </w:tcBorders>
            <w:shd w:val="clear" w:color="000000" w:fill="FFFFFF"/>
            <w:vAlign w:val="center"/>
            <w:hideMark/>
          </w:tcPr>
          <w:p w14:paraId="6019D074"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LowC(0.0e+0±0.0e+0)</w:t>
            </w:r>
          </w:p>
        </w:tc>
        <w:tc>
          <w:tcPr>
            <w:tcW w:w="1264" w:type="dxa"/>
            <w:tcBorders>
              <w:top w:val="nil"/>
              <w:left w:val="nil"/>
              <w:bottom w:val="nil"/>
              <w:right w:val="nil"/>
            </w:tcBorders>
            <w:shd w:val="clear" w:color="000000" w:fill="FFFFFF"/>
            <w:vAlign w:val="center"/>
            <w:hideMark/>
          </w:tcPr>
          <w:p w14:paraId="595EE7C7"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NA</w:t>
            </w:r>
          </w:p>
        </w:tc>
        <w:tc>
          <w:tcPr>
            <w:tcW w:w="1276" w:type="dxa"/>
            <w:vMerge/>
            <w:tcBorders>
              <w:top w:val="nil"/>
              <w:left w:val="nil"/>
              <w:bottom w:val="nil"/>
              <w:right w:val="nil"/>
            </w:tcBorders>
            <w:vAlign w:val="center"/>
            <w:hideMark/>
          </w:tcPr>
          <w:p w14:paraId="28EE9DE1"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3CA8DC46" w14:textId="77777777" w:rsidTr="007E1E4E">
        <w:trPr>
          <w:trHeight w:val="561"/>
        </w:trPr>
        <w:tc>
          <w:tcPr>
            <w:tcW w:w="1544" w:type="dxa"/>
            <w:vMerge w:val="restart"/>
            <w:tcBorders>
              <w:top w:val="nil"/>
              <w:left w:val="nil"/>
              <w:bottom w:val="nil"/>
              <w:right w:val="nil"/>
            </w:tcBorders>
            <w:shd w:val="clear" w:color="000000" w:fill="FFFFFF"/>
            <w:vAlign w:val="center"/>
            <w:hideMark/>
          </w:tcPr>
          <w:p w14:paraId="4FDC8ABA"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r w:rsidRPr="00CB75A4">
              <w:rPr>
                <w:rFonts w:ascii="Arial" w:hAnsi="Arial" w:cs="Arial"/>
                <w:b/>
                <w:bCs/>
                <w:color w:val="000000" w:themeColor="text1"/>
                <w:kern w:val="0"/>
                <w:sz w:val="18"/>
                <w:szCs w:val="18"/>
              </w:rPr>
              <w:t>Dendritic cells activated</w:t>
            </w:r>
          </w:p>
        </w:tc>
        <w:tc>
          <w:tcPr>
            <w:tcW w:w="2778" w:type="dxa"/>
            <w:tcBorders>
              <w:top w:val="nil"/>
              <w:left w:val="nil"/>
              <w:bottom w:val="nil"/>
              <w:right w:val="nil"/>
            </w:tcBorders>
            <w:shd w:val="clear" w:color="000000" w:fill="FFFFFF"/>
            <w:vAlign w:val="center"/>
            <w:hideMark/>
          </w:tcPr>
          <w:p w14:paraId="5AC2F183"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HC(2.4e-3±5.5e-3)</w:t>
            </w:r>
          </w:p>
        </w:tc>
        <w:tc>
          <w:tcPr>
            <w:tcW w:w="2778" w:type="dxa"/>
            <w:tcBorders>
              <w:top w:val="nil"/>
              <w:left w:val="nil"/>
              <w:bottom w:val="nil"/>
              <w:right w:val="nil"/>
            </w:tcBorders>
            <w:shd w:val="clear" w:color="000000" w:fill="FFFFFF"/>
            <w:vAlign w:val="center"/>
            <w:hideMark/>
          </w:tcPr>
          <w:p w14:paraId="03B816AB"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PresC(1.7e-3±4.4e-3)</w:t>
            </w:r>
          </w:p>
        </w:tc>
        <w:tc>
          <w:tcPr>
            <w:tcW w:w="1264" w:type="dxa"/>
            <w:tcBorders>
              <w:top w:val="nil"/>
              <w:left w:val="nil"/>
              <w:bottom w:val="nil"/>
              <w:right w:val="nil"/>
            </w:tcBorders>
            <w:shd w:val="clear" w:color="000000" w:fill="FFFFFF"/>
            <w:vAlign w:val="center"/>
            <w:hideMark/>
          </w:tcPr>
          <w:p w14:paraId="484A5D10"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0.59</w:t>
            </w:r>
          </w:p>
        </w:tc>
        <w:tc>
          <w:tcPr>
            <w:tcW w:w="1276" w:type="dxa"/>
            <w:vMerge w:val="restart"/>
            <w:tcBorders>
              <w:top w:val="nil"/>
              <w:left w:val="nil"/>
              <w:bottom w:val="nil"/>
              <w:right w:val="nil"/>
            </w:tcBorders>
            <w:shd w:val="clear" w:color="000000" w:fill="FFFFFF"/>
            <w:vAlign w:val="center"/>
            <w:hideMark/>
          </w:tcPr>
          <w:p w14:paraId="67E0F877"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0.68</w:t>
            </w:r>
          </w:p>
        </w:tc>
      </w:tr>
      <w:tr w:rsidR="00CB75A4" w:rsidRPr="00CB75A4" w14:paraId="0E5D4489" w14:textId="77777777" w:rsidTr="007E1E4E">
        <w:trPr>
          <w:trHeight w:val="561"/>
        </w:trPr>
        <w:tc>
          <w:tcPr>
            <w:tcW w:w="1544" w:type="dxa"/>
            <w:vMerge/>
            <w:tcBorders>
              <w:top w:val="nil"/>
              <w:left w:val="nil"/>
              <w:bottom w:val="nil"/>
              <w:right w:val="nil"/>
            </w:tcBorders>
            <w:vAlign w:val="center"/>
            <w:hideMark/>
          </w:tcPr>
          <w:p w14:paraId="35174A9D"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59963310"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HC(2.4e-3±5.5e-3)</w:t>
            </w:r>
          </w:p>
        </w:tc>
        <w:tc>
          <w:tcPr>
            <w:tcW w:w="2778" w:type="dxa"/>
            <w:tcBorders>
              <w:top w:val="nil"/>
              <w:left w:val="nil"/>
              <w:bottom w:val="nil"/>
              <w:right w:val="nil"/>
            </w:tcBorders>
            <w:shd w:val="clear" w:color="000000" w:fill="FFFFFF"/>
            <w:vAlign w:val="center"/>
            <w:hideMark/>
          </w:tcPr>
          <w:p w14:paraId="7231D855"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LowC(2.0e-5±5.4e-5)</w:t>
            </w:r>
          </w:p>
        </w:tc>
        <w:tc>
          <w:tcPr>
            <w:tcW w:w="1264" w:type="dxa"/>
            <w:tcBorders>
              <w:top w:val="nil"/>
              <w:left w:val="nil"/>
              <w:bottom w:val="nil"/>
              <w:right w:val="nil"/>
            </w:tcBorders>
            <w:shd w:val="clear" w:color="000000" w:fill="FFFFFF"/>
            <w:vAlign w:val="center"/>
            <w:hideMark/>
          </w:tcPr>
          <w:p w14:paraId="7D4527D1"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0.48</w:t>
            </w:r>
          </w:p>
        </w:tc>
        <w:tc>
          <w:tcPr>
            <w:tcW w:w="1276" w:type="dxa"/>
            <w:vMerge/>
            <w:tcBorders>
              <w:top w:val="nil"/>
              <w:left w:val="nil"/>
              <w:bottom w:val="nil"/>
              <w:right w:val="nil"/>
            </w:tcBorders>
            <w:vAlign w:val="center"/>
            <w:hideMark/>
          </w:tcPr>
          <w:p w14:paraId="61156F57"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53A11691" w14:textId="77777777" w:rsidTr="007E1E4E">
        <w:trPr>
          <w:trHeight w:val="561"/>
        </w:trPr>
        <w:tc>
          <w:tcPr>
            <w:tcW w:w="1544" w:type="dxa"/>
            <w:vMerge/>
            <w:tcBorders>
              <w:top w:val="nil"/>
              <w:left w:val="nil"/>
              <w:bottom w:val="nil"/>
              <w:right w:val="nil"/>
            </w:tcBorders>
            <w:vAlign w:val="center"/>
            <w:hideMark/>
          </w:tcPr>
          <w:p w14:paraId="2B1AECC6"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42FA39D4"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PresC(1.7e-3±4.4e-3)</w:t>
            </w:r>
          </w:p>
        </w:tc>
        <w:tc>
          <w:tcPr>
            <w:tcW w:w="2778" w:type="dxa"/>
            <w:tcBorders>
              <w:top w:val="nil"/>
              <w:left w:val="nil"/>
              <w:bottom w:val="nil"/>
              <w:right w:val="nil"/>
            </w:tcBorders>
            <w:shd w:val="clear" w:color="000000" w:fill="FFFFFF"/>
            <w:vAlign w:val="center"/>
            <w:hideMark/>
          </w:tcPr>
          <w:p w14:paraId="148941F3"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LowC(2.0e-5±5.4e-5)</w:t>
            </w:r>
          </w:p>
        </w:tc>
        <w:tc>
          <w:tcPr>
            <w:tcW w:w="1264" w:type="dxa"/>
            <w:tcBorders>
              <w:top w:val="nil"/>
              <w:left w:val="nil"/>
              <w:bottom w:val="nil"/>
              <w:right w:val="nil"/>
            </w:tcBorders>
            <w:shd w:val="clear" w:color="000000" w:fill="FFFFFF"/>
            <w:vAlign w:val="center"/>
            <w:hideMark/>
          </w:tcPr>
          <w:p w14:paraId="70B3C923"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1</w:t>
            </w:r>
          </w:p>
        </w:tc>
        <w:tc>
          <w:tcPr>
            <w:tcW w:w="1276" w:type="dxa"/>
            <w:vMerge/>
            <w:tcBorders>
              <w:top w:val="nil"/>
              <w:left w:val="nil"/>
              <w:bottom w:val="nil"/>
              <w:right w:val="nil"/>
            </w:tcBorders>
            <w:vAlign w:val="center"/>
            <w:hideMark/>
          </w:tcPr>
          <w:p w14:paraId="3C3836F5"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7C97C92A" w14:textId="77777777" w:rsidTr="007E1E4E">
        <w:trPr>
          <w:trHeight w:val="561"/>
        </w:trPr>
        <w:tc>
          <w:tcPr>
            <w:tcW w:w="1544" w:type="dxa"/>
            <w:vMerge w:val="restart"/>
            <w:tcBorders>
              <w:top w:val="nil"/>
              <w:left w:val="nil"/>
              <w:bottom w:val="nil"/>
              <w:right w:val="nil"/>
            </w:tcBorders>
            <w:shd w:val="clear" w:color="000000" w:fill="FFFFFF"/>
            <w:vAlign w:val="center"/>
            <w:hideMark/>
          </w:tcPr>
          <w:p w14:paraId="65EB900A"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r w:rsidRPr="00CB75A4">
              <w:rPr>
                <w:rFonts w:ascii="Arial" w:hAnsi="Arial" w:cs="Arial"/>
                <w:b/>
                <w:bCs/>
                <w:color w:val="000000" w:themeColor="text1"/>
                <w:kern w:val="0"/>
                <w:sz w:val="18"/>
                <w:szCs w:val="18"/>
              </w:rPr>
              <w:t>Mast cells resting</w:t>
            </w:r>
          </w:p>
        </w:tc>
        <w:tc>
          <w:tcPr>
            <w:tcW w:w="2778" w:type="dxa"/>
            <w:tcBorders>
              <w:top w:val="nil"/>
              <w:left w:val="nil"/>
              <w:bottom w:val="nil"/>
              <w:right w:val="nil"/>
            </w:tcBorders>
            <w:shd w:val="clear" w:color="000000" w:fill="FFFFFF"/>
            <w:vAlign w:val="center"/>
            <w:hideMark/>
          </w:tcPr>
          <w:p w14:paraId="1901C7E5"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HC(3.1e-3±8.2e-3)</w:t>
            </w:r>
          </w:p>
        </w:tc>
        <w:tc>
          <w:tcPr>
            <w:tcW w:w="2778" w:type="dxa"/>
            <w:tcBorders>
              <w:top w:val="nil"/>
              <w:left w:val="nil"/>
              <w:bottom w:val="nil"/>
              <w:right w:val="nil"/>
            </w:tcBorders>
            <w:shd w:val="clear" w:color="000000" w:fill="FFFFFF"/>
            <w:vAlign w:val="center"/>
            <w:hideMark/>
          </w:tcPr>
          <w:p w14:paraId="745E641F"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PresC(0.02±6.5e-3)</w:t>
            </w:r>
          </w:p>
        </w:tc>
        <w:tc>
          <w:tcPr>
            <w:tcW w:w="1264" w:type="dxa"/>
            <w:tcBorders>
              <w:top w:val="nil"/>
              <w:left w:val="nil"/>
              <w:bottom w:val="nil"/>
              <w:right w:val="nil"/>
            </w:tcBorders>
            <w:shd w:val="clear" w:color="000000" w:fill="FFFFFF"/>
            <w:vAlign w:val="center"/>
            <w:hideMark/>
          </w:tcPr>
          <w:p w14:paraId="6433E17C"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5.20E-03</w:t>
            </w:r>
          </w:p>
        </w:tc>
        <w:tc>
          <w:tcPr>
            <w:tcW w:w="1276" w:type="dxa"/>
            <w:vMerge w:val="restart"/>
            <w:tcBorders>
              <w:top w:val="nil"/>
              <w:left w:val="nil"/>
              <w:bottom w:val="nil"/>
              <w:right w:val="nil"/>
            </w:tcBorders>
            <w:shd w:val="clear" w:color="000000" w:fill="FFFFFF"/>
            <w:vAlign w:val="center"/>
            <w:hideMark/>
          </w:tcPr>
          <w:p w14:paraId="355E455D"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3.10E-03</w:t>
            </w:r>
          </w:p>
        </w:tc>
      </w:tr>
      <w:tr w:rsidR="00CB75A4" w:rsidRPr="00CB75A4" w14:paraId="4E275566" w14:textId="77777777" w:rsidTr="007E1E4E">
        <w:trPr>
          <w:trHeight w:val="561"/>
        </w:trPr>
        <w:tc>
          <w:tcPr>
            <w:tcW w:w="1544" w:type="dxa"/>
            <w:vMerge/>
            <w:tcBorders>
              <w:top w:val="nil"/>
              <w:left w:val="nil"/>
              <w:bottom w:val="nil"/>
              <w:right w:val="nil"/>
            </w:tcBorders>
            <w:vAlign w:val="center"/>
            <w:hideMark/>
          </w:tcPr>
          <w:p w14:paraId="660D3BEE"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24C0F40D"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HC(3.1e-3±8.2e-3)</w:t>
            </w:r>
          </w:p>
        </w:tc>
        <w:tc>
          <w:tcPr>
            <w:tcW w:w="2778" w:type="dxa"/>
            <w:tcBorders>
              <w:top w:val="nil"/>
              <w:left w:val="nil"/>
              <w:bottom w:val="nil"/>
              <w:right w:val="nil"/>
            </w:tcBorders>
            <w:shd w:val="clear" w:color="000000" w:fill="FFFFFF"/>
            <w:vAlign w:val="center"/>
            <w:hideMark/>
          </w:tcPr>
          <w:p w14:paraId="195F615B"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LowC(8.3e-3±7.5e-3)</w:t>
            </w:r>
          </w:p>
        </w:tc>
        <w:tc>
          <w:tcPr>
            <w:tcW w:w="1264" w:type="dxa"/>
            <w:tcBorders>
              <w:top w:val="nil"/>
              <w:left w:val="nil"/>
              <w:bottom w:val="nil"/>
              <w:right w:val="nil"/>
            </w:tcBorders>
            <w:shd w:val="clear" w:color="000000" w:fill="FFFFFF"/>
            <w:vAlign w:val="center"/>
            <w:hideMark/>
          </w:tcPr>
          <w:p w14:paraId="7B26903C"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0.06</w:t>
            </w:r>
          </w:p>
        </w:tc>
        <w:tc>
          <w:tcPr>
            <w:tcW w:w="1276" w:type="dxa"/>
            <w:vMerge/>
            <w:tcBorders>
              <w:top w:val="nil"/>
              <w:left w:val="nil"/>
              <w:bottom w:val="nil"/>
              <w:right w:val="nil"/>
            </w:tcBorders>
            <w:vAlign w:val="center"/>
            <w:hideMark/>
          </w:tcPr>
          <w:p w14:paraId="11784623"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159C26CB" w14:textId="77777777" w:rsidTr="007E1E4E">
        <w:trPr>
          <w:trHeight w:val="561"/>
        </w:trPr>
        <w:tc>
          <w:tcPr>
            <w:tcW w:w="1544" w:type="dxa"/>
            <w:vMerge/>
            <w:tcBorders>
              <w:top w:val="nil"/>
              <w:left w:val="nil"/>
              <w:bottom w:val="nil"/>
              <w:right w:val="nil"/>
            </w:tcBorders>
            <w:vAlign w:val="center"/>
            <w:hideMark/>
          </w:tcPr>
          <w:p w14:paraId="56041C18"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76B6B017"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PresC(0.02±6.5e-3)</w:t>
            </w:r>
          </w:p>
        </w:tc>
        <w:tc>
          <w:tcPr>
            <w:tcW w:w="2778" w:type="dxa"/>
            <w:tcBorders>
              <w:top w:val="nil"/>
              <w:left w:val="nil"/>
              <w:bottom w:val="nil"/>
              <w:right w:val="nil"/>
            </w:tcBorders>
            <w:shd w:val="clear" w:color="000000" w:fill="FFFFFF"/>
            <w:vAlign w:val="center"/>
            <w:hideMark/>
          </w:tcPr>
          <w:p w14:paraId="598E475C"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LowC(8.3e-3±7.5e-3)</w:t>
            </w:r>
          </w:p>
        </w:tc>
        <w:tc>
          <w:tcPr>
            <w:tcW w:w="1264" w:type="dxa"/>
            <w:tcBorders>
              <w:top w:val="nil"/>
              <w:left w:val="nil"/>
              <w:bottom w:val="nil"/>
              <w:right w:val="nil"/>
            </w:tcBorders>
            <w:shd w:val="clear" w:color="000000" w:fill="FFFFFF"/>
            <w:vAlign w:val="center"/>
            <w:hideMark/>
          </w:tcPr>
          <w:p w14:paraId="42546891"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0.01</w:t>
            </w:r>
          </w:p>
        </w:tc>
        <w:tc>
          <w:tcPr>
            <w:tcW w:w="1276" w:type="dxa"/>
            <w:vMerge/>
            <w:tcBorders>
              <w:top w:val="nil"/>
              <w:left w:val="nil"/>
              <w:bottom w:val="nil"/>
              <w:right w:val="nil"/>
            </w:tcBorders>
            <w:vAlign w:val="center"/>
            <w:hideMark/>
          </w:tcPr>
          <w:p w14:paraId="3B3C5BD7"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75703FB4" w14:textId="77777777" w:rsidTr="007E1E4E">
        <w:trPr>
          <w:trHeight w:val="561"/>
        </w:trPr>
        <w:tc>
          <w:tcPr>
            <w:tcW w:w="1544" w:type="dxa"/>
            <w:vMerge w:val="restart"/>
            <w:tcBorders>
              <w:top w:val="nil"/>
              <w:left w:val="nil"/>
              <w:bottom w:val="nil"/>
              <w:right w:val="nil"/>
            </w:tcBorders>
            <w:shd w:val="clear" w:color="000000" w:fill="FFFFFF"/>
            <w:vAlign w:val="center"/>
            <w:hideMark/>
          </w:tcPr>
          <w:p w14:paraId="2288EB80"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r w:rsidRPr="00CB75A4">
              <w:rPr>
                <w:rFonts w:ascii="Arial" w:hAnsi="Arial" w:cs="Arial"/>
                <w:b/>
                <w:bCs/>
                <w:color w:val="000000" w:themeColor="text1"/>
                <w:kern w:val="0"/>
                <w:sz w:val="18"/>
                <w:szCs w:val="18"/>
              </w:rPr>
              <w:t>Mast cells activated</w:t>
            </w:r>
          </w:p>
        </w:tc>
        <w:tc>
          <w:tcPr>
            <w:tcW w:w="2778" w:type="dxa"/>
            <w:tcBorders>
              <w:top w:val="nil"/>
              <w:left w:val="nil"/>
              <w:bottom w:val="nil"/>
              <w:right w:val="nil"/>
            </w:tcBorders>
            <w:shd w:val="clear" w:color="000000" w:fill="FFFFFF"/>
            <w:vAlign w:val="center"/>
            <w:hideMark/>
          </w:tcPr>
          <w:p w14:paraId="79BF585A"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HC(0.01±0.01)</w:t>
            </w:r>
          </w:p>
        </w:tc>
        <w:tc>
          <w:tcPr>
            <w:tcW w:w="2778" w:type="dxa"/>
            <w:tcBorders>
              <w:top w:val="nil"/>
              <w:left w:val="nil"/>
              <w:bottom w:val="nil"/>
              <w:right w:val="nil"/>
            </w:tcBorders>
            <w:shd w:val="clear" w:color="000000" w:fill="FFFFFF"/>
            <w:vAlign w:val="center"/>
            <w:hideMark/>
          </w:tcPr>
          <w:p w14:paraId="3CAD6025"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PresC(0.0e+0±0.0e+0)</w:t>
            </w:r>
          </w:p>
        </w:tc>
        <w:tc>
          <w:tcPr>
            <w:tcW w:w="1264" w:type="dxa"/>
            <w:tcBorders>
              <w:top w:val="nil"/>
              <w:left w:val="nil"/>
              <w:bottom w:val="nil"/>
              <w:right w:val="nil"/>
            </w:tcBorders>
            <w:shd w:val="clear" w:color="000000" w:fill="FFFFFF"/>
            <w:vAlign w:val="center"/>
            <w:hideMark/>
          </w:tcPr>
          <w:p w14:paraId="624E3133"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0.01</w:t>
            </w:r>
          </w:p>
        </w:tc>
        <w:tc>
          <w:tcPr>
            <w:tcW w:w="1276" w:type="dxa"/>
            <w:vMerge w:val="restart"/>
            <w:tcBorders>
              <w:top w:val="nil"/>
              <w:left w:val="nil"/>
              <w:bottom w:val="nil"/>
              <w:right w:val="nil"/>
            </w:tcBorders>
            <w:shd w:val="clear" w:color="000000" w:fill="FFFFFF"/>
            <w:vAlign w:val="center"/>
            <w:hideMark/>
          </w:tcPr>
          <w:p w14:paraId="6CC24F7C"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2.20E-03</w:t>
            </w:r>
          </w:p>
        </w:tc>
      </w:tr>
      <w:tr w:rsidR="00CB75A4" w:rsidRPr="00CB75A4" w14:paraId="591A5941" w14:textId="77777777" w:rsidTr="007E1E4E">
        <w:trPr>
          <w:trHeight w:val="561"/>
        </w:trPr>
        <w:tc>
          <w:tcPr>
            <w:tcW w:w="1544" w:type="dxa"/>
            <w:vMerge/>
            <w:tcBorders>
              <w:top w:val="nil"/>
              <w:left w:val="nil"/>
              <w:bottom w:val="nil"/>
              <w:right w:val="nil"/>
            </w:tcBorders>
            <w:vAlign w:val="center"/>
            <w:hideMark/>
          </w:tcPr>
          <w:p w14:paraId="6E48DFBD"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7CBC3F88"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HC(0.01±0.01)</w:t>
            </w:r>
          </w:p>
        </w:tc>
        <w:tc>
          <w:tcPr>
            <w:tcW w:w="2778" w:type="dxa"/>
            <w:tcBorders>
              <w:top w:val="nil"/>
              <w:left w:val="nil"/>
              <w:bottom w:val="nil"/>
              <w:right w:val="nil"/>
            </w:tcBorders>
            <w:shd w:val="clear" w:color="000000" w:fill="FFFFFF"/>
            <w:vAlign w:val="center"/>
            <w:hideMark/>
          </w:tcPr>
          <w:p w14:paraId="5CDE3792"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LowC(0.0e+0±0.0e+0)</w:t>
            </w:r>
          </w:p>
        </w:tc>
        <w:tc>
          <w:tcPr>
            <w:tcW w:w="1264" w:type="dxa"/>
            <w:tcBorders>
              <w:top w:val="nil"/>
              <w:left w:val="nil"/>
              <w:bottom w:val="nil"/>
              <w:right w:val="nil"/>
            </w:tcBorders>
            <w:shd w:val="clear" w:color="000000" w:fill="FFFFFF"/>
            <w:vAlign w:val="center"/>
            <w:hideMark/>
          </w:tcPr>
          <w:p w14:paraId="5406BCEC"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0.01</w:t>
            </w:r>
          </w:p>
        </w:tc>
        <w:tc>
          <w:tcPr>
            <w:tcW w:w="1276" w:type="dxa"/>
            <w:vMerge/>
            <w:tcBorders>
              <w:top w:val="nil"/>
              <w:left w:val="nil"/>
              <w:bottom w:val="nil"/>
              <w:right w:val="nil"/>
            </w:tcBorders>
            <w:vAlign w:val="center"/>
            <w:hideMark/>
          </w:tcPr>
          <w:p w14:paraId="218A7E41"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5C0E5FEC" w14:textId="77777777" w:rsidTr="007E1E4E">
        <w:trPr>
          <w:trHeight w:val="561"/>
        </w:trPr>
        <w:tc>
          <w:tcPr>
            <w:tcW w:w="1544" w:type="dxa"/>
            <w:vMerge/>
            <w:tcBorders>
              <w:top w:val="nil"/>
              <w:left w:val="nil"/>
              <w:bottom w:val="nil"/>
              <w:right w:val="nil"/>
            </w:tcBorders>
            <w:vAlign w:val="center"/>
            <w:hideMark/>
          </w:tcPr>
          <w:p w14:paraId="62DF040E"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20AB6714"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PresC(0.0e+0±0.0e+0)</w:t>
            </w:r>
          </w:p>
        </w:tc>
        <w:tc>
          <w:tcPr>
            <w:tcW w:w="2778" w:type="dxa"/>
            <w:tcBorders>
              <w:top w:val="nil"/>
              <w:left w:val="nil"/>
              <w:bottom w:val="nil"/>
              <w:right w:val="nil"/>
            </w:tcBorders>
            <w:shd w:val="clear" w:color="000000" w:fill="FFFFFF"/>
            <w:vAlign w:val="center"/>
            <w:hideMark/>
          </w:tcPr>
          <w:p w14:paraId="6A9E2382"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LowC(0.0e+0±0.0e+0)</w:t>
            </w:r>
          </w:p>
        </w:tc>
        <w:tc>
          <w:tcPr>
            <w:tcW w:w="1264" w:type="dxa"/>
            <w:tcBorders>
              <w:top w:val="nil"/>
              <w:left w:val="nil"/>
              <w:bottom w:val="nil"/>
              <w:right w:val="nil"/>
            </w:tcBorders>
            <w:shd w:val="clear" w:color="000000" w:fill="FFFFFF"/>
            <w:vAlign w:val="center"/>
            <w:hideMark/>
          </w:tcPr>
          <w:p w14:paraId="4FC529BD"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NA</w:t>
            </w:r>
          </w:p>
        </w:tc>
        <w:tc>
          <w:tcPr>
            <w:tcW w:w="1276" w:type="dxa"/>
            <w:vMerge/>
            <w:tcBorders>
              <w:top w:val="nil"/>
              <w:left w:val="nil"/>
              <w:bottom w:val="nil"/>
              <w:right w:val="nil"/>
            </w:tcBorders>
            <w:vAlign w:val="center"/>
            <w:hideMark/>
          </w:tcPr>
          <w:p w14:paraId="59DF06A2"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2851DEB6" w14:textId="77777777" w:rsidTr="007E1E4E">
        <w:trPr>
          <w:trHeight w:val="561"/>
        </w:trPr>
        <w:tc>
          <w:tcPr>
            <w:tcW w:w="1544" w:type="dxa"/>
            <w:vMerge w:val="restart"/>
            <w:tcBorders>
              <w:top w:val="nil"/>
              <w:left w:val="nil"/>
              <w:bottom w:val="nil"/>
              <w:right w:val="nil"/>
            </w:tcBorders>
            <w:shd w:val="clear" w:color="000000" w:fill="FFFFFF"/>
            <w:vAlign w:val="center"/>
            <w:hideMark/>
          </w:tcPr>
          <w:p w14:paraId="2E82D03B"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r w:rsidRPr="00CB75A4">
              <w:rPr>
                <w:rFonts w:ascii="Arial" w:hAnsi="Arial" w:cs="Arial"/>
                <w:b/>
                <w:bCs/>
                <w:color w:val="000000" w:themeColor="text1"/>
                <w:kern w:val="0"/>
                <w:sz w:val="18"/>
                <w:szCs w:val="18"/>
              </w:rPr>
              <w:t>Eosinophils</w:t>
            </w:r>
          </w:p>
        </w:tc>
        <w:tc>
          <w:tcPr>
            <w:tcW w:w="2778" w:type="dxa"/>
            <w:tcBorders>
              <w:top w:val="nil"/>
              <w:left w:val="nil"/>
              <w:bottom w:val="nil"/>
              <w:right w:val="nil"/>
            </w:tcBorders>
            <w:shd w:val="clear" w:color="000000" w:fill="FFFFFF"/>
            <w:vAlign w:val="center"/>
            <w:hideMark/>
          </w:tcPr>
          <w:p w14:paraId="6B7B25B2"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HC(0.01±0.01)</w:t>
            </w:r>
          </w:p>
        </w:tc>
        <w:tc>
          <w:tcPr>
            <w:tcW w:w="2778" w:type="dxa"/>
            <w:tcBorders>
              <w:top w:val="nil"/>
              <w:left w:val="nil"/>
              <w:bottom w:val="nil"/>
              <w:right w:val="nil"/>
            </w:tcBorders>
            <w:shd w:val="clear" w:color="000000" w:fill="FFFFFF"/>
            <w:vAlign w:val="center"/>
            <w:hideMark/>
          </w:tcPr>
          <w:p w14:paraId="6E621BB1"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PresC(0.0e+0±0.0e+0)</w:t>
            </w:r>
          </w:p>
        </w:tc>
        <w:tc>
          <w:tcPr>
            <w:tcW w:w="1264" w:type="dxa"/>
            <w:tcBorders>
              <w:top w:val="nil"/>
              <w:left w:val="nil"/>
              <w:bottom w:val="nil"/>
              <w:right w:val="nil"/>
            </w:tcBorders>
            <w:shd w:val="clear" w:color="000000" w:fill="FFFFFF"/>
            <w:vAlign w:val="center"/>
            <w:hideMark/>
          </w:tcPr>
          <w:p w14:paraId="44CD4338"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0.03</w:t>
            </w:r>
          </w:p>
        </w:tc>
        <w:tc>
          <w:tcPr>
            <w:tcW w:w="1276" w:type="dxa"/>
            <w:vMerge w:val="restart"/>
            <w:tcBorders>
              <w:top w:val="nil"/>
              <w:left w:val="nil"/>
              <w:bottom w:val="nil"/>
              <w:right w:val="nil"/>
            </w:tcBorders>
            <w:shd w:val="clear" w:color="000000" w:fill="FFFFFF"/>
            <w:vAlign w:val="center"/>
            <w:hideMark/>
          </w:tcPr>
          <w:p w14:paraId="1198A72B"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9.60E-03</w:t>
            </w:r>
          </w:p>
        </w:tc>
      </w:tr>
      <w:tr w:rsidR="00CB75A4" w:rsidRPr="00CB75A4" w14:paraId="5EB008CE" w14:textId="77777777" w:rsidTr="007E1E4E">
        <w:trPr>
          <w:trHeight w:val="561"/>
        </w:trPr>
        <w:tc>
          <w:tcPr>
            <w:tcW w:w="1544" w:type="dxa"/>
            <w:vMerge/>
            <w:tcBorders>
              <w:top w:val="nil"/>
              <w:left w:val="nil"/>
              <w:bottom w:val="nil"/>
              <w:right w:val="nil"/>
            </w:tcBorders>
            <w:vAlign w:val="center"/>
            <w:hideMark/>
          </w:tcPr>
          <w:p w14:paraId="67D9A789"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23FD0E2F"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HC(0.01±0.01)</w:t>
            </w:r>
          </w:p>
        </w:tc>
        <w:tc>
          <w:tcPr>
            <w:tcW w:w="2778" w:type="dxa"/>
            <w:tcBorders>
              <w:top w:val="nil"/>
              <w:left w:val="nil"/>
              <w:bottom w:val="nil"/>
              <w:right w:val="nil"/>
            </w:tcBorders>
            <w:shd w:val="clear" w:color="000000" w:fill="FFFFFF"/>
            <w:vAlign w:val="center"/>
            <w:hideMark/>
          </w:tcPr>
          <w:p w14:paraId="3E15EBA1"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LowC(0.0e+0±0.0e+0)</w:t>
            </w:r>
          </w:p>
        </w:tc>
        <w:tc>
          <w:tcPr>
            <w:tcW w:w="1264" w:type="dxa"/>
            <w:tcBorders>
              <w:top w:val="nil"/>
              <w:left w:val="nil"/>
              <w:bottom w:val="nil"/>
              <w:right w:val="nil"/>
            </w:tcBorders>
            <w:shd w:val="clear" w:color="000000" w:fill="FFFFFF"/>
            <w:vAlign w:val="center"/>
            <w:hideMark/>
          </w:tcPr>
          <w:p w14:paraId="69FD4F0F"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0.03</w:t>
            </w:r>
          </w:p>
        </w:tc>
        <w:tc>
          <w:tcPr>
            <w:tcW w:w="1276" w:type="dxa"/>
            <w:vMerge/>
            <w:tcBorders>
              <w:top w:val="nil"/>
              <w:left w:val="nil"/>
              <w:bottom w:val="nil"/>
              <w:right w:val="nil"/>
            </w:tcBorders>
            <w:vAlign w:val="center"/>
            <w:hideMark/>
          </w:tcPr>
          <w:p w14:paraId="35CEEEE8"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0A3BD7F4" w14:textId="77777777" w:rsidTr="007E1E4E">
        <w:trPr>
          <w:trHeight w:val="561"/>
        </w:trPr>
        <w:tc>
          <w:tcPr>
            <w:tcW w:w="1544" w:type="dxa"/>
            <w:vMerge/>
            <w:tcBorders>
              <w:top w:val="nil"/>
              <w:left w:val="nil"/>
              <w:bottom w:val="nil"/>
              <w:right w:val="nil"/>
            </w:tcBorders>
            <w:vAlign w:val="center"/>
            <w:hideMark/>
          </w:tcPr>
          <w:p w14:paraId="224EAE77"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3F87C6B9"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PresC(0.0e+0±0.0e+0)</w:t>
            </w:r>
          </w:p>
        </w:tc>
        <w:tc>
          <w:tcPr>
            <w:tcW w:w="2778" w:type="dxa"/>
            <w:tcBorders>
              <w:top w:val="nil"/>
              <w:left w:val="nil"/>
              <w:bottom w:val="nil"/>
              <w:right w:val="nil"/>
            </w:tcBorders>
            <w:shd w:val="clear" w:color="000000" w:fill="FFFFFF"/>
            <w:vAlign w:val="center"/>
            <w:hideMark/>
          </w:tcPr>
          <w:p w14:paraId="56DF8996"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LowC(0.0e+0±0.0e+0)</w:t>
            </w:r>
          </w:p>
        </w:tc>
        <w:tc>
          <w:tcPr>
            <w:tcW w:w="1264" w:type="dxa"/>
            <w:tcBorders>
              <w:top w:val="nil"/>
              <w:left w:val="nil"/>
              <w:bottom w:val="nil"/>
              <w:right w:val="nil"/>
            </w:tcBorders>
            <w:shd w:val="clear" w:color="000000" w:fill="FFFFFF"/>
            <w:vAlign w:val="center"/>
            <w:hideMark/>
          </w:tcPr>
          <w:p w14:paraId="58AE2C49"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NA</w:t>
            </w:r>
          </w:p>
        </w:tc>
        <w:tc>
          <w:tcPr>
            <w:tcW w:w="1276" w:type="dxa"/>
            <w:vMerge/>
            <w:tcBorders>
              <w:top w:val="nil"/>
              <w:left w:val="nil"/>
              <w:bottom w:val="nil"/>
              <w:right w:val="nil"/>
            </w:tcBorders>
            <w:vAlign w:val="center"/>
            <w:hideMark/>
          </w:tcPr>
          <w:p w14:paraId="2CE5E2D5"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348AEFA0" w14:textId="77777777" w:rsidTr="007E1E4E">
        <w:trPr>
          <w:trHeight w:val="561"/>
        </w:trPr>
        <w:tc>
          <w:tcPr>
            <w:tcW w:w="1544" w:type="dxa"/>
            <w:vMerge w:val="restart"/>
            <w:tcBorders>
              <w:top w:val="nil"/>
              <w:left w:val="nil"/>
              <w:bottom w:val="single" w:sz="8" w:space="0" w:color="000000"/>
              <w:right w:val="nil"/>
            </w:tcBorders>
            <w:shd w:val="clear" w:color="000000" w:fill="FFFFFF"/>
            <w:vAlign w:val="center"/>
            <w:hideMark/>
          </w:tcPr>
          <w:p w14:paraId="34D86590"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r w:rsidRPr="00CB75A4">
              <w:rPr>
                <w:rFonts w:ascii="Arial" w:hAnsi="Arial" w:cs="Arial"/>
                <w:b/>
                <w:bCs/>
                <w:color w:val="000000" w:themeColor="text1"/>
                <w:kern w:val="0"/>
                <w:sz w:val="18"/>
                <w:szCs w:val="18"/>
              </w:rPr>
              <w:t>Neutrophils</w:t>
            </w:r>
          </w:p>
        </w:tc>
        <w:tc>
          <w:tcPr>
            <w:tcW w:w="2778" w:type="dxa"/>
            <w:tcBorders>
              <w:top w:val="nil"/>
              <w:left w:val="nil"/>
              <w:bottom w:val="nil"/>
              <w:right w:val="nil"/>
            </w:tcBorders>
            <w:shd w:val="clear" w:color="000000" w:fill="FFFFFF"/>
            <w:vAlign w:val="center"/>
            <w:hideMark/>
          </w:tcPr>
          <w:p w14:paraId="6CBD0872"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HC(0.21±0.20)</w:t>
            </w:r>
          </w:p>
        </w:tc>
        <w:tc>
          <w:tcPr>
            <w:tcW w:w="2778" w:type="dxa"/>
            <w:tcBorders>
              <w:top w:val="nil"/>
              <w:left w:val="nil"/>
              <w:bottom w:val="nil"/>
              <w:right w:val="nil"/>
            </w:tcBorders>
            <w:shd w:val="clear" w:color="000000" w:fill="FFFFFF"/>
            <w:vAlign w:val="center"/>
            <w:hideMark/>
          </w:tcPr>
          <w:p w14:paraId="2AF9F407"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PresC(0.30±0.16)</w:t>
            </w:r>
          </w:p>
        </w:tc>
        <w:tc>
          <w:tcPr>
            <w:tcW w:w="1264" w:type="dxa"/>
            <w:tcBorders>
              <w:top w:val="nil"/>
              <w:left w:val="nil"/>
              <w:bottom w:val="nil"/>
              <w:right w:val="nil"/>
            </w:tcBorders>
            <w:shd w:val="clear" w:color="000000" w:fill="FFFFFF"/>
            <w:vAlign w:val="center"/>
            <w:hideMark/>
          </w:tcPr>
          <w:p w14:paraId="521378B3"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0.46</w:t>
            </w:r>
          </w:p>
        </w:tc>
        <w:tc>
          <w:tcPr>
            <w:tcW w:w="1276" w:type="dxa"/>
            <w:vMerge w:val="restart"/>
            <w:tcBorders>
              <w:top w:val="nil"/>
              <w:left w:val="nil"/>
              <w:bottom w:val="single" w:sz="8" w:space="0" w:color="000000"/>
              <w:right w:val="nil"/>
            </w:tcBorders>
            <w:shd w:val="clear" w:color="000000" w:fill="FFFFFF"/>
            <w:vAlign w:val="center"/>
            <w:hideMark/>
          </w:tcPr>
          <w:p w14:paraId="500A41CB"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5.80E-03</w:t>
            </w:r>
          </w:p>
        </w:tc>
      </w:tr>
      <w:tr w:rsidR="00CB75A4" w:rsidRPr="00CB75A4" w14:paraId="0D85A3C6" w14:textId="77777777" w:rsidTr="007E1E4E">
        <w:trPr>
          <w:trHeight w:val="561"/>
        </w:trPr>
        <w:tc>
          <w:tcPr>
            <w:tcW w:w="1544" w:type="dxa"/>
            <w:vMerge/>
            <w:tcBorders>
              <w:top w:val="nil"/>
              <w:left w:val="nil"/>
              <w:bottom w:val="single" w:sz="8" w:space="0" w:color="000000"/>
              <w:right w:val="nil"/>
            </w:tcBorders>
            <w:vAlign w:val="center"/>
            <w:hideMark/>
          </w:tcPr>
          <w:p w14:paraId="51178FA9"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nil"/>
              <w:right w:val="nil"/>
            </w:tcBorders>
            <w:shd w:val="clear" w:color="000000" w:fill="FFFFFF"/>
            <w:vAlign w:val="center"/>
            <w:hideMark/>
          </w:tcPr>
          <w:p w14:paraId="0FEF2BA0"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HC(0.21±0.20)</w:t>
            </w:r>
          </w:p>
        </w:tc>
        <w:tc>
          <w:tcPr>
            <w:tcW w:w="2778" w:type="dxa"/>
            <w:tcBorders>
              <w:top w:val="nil"/>
              <w:left w:val="nil"/>
              <w:bottom w:val="nil"/>
              <w:right w:val="nil"/>
            </w:tcBorders>
            <w:shd w:val="clear" w:color="000000" w:fill="FFFFFF"/>
            <w:vAlign w:val="center"/>
            <w:hideMark/>
          </w:tcPr>
          <w:p w14:paraId="65695BCF"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LowC(0.02±0.03)</w:t>
            </w:r>
          </w:p>
        </w:tc>
        <w:tc>
          <w:tcPr>
            <w:tcW w:w="1264" w:type="dxa"/>
            <w:tcBorders>
              <w:top w:val="nil"/>
              <w:left w:val="nil"/>
              <w:bottom w:val="nil"/>
              <w:right w:val="nil"/>
            </w:tcBorders>
            <w:shd w:val="clear" w:color="000000" w:fill="FFFFFF"/>
            <w:vAlign w:val="center"/>
            <w:hideMark/>
          </w:tcPr>
          <w:p w14:paraId="15F4075E"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0.04</w:t>
            </w:r>
          </w:p>
        </w:tc>
        <w:tc>
          <w:tcPr>
            <w:tcW w:w="1276" w:type="dxa"/>
            <w:vMerge/>
            <w:tcBorders>
              <w:top w:val="nil"/>
              <w:left w:val="nil"/>
              <w:bottom w:val="single" w:sz="8" w:space="0" w:color="000000"/>
              <w:right w:val="nil"/>
            </w:tcBorders>
            <w:vAlign w:val="center"/>
            <w:hideMark/>
          </w:tcPr>
          <w:p w14:paraId="4DCB5B98"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r w:rsidR="00CB75A4" w:rsidRPr="00CB75A4" w14:paraId="2F6D5061" w14:textId="77777777" w:rsidTr="007E1E4E">
        <w:trPr>
          <w:trHeight w:val="561"/>
        </w:trPr>
        <w:tc>
          <w:tcPr>
            <w:tcW w:w="1544" w:type="dxa"/>
            <w:vMerge/>
            <w:tcBorders>
              <w:top w:val="nil"/>
              <w:left w:val="nil"/>
              <w:bottom w:val="single" w:sz="8" w:space="0" w:color="000000"/>
              <w:right w:val="nil"/>
            </w:tcBorders>
            <w:vAlign w:val="center"/>
            <w:hideMark/>
          </w:tcPr>
          <w:p w14:paraId="5AE89654" w14:textId="77777777" w:rsidR="00105F2A" w:rsidRPr="00CB75A4" w:rsidRDefault="00105F2A" w:rsidP="00383566">
            <w:pPr>
              <w:widowControl/>
              <w:spacing w:after="0" w:line="240" w:lineRule="auto"/>
              <w:rPr>
                <w:rFonts w:ascii="Arial" w:hAnsi="Arial" w:cs="Arial"/>
                <w:b/>
                <w:bCs/>
                <w:color w:val="000000" w:themeColor="text1"/>
                <w:kern w:val="0"/>
                <w:sz w:val="18"/>
                <w:szCs w:val="18"/>
              </w:rPr>
            </w:pPr>
          </w:p>
        </w:tc>
        <w:tc>
          <w:tcPr>
            <w:tcW w:w="2778" w:type="dxa"/>
            <w:tcBorders>
              <w:top w:val="nil"/>
              <w:left w:val="nil"/>
              <w:bottom w:val="single" w:sz="8" w:space="0" w:color="auto"/>
              <w:right w:val="nil"/>
            </w:tcBorders>
            <w:shd w:val="clear" w:color="000000" w:fill="FFFFFF"/>
            <w:vAlign w:val="center"/>
            <w:hideMark/>
          </w:tcPr>
          <w:p w14:paraId="27DC0596"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PresC(0.30±0.16)</w:t>
            </w:r>
          </w:p>
        </w:tc>
        <w:tc>
          <w:tcPr>
            <w:tcW w:w="2778" w:type="dxa"/>
            <w:tcBorders>
              <w:top w:val="nil"/>
              <w:left w:val="nil"/>
              <w:bottom w:val="single" w:sz="8" w:space="0" w:color="auto"/>
              <w:right w:val="nil"/>
            </w:tcBorders>
            <w:shd w:val="clear" w:color="000000" w:fill="FFFFFF"/>
            <w:vAlign w:val="center"/>
            <w:hideMark/>
          </w:tcPr>
          <w:p w14:paraId="3ECF02A4"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T2DM</w:t>
            </w:r>
            <w:r w:rsidRPr="00CB75A4">
              <w:rPr>
                <w:rFonts w:ascii="Arial" w:hAnsi="Arial" w:cs="Arial"/>
                <w:color w:val="000000" w:themeColor="text1"/>
                <w:kern w:val="0"/>
                <w:sz w:val="18"/>
                <w:szCs w:val="18"/>
              </w:rPr>
              <w:noBreakHyphen/>
              <w:t>LowC(0.02±0.03)</w:t>
            </w:r>
          </w:p>
        </w:tc>
        <w:tc>
          <w:tcPr>
            <w:tcW w:w="1264" w:type="dxa"/>
            <w:tcBorders>
              <w:top w:val="nil"/>
              <w:left w:val="nil"/>
              <w:bottom w:val="single" w:sz="8" w:space="0" w:color="auto"/>
              <w:right w:val="nil"/>
            </w:tcBorders>
            <w:shd w:val="clear" w:color="000000" w:fill="FFFFFF"/>
            <w:vAlign w:val="center"/>
            <w:hideMark/>
          </w:tcPr>
          <w:p w14:paraId="26A51B6E" w14:textId="77777777" w:rsidR="00105F2A" w:rsidRPr="00CB75A4" w:rsidRDefault="00105F2A" w:rsidP="00383566">
            <w:pPr>
              <w:widowControl/>
              <w:spacing w:after="0" w:line="240" w:lineRule="auto"/>
              <w:rPr>
                <w:rFonts w:ascii="Arial" w:hAnsi="Arial" w:cs="Arial"/>
                <w:color w:val="000000" w:themeColor="text1"/>
                <w:kern w:val="0"/>
                <w:sz w:val="18"/>
                <w:szCs w:val="18"/>
              </w:rPr>
            </w:pPr>
            <w:r w:rsidRPr="00CB75A4">
              <w:rPr>
                <w:rFonts w:ascii="Arial" w:hAnsi="Arial" w:cs="Arial"/>
                <w:color w:val="000000" w:themeColor="text1"/>
                <w:kern w:val="0"/>
                <w:sz w:val="18"/>
                <w:szCs w:val="18"/>
              </w:rPr>
              <w:t>1.90E-03</w:t>
            </w:r>
          </w:p>
        </w:tc>
        <w:tc>
          <w:tcPr>
            <w:tcW w:w="1276" w:type="dxa"/>
            <w:vMerge/>
            <w:tcBorders>
              <w:top w:val="nil"/>
              <w:left w:val="nil"/>
              <w:bottom w:val="single" w:sz="8" w:space="0" w:color="000000"/>
              <w:right w:val="nil"/>
            </w:tcBorders>
            <w:vAlign w:val="center"/>
            <w:hideMark/>
          </w:tcPr>
          <w:p w14:paraId="271A1A3D" w14:textId="77777777" w:rsidR="00105F2A" w:rsidRPr="00CB75A4" w:rsidRDefault="00105F2A" w:rsidP="00383566">
            <w:pPr>
              <w:widowControl/>
              <w:spacing w:after="0" w:line="240" w:lineRule="auto"/>
              <w:rPr>
                <w:rFonts w:ascii="Arial" w:hAnsi="Arial" w:cs="Arial"/>
                <w:color w:val="000000" w:themeColor="text1"/>
                <w:kern w:val="0"/>
                <w:sz w:val="18"/>
                <w:szCs w:val="18"/>
              </w:rPr>
            </w:pPr>
          </w:p>
        </w:tc>
      </w:tr>
    </w:tbl>
    <w:p w14:paraId="47A34FEE" w14:textId="77777777" w:rsidR="00105F2A" w:rsidRPr="00CB75A4" w:rsidRDefault="00105F2A" w:rsidP="00105F2A">
      <w:pPr>
        <w:spacing w:line="480" w:lineRule="auto"/>
        <w:rPr>
          <w:rFonts w:ascii="Arial" w:hAnsi="Arial" w:cs="Arial"/>
          <w:color w:val="000000" w:themeColor="text1"/>
        </w:rPr>
      </w:pPr>
      <w:r w:rsidRPr="00CB75A4">
        <w:rPr>
          <w:rFonts w:ascii="Arial" w:hAnsi="Arial" w:cs="Arial"/>
          <w:color w:val="000000" w:themeColor="text1"/>
        </w:rPr>
        <w:t xml:space="preserve">The table summarizes </w:t>
      </w:r>
      <w:proofErr w:type="spellStart"/>
      <w:r w:rsidRPr="00CB75A4">
        <w:rPr>
          <w:rFonts w:ascii="Arial" w:hAnsi="Arial" w:cs="Arial"/>
          <w:color w:val="000000" w:themeColor="text1"/>
        </w:rPr>
        <w:t>CIBERSORTx</w:t>
      </w:r>
      <w:proofErr w:type="spellEnd"/>
      <w:r w:rsidRPr="00CB75A4">
        <w:rPr>
          <w:rFonts w:ascii="Arial" w:hAnsi="Arial" w:cs="Arial"/>
          <w:color w:val="000000" w:themeColor="text1"/>
        </w:rPr>
        <w:t xml:space="preserve">-derived estimates of 22 LM22 immune cell signatures from the RNA-seq cohort. Pairwise comparisons between groups (HC vs. </w:t>
      </w:r>
      <w:r w:rsidRPr="00CB75A4">
        <w:rPr>
          <w:rFonts w:ascii="Arial" w:hAnsi="Arial" w:cs="Arial"/>
          <w:color w:val="000000" w:themeColor="text1"/>
        </w:rPr>
        <w:lastRenderedPageBreak/>
        <w:t xml:space="preserve">T2DM-PresC, HC vs. T2DM-LowC, and T2DM-PresC vs. T2DM-LowC) were conducted using the Wilcoxon rank-sum test, and overall between-group differences were assessed using the Kruskal-Wallis test. Data are presented as mean ± standard deviation of the estimated relative proportions. Exact P-values are reported for pairwise Wilcoxon tests and overall Kruskal-Wallis tests. NA indicates non-estimable comparisons due to all-zero or near-zero distributions. Bold row labels indicate immune cell signatures. Because these values are </w:t>
      </w:r>
      <w:proofErr w:type="spellStart"/>
      <w:r w:rsidRPr="00CB75A4">
        <w:rPr>
          <w:rFonts w:ascii="Arial" w:hAnsi="Arial" w:cs="Arial"/>
          <w:color w:val="000000" w:themeColor="text1"/>
        </w:rPr>
        <w:t>CIBERSORTx</w:t>
      </w:r>
      <w:proofErr w:type="spellEnd"/>
      <w:r w:rsidRPr="00CB75A4">
        <w:rPr>
          <w:rFonts w:ascii="Arial" w:hAnsi="Arial" w:cs="Arial"/>
          <w:color w:val="000000" w:themeColor="text1"/>
        </w:rPr>
        <w:t>-derived estimates from PBMC transcriptomes, low-abundance signatures should be interpreted cautiously.</w:t>
      </w:r>
    </w:p>
    <w:p w14:paraId="5C948FBB" w14:textId="7D4CAE7C" w:rsidR="00C04CEE" w:rsidRPr="00C04CEE" w:rsidRDefault="00C04CEE" w:rsidP="00105F2A">
      <w:pPr>
        <w:spacing w:line="480" w:lineRule="auto"/>
        <w:rPr>
          <w:rFonts w:ascii="Arial" w:hAnsi="Arial" w:cs="Arial"/>
          <w:color w:val="000000" w:themeColor="text1"/>
        </w:rPr>
      </w:pPr>
      <w:r w:rsidRPr="00C04CEE">
        <w:rPr>
          <w:rFonts w:ascii="Arial" w:hAnsi="Arial" w:cs="Arial" w:hint="eastAsia"/>
          <w:color w:val="000000" w:themeColor="text1"/>
        </w:rPr>
        <w:t>Abbreviations: HC, healthy control; T2DM-PresC, type 2 diabetes with preserved C-peptide; T2DM-LowC, type 2 diabetes with low C-peptide; SD, standard deviation; PBMC, peripheral blood mononuclear cell; RNA-seq, RNA sequencing; LM22, leukocyte gene signature matrix 22; NA, not estimable.</w:t>
      </w:r>
    </w:p>
    <w:p w14:paraId="0FE85626" w14:textId="77777777" w:rsidR="00105F2A" w:rsidRPr="00CB75A4" w:rsidRDefault="00105F2A" w:rsidP="00105F2A">
      <w:pPr>
        <w:widowControl/>
        <w:spacing w:line="480" w:lineRule="auto"/>
        <w:rPr>
          <w:rFonts w:ascii="Arial" w:hAnsi="Arial" w:cs="Arial"/>
          <w:color w:val="000000" w:themeColor="text1"/>
        </w:rPr>
      </w:pPr>
      <w:r w:rsidRPr="00CB75A4">
        <w:rPr>
          <w:rFonts w:ascii="Arial" w:hAnsi="Arial" w:cs="Arial"/>
          <w:color w:val="000000" w:themeColor="text1"/>
        </w:rPr>
        <w:br w:type="page"/>
      </w:r>
      <w:r w:rsidRPr="00CB75A4">
        <w:rPr>
          <w:rFonts w:ascii="Arial" w:hAnsi="Arial" w:cs="Arial"/>
          <w:color w:val="000000" w:themeColor="text1"/>
        </w:rPr>
        <w:lastRenderedPageBreak/>
        <w:t>Supplementary Figure S</w:t>
      </w:r>
      <w:r w:rsidRPr="00CB75A4">
        <w:rPr>
          <w:rFonts w:ascii="Arial" w:hAnsi="Arial" w:cs="Arial" w:hint="eastAsia"/>
          <w:color w:val="000000" w:themeColor="text1"/>
        </w:rPr>
        <w:t>1</w:t>
      </w:r>
      <w:r w:rsidRPr="00CB75A4">
        <w:rPr>
          <w:rFonts w:ascii="Arial" w:hAnsi="Arial" w:cs="Arial"/>
          <w:color w:val="000000" w:themeColor="text1"/>
        </w:rPr>
        <w:t>. Participant flow diagram (RECORD).</w:t>
      </w:r>
    </w:p>
    <w:p w14:paraId="5F3D9BDC" w14:textId="26008CA1" w:rsidR="00105F2A" w:rsidRPr="00CB75A4" w:rsidRDefault="00A70377" w:rsidP="00105F2A">
      <w:pPr>
        <w:widowControl/>
        <w:spacing w:line="480" w:lineRule="auto"/>
        <w:rPr>
          <w:rFonts w:ascii="Arial" w:hAnsi="Arial" w:cs="Arial"/>
          <w:color w:val="000000" w:themeColor="text1"/>
        </w:rPr>
      </w:pPr>
      <w:r w:rsidRPr="00CB75A4">
        <w:rPr>
          <w:noProof/>
          <w:color w:val="000000" w:themeColor="text1"/>
        </w:rPr>
        <w:drawing>
          <wp:inline distT="0" distB="0" distL="0" distR="0" wp14:anchorId="2503E86A" wp14:editId="1D1FDC1D">
            <wp:extent cx="5274310" cy="7339965"/>
            <wp:effectExtent l="0" t="0" r="2540" b="0"/>
            <wp:docPr id="8512092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7339965"/>
                    </a:xfrm>
                    <a:prstGeom prst="rect">
                      <a:avLst/>
                    </a:prstGeom>
                    <a:noFill/>
                    <a:ln>
                      <a:noFill/>
                    </a:ln>
                  </pic:spPr>
                </pic:pic>
              </a:graphicData>
            </a:graphic>
          </wp:inline>
        </w:drawing>
      </w:r>
      <w:r w:rsidR="00105F2A" w:rsidRPr="00CB75A4">
        <w:rPr>
          <w:rFonts w:ascii="Arial" w:hAnsi="Arial" w:cs="Arial"/>
          <w:color w:val="000000" w:themeColor="text1"/>
        </w:rPr>
        <w:t xml:space="preserve">Inpatient EMR were queried between October 1, 2024 and June 1, 2025 to identify clinically diagnosed T2DM patients with available routine islet autoantibody results </w:t>
      </w:r>
      <w:r w:rsidR="00105F2A" w:rsidRPr="00CB75A4">
        <w:rPr>
          <w:rFonts w:ascii="Arial" w:hAnsi="Arial" w:cs="Arial"/>
          <w:color w:val="000000" w:themeColor="text1"/>
        </w:rPr>
        <w:lastRenderedPageBreak/>
        <w:t xml:space="preserve">(including GADA) (n = 585). After applying clinical eligibility criteria (n = 98 excluded) and removing discordant FCP/FCPGR phenotypes (n = 69 excluded), n = 418 participants remained for subtype classification (PresC n = 309; </w:t>
      </w:r>
      <w:proofErr w:type="spellStart"/>
      <w:r w:rsidR="00105F2A" w:rsidRPr="00CB75A4">
        <w:rPr>
          <w:rFonts w:ascii="Arial" w:hAnsi="Arial" w:cs="Arial"/>
          <w:color w:val="000000" w:themeColor="text1"/>
        </w:rPr>
        <w:t>LowC</w:t>
      </w:r>
      <w:proofErr w:type="spellEnd"/>
      <w:r w:rsidR="00105F2A" w:rsidRPr="00CB75A4">
        <w:rPr>
          <w:rFonts w:ascii="Arial" w:hAnsi="Arial" w:cs="Arial"/>
          <w:color w:val="000000" w:themeColor="text1"/>
        </w:rPr>
        <w:t xml:space="preserve"> n = 109). PSM (1:1) was performed using diabetes duration as the sole covariate, yielding 109 matched pairs (PresC n = 109; </w:t>
      </w:r>
      <w:proofErr w:type="spellStart"/>
      <w:r w:rsidR="00105F2A" w:rsidRPr="00CB75A4">
        <w:rPr>
          <w:rFonts w:ascii="Arial" w:hAnsi="Arial" w:cs="Arial"/>
          <w:color w:val="000000" w:themeColor="text1"/>
        </w:rPr>
        <w:t>LowC</w:t>
      </w:r>
      <w:proofErr w:type="spellEnd"/>
      <w:r w:rsidR="00105F2A" w:rsidRPr="00CB75A4">
        <w:rPr>
          <w:rFonts w:ascii="Arial" w:hAnsi="Arial" w:cs="Arial"/>
          <w:color w:val="000000" w:themeColor="text1"/>
        </w:rPr>
        <w:t xml:space="preserve"> n = 109) for the main clinical analyses. Sub-studies included a PBMC RNA-seq cohort (n = 21; HC n = 7, PresC n = 7, </w:t>
      </w:r>
      <w:proofErr w:type="spellStart"/>
      <w:r w:rsidR="00105F2A" w:rsidRPr="00CB75A4">
        <w:rPr>
          <w:rFonts w:ascii="Arial" w:hAnsi="Arial" w:cs="Arial"/>
          <w:color w:val="000000" w:themeColor="text1"/>
        </w:rPr>
        <w:t>LowC</w:t>
      </w:r>
      <w:proofErr w:type="spellEnd"/>
      <w:r w:rsidR="00105F2A" w:rsidRPr="00CB75A4">
        <w:rPr>
          <w:rFonts w:ascii="Arial" w:hAnsi="Arial" w:cs="Arial"/>
          <w:color w:val="000000" w:themeColor="text1"/>
        </w:rPr>
        <w:t xml:space="preserve"> n = 7) and an independent RT-qPCR validation cohort (n = 40; PresC n = 20, </w:t>
      </w:r>
      <w:proofErr w:type="spellStart"/>
      <w:r w:rsidR="00105F2A" w:rsidRPr="00CB75A4">
        <w:rPr>
          <w:rFonts w:ascii="Arial" w:hAnsi="Arial" w:cs="Arial"/>
          <w:color w:val="000000" w:themeColor="text1"/>
        </w:rPr>
        <w:t>LowC</w:t>
      </w:r>
      <w:proofErr w:type="spellEnd"/>
      <w:r w:rsidR="00105F2A" w:rsidRPr="00CB75A4">
        <w:rPr>
          <w:rFonts w:ascii="Arial" w:hAnsi="Arial" w:cs="Arial"/>
          <w:color w:val="000000" w:themeColor="text1"/>
        </w:rPr>
        <w:t xml:space="preserve"> n = 20).</w:t>
      </w:r>
    </w:p>
    <w:p w14:paraId="59913FA1" w14:textId="77777777" w:rsidR="00105F2A" w:rsidRPr="00CB75A4" w:rsidRDefault="00105F2A" w:rsidP="00105F2A">
      <w:pPr>
        <w:widowControl/>
        <w:spacing w:line="480" w:lineRule="auto"/>
        <w:rPr>
          <w:rFonts w:ascii="Arial" w:hAnsi="Arial" w:cs="Arial"/>
          <w:color w:val="000000" w:themeColor="text1"/>
        </w:rPr>
      </w:pPr>
      <w:r w:rsidRPr="00CB75A4">
        <w:rPr>
          <w:rFonts w:ascii="Arial" w:hAnsi="Arial" w:cs="Arial"/>
          <w:color w:val="000000" w:themeColor="text1"/>
        </w:rPr>
        <w:t xml:space="preserve">Abbreviations: RECORD, </w:t>
      </w:r>
      <w:proofErr w:type="spellStart"/>
      <w:r w:rsidRPr="00CB75A4">
        <w:rPr>
          <w:rFonts w:ascii="Arial" w:hAnsi="Arial" w:cs="Arial"/>
          <w:color w:val="000000" w:themeColor="text1"/>
        </w:rPr>
        <w:t>REporting</w:t>
      </w:r>
      <w:proofErr w:type="spellEnd"/>
      <w:r w:rsidRPr="00CB75A4">
        <w:rPr>
          <w:rFonts w:ascii="Arial" w:hAnsi="Arial" w:cs="Arial"/>
          <w:color w:val="000000" w:themeColor="text1"/>
        </w:rPr>
        <w:t xml:space="preserve"> of studies Conducted using Observational Routinely-collected health Data; EMR, electronic medical record; T2DM, type 2 diabetes mellitus; GADA, glutamic acid decarboxylase antibody; FCP, fasting C-peptide; FCPGR, fasting C-peptide-to-glucose ratio; PresC, preserved C-peptide; </w:t>
      </w:r>
      <w:proofErr w:type="spellStart"/>
      <w:r w:rsidRPr="00CB75A4">
        <w:rPr>
          <w:rFonts w:ascii="Arial" w:hAnsi="Arial" w:cs="Arial"/>
          <w:color w:val="000000" w:themeColor="text1"/>
        </w:rPr>
        <w:t>LowC</w:t>
      </w:r>
      <w:proofErr w:type="spellEnd"/>
      <w:r w:rsidRPr="00CB75A4">
        <w:rPr>
          <w:rFonts w:ascii="Arial" w:hAnsi="Arial" w:cs="Arial"/>
          <w:color w:val="000000" w:themeColor="text1"/>
        </w:rPr>
        <w:t>, low C-peptide; PSM, propensity score matching; PBMC, peripheral blood mononuclear cell; HC, healthy controls; RNA-seq, RNA sequencing; RT-qPCR, reverse transcription quantitative polymerase chain reaction; SIRI, systemic inflammation response index.</w:t>
      </w:r>
    </w:p>
    <w:p w14:paraId="3442F53B" w14:textId="77777777" w:rsidR="00105F2A" w:rsidRPr="00CB75A4" w:rsidRDefault="00105F2A" w:rsidP="00105F2A">
      <w:pPr>
        <w:spacing w:line="480" w:lineRule="auto"/>
        <w:rPr>
          <w:rFonts w:ascii="Arial" w:hAnsi="Arial" w:cs="Arial"/>
          <w:color w:val="000000" w:themeColor="text1"/>
        </w:rPr>
      </w:pPr>
      <w:r w:rsidRPr="00CB75A4">
        <w:rPr>
          <w:rFonts w:ascii="Arial" w:hAnsi="Arial" w:cs="Arial"/>
          <w:color w:val="000000" w:themeColor="text1"/>
        </w:rPr>
        <w:br w:type="page"/>
      </w:r>
      <w:r w:rsidRPr="00CB75A4">
        <w:rPr>
          <w:rFonts w:ascii="Arial" w:hAnsi="Arial" w:cs="Arial"/>
          <w:color w:val="000000" w:themeColor="text1"/>
        </w:rPr>
        <w:lastRenderedPageBreak/>
        <w:t>Supplementary Figure S2. FDR-based sensitivity analysis of differential gene expression among the three groups.</w:t>
      </w:r>
    </w:p>
    <w:p w14:paraId="6BE03A6F" w14:textId="58C8EA04" w:rsidR="00A70377" w:rsidRPr="00CB75A4" w:rsidRDefault="00EF1DB3" w:rsidP="00105F2A">
      <w:pPr>
        <w:spacing w:line="480" w:lineRule="auto"/>
        <w:rPr>
          <w:rFonts w:ascii="Arial" w:hAnsi="Arial" w:cs="Arial"/>
          <w:color w:val="000000" w:themeColor="text1"/>
        </w:rPr>
      </w:pPr>
      <w:r w:rsidRPr="00CB75A4">
        <w:rPr>
          <w:noProof/>
          <w:color w:val="000000" w:themeColor="text1"/>
        </w:rPr>
        <w:drawing>
          <wp:inline distT="0" distB="0" distL="0" distR="0" wp14:anchorId="0A72855A" wp14:editId="2EC677D7">
            <wp:extent cx="3590925" cy="6724650"/>
            <wp:effectExtent l="0" t="0" r="9525" b="0"/>
            <wp:docPr id="78028044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90925" cy="6724650"/>
                    </a:xfrm>
                    <a:prstGeom prst="rect">
                      <a:avLst/>
                    </a:prstGeom>
                    <a:noFill/>
                    <a:ln>
                      <a:noFill/>
                    </a:ln>
                  </pic:spPr>
                </pic:pic>
              </a:graphicData>
            </a:graphic>
          </wp:inline>
        </w:drawing>
      </w:r>
    </w:p>
    <w:p w14:paraId="07C6A7F0" w14:textId="21E11595" w:rsidR="00105F2A" w:rsidRPr="00CB75A4" w:rsidRDefault="00105F2A" w:rsidP="00105F2A">
      <w:pPr>
        <w:spacing w:line="480" w:lineRule="auto"/>
        <w:rPr>
          <w:rFonts w:ascii="Arial" w:hAnsi="Arial" w:cs="Arial"/>
          <w:color w:val="000000" w:themeColor="text1"/>
        </w:rPr>
      </w:pPr>
      <w:r w:rsidRPr="00CB75A4">
        <w:rPr>
          <w:rFonts w:ascii="Arial" w:hAnsi="Arial" w:cs="Arial" w:hint="eastAsia"/>
          <w:color w:val="000000" w:themeColor="text1"/>
        </w:rPr>
        <w:t xml:space="preserve">Volcano plots displaying FDR-based differential expression results from the RNA-seq analysis of PBMCs. The x-axis represents log2(FC), and the y-axis represents -log10(FDR). Each dot represents a gene. Genes with FDR &lt; 0.05 and FC </w:t>
      </w:r>
      <w:r w:rsidRPr="00CB75A4">
        <w:rPr>
          <w:rFonts w:ascii="Arial" w:hAnsi="Arial" w:cs="Arial" w:hint="eastAsia"/>
          <w:color w:val="000000" w:themeColor="text1"/>
        </w:rPr>
        <w:t>≥</w:t>
      </w:r>
      <w:r w:rsidRPr="00CB75A4">
        <w:rPr>
          <w:rFonts w:ascii="Arial" w:hAnsi="Arial" w:cs="Arial" w:hint="eastAsia"/>
          <w:color w:val="000000" w:themeColor="text1"/>
        </w:rPr>
        <w:t xml:space="preserve"> </w:t>
      </w:r>
      <w:r w:rsidR="00173A37" w:rsidRPr="00CB75A4">
        <w:rPr>
          <w:rFonts w:ascii="Arial" w:hAnsi="Arial" w:cs="Arial" w:hint="eastAsia"/>
          <w:color w:val="000000" w:themeColor="text1"/>
        </w:rPr>
        <w:t>2</w:t>
      </w:r>
      <w:r w:rsidRPr="00CB75A4">
        <w:rPr>
          <w:rFonts w:ascii="Arial" w:hAnsi="Arial" w:cs="Arial" w:hint="eastAsia"/>
          <w:color w:val="000000" w:themeColor="text1"/>
        </w:rPr>
        <w:t xml:space="preserve"> are </w:t>
      </w:r>
      <w:r w:rsidRPr="00CB75A4">
        <w:rPr>
          <w:rFonts w:ascii="Arial" w:hAnsi="Arial" w:cs="Arial" w:hint="eastAsia"/>
          <w:color w:val="000000" w:themeColor="text1"/>
        </w:rPr>
        <w:lastRenderedPageBreak/>
        <w:t xml:space="preserve">highlighted as </w:t>
      </w:r>
      <w:r w:rsidRPr="00CB75A4">
        <w:rPr>
          <w:rFonts w:ascii="Arial" w:hAnsi="Arial" w:cs="Arial"/>
          <w:color w:val="000000" w:themeColor="text1"/>
        </w:rPr>
        <w:t>significantly upregulated (red) or downregulated (blue). These plots are provided as sensitivity analyses for the exploratory raw P-value volcano plots shown in Figure 3.</w:t>
      </w:r>
    </w:p>
    <w:p w14:paraId="6B254AF2" w14:textId="77777777" w:rsidR="00105F2A" w:rsidRPr="00CB75A4" w:rsidRDefault="00105F2A" w:rsidP="00105F2A">
      <w:pPr>
        <w:spacing w:line="480" w:lineRule="auto"/>
        <w:rPr>
          <w:rFonts w:ascii="Arial" w:hAnsi="Arial" w:cs="Arial"/>
          <w:color w:val="000000" w:themeColor="text1"/>
        </w:rPr>
      </w:pPr>
      <w:r w:rsidRPr="00CB75A4">
        <w:rPr>
          <w:rFonts w:ascii="Arial" w:hAnsi="Arial" w:cs="Arial"/>
          <w:color w:val="000000" w:themeColor="text1"/>
        </w:rPr>
        <w:t>(A) Comparison between T2DM-PresC and HC.</w:t>
      </w:r>
    </w:p>
    <w:p w14:paraId="10B91EED" w14:textId="77777777" w:rsidR="00105F2A" w:rsidRPr="00CB75A4" w:rsidRDefault="00105F2A" w:rsidP="00105F2A">
      <w:pPr>
        <w:spacing w:line="480" w:lineRule="auto"/>
        <w:rPr>
          <w:rFonts w:ascii="Arial" w:hAnsi="Arial" w:cs="Arial"/>
          <w:color w:val="000000" w:themeColor="text1"/>
        </w:rPr>
      </w:pPr>
      <w:r w:rsidRPr="00CB75A4">
        <w:rPr>
          <w:rFonts w:ascii="Arial" w:hAnsi="Arial" w:cs="Arial"/>
          <w:color w:val="000000" w:themeColor="text1"/>
        </w:rPr>
        <w:t>(B) Comparison between T2DM-LowC and HC.</w:t>
      </w:r>
    </w:p>
    <w:p w14:paraId="28E42B10" w14:textId="77777777" w:rsidR="00105F2A" w:rsidRPr="00CB75A4" w:rsidRDefault="00105F2A" w:rsidP="00105F2A">
      <w:pPr>
        <w:spacing w:line="480" w:lineRule="auto"/>
        <w:rPr>
          <w:rFonts w:ascii="Arial" w:hAnsi="Arial" w:cs="Arial"/>
          <w:color w:val="000000" w:themeColor="text1"/>
        </w:rPr>
      </w:pPr>
      <w:r w:rsidRPr="00CB75A4">
        <w:rPr>
          <w:rFonts w:ascii="Arial" w:hAnsi="Arial" w:cs="Arial"/>
          <w:color w:val="000000" w:themeColor="text1"/>
        </w:rPr>
        <w:t>(C) Comparison between T2DM-LowC and T2DM-PresC.</w:t>
      </w:r>
    </w:p>
    <w:p w14:paraId="53F4C09C" w14:textId="547C2614" w:rsidR="00105F2A" w:rsidRPr="00CB75A4" w:rsidRDefault="00C04CEE" w:rsidP="00105F2A">
      <w:pPr>
        <w:spacing w:line="480" w:lineRule="auto"/>
        <w:rPr>
          <w:rFonts w:ascii="Arial" w:hAnsi="Arial" w:cs="Arial"/>
          <w:color w:val="000000" w:themeColor="text1"/>
        </w:rPr>
      </w:pPr>
      <w:r w:rsidRPr="00C04CEE">
        <w:rPr>
          <w:rFonts w:ascii="Arial" w:hAnsi="Arial" w:cs="Arial" w:hint="eastAsia"/>
          <w:color w:val="000000" w:themeColor="text1"/>
        </w:rPr>
        <w:t>Abbreviations: DEGs, differentially expressed genes; RNA-seq, RNA sequencing; PBMCs, peripheral blood mononuclear cells; FC, fold change; FDR, false discovery rate, adjusted by the Benjamini-Hochberg method; T2DM-PresC, type 2 diabetes with preserved C-peptide; T2DM-LowC, type 2 diabetes with low C-peptide; HC, healthy control.</w:t>
      </w:r>
    </w:p>
    <w:p w14:paraId="6F8E0BF7" w14:textId="4574282B" w:rsidR="00105F2A" w:rsidRPr="00CB75A4" w:rsidRDefault="00105F2A" w:rsidP="00105F2A">
      <w:pPr>
        <w:spacing w:line="480" w:lineRule="auto"/>
        <w:rPr>
          <w:rFonts w:ascii="Arial" w:hAnsi="Arial" w:cs="Arial"/>
          <w:color w:val="000000" w:themeColor="text1"/>
        </w:rPr>
      </w:pPr>
    </w:p>
    <w:p w14:paraId="70CFFE18" w14:textId="77777777" w:rsidR="007E1E4E" w:rsidRDefault="007E1E4E">
      <w:pPr>
        <w:widowControl/>
        <w:spacing w:after="0" w:line="240" w:lineRule="auto"/>
        <w:rPr>
          <w:rFonts w:ascii="Arial" w:hAnsi="Arial" w:cs="Arial"/>
          <w:color w:val="000000" w:themeColor="text1"/>
        </w:rPr>
      </w:pPr>
      <w:r>
        <w:rPr>
          <w:rFonts w:ascii="Arial" w:hAnsi="Arial" w:cs="Arial"/>
          <w:color w:val="000000" w:themeColor="text1"/>
        </w:rPr>
        <w:br w:type="page"/>
      </w:r>
    </w:p>
    <w:p w14:paraId="30E187C1" w14:textId="1435D8EF" w:rsidR="007E1E4E" w:rsidRDefault="007E1E4E" w:rsidP="00105F2A">
      <w:pPr>
        <w:spacing w:line="480" w:lineRule="auto"/>
        <w:rPr>
          <w:rFonts w:ascii="Arial" w:hAnsi="Arial" w:cs="Arial"/>
          <w:color w:val="000000" w:themeColor="text1"/>
        </w:rPr>
      </w:pPr>
      <w:r w:rsidRPr="007E1E4E">
        <w:rPr>
          <w:rFonts w:ascii="Arial" w:hAnsi="Arial" w:cs="Arial" w:hint="eastAsia"/>
          <w:color w:val="000000" w:themeColor="text1"/>
        </w:rPr>
        <w:lastRenderedPageBreak/>
        <w:t>Supplementary Dataset S1. Complete differential gene-expression results for the T2DM-PresC vs HC comparison.</w:t>
      </w:r>
    </w:p>
    <w:p w14:paraId="376E0721" w14:textId="67EE0277" w:rsidR="00105F2A" w:rsidRPr="00CB75A4" w:rsidRDefault="00482658" w:rsidP="00105F2A">
      <w:pPr>
        <w:spacing w:line="480" w:lineRule="auto"/>
        <w:rPr>
          <w:rFonts w:ascii="Arial" w:hAnsi="Arial" w:cs="Arial"/>
          <w:color w:val="000000" w:themeColor="text1"/>
        </w:rPr>
      </w:pPr>
      <w:r w:rsidRPr="00CB75A4">
        <w:rPr>
          <w:rFonts w:ascii="Arial" w:hAnsi="Arial" w:cs="Arial"/>
          <w:color w:val="000000" w:themeColor="text1"/>
        </w:rPr>
        <w:t>This dataset contains the complete output</w:t>
      </w:r>
      <w:r w:rsidR="00105F2A" w:rsidRPr="00CB75A4">
        <w:rPr>
          <w:rFonts w:ascii="Arial" w:hAnsi="Arial" w:cs="Arial"/>
          <w:color w:val="000000" w:themeColor="text1"/>
        </w:rPr>
        <w:t xml:space="preserve"> from the </w:t>
      </w:r>
      <w:proofErr w:type="spellStart"/>
      <w:r w:rsidR="00105F2A" w:rsidRPr="00CB75A4">
        <w:rPr>
          <w:rFonts w:ascii="Arial" w:hAnsi="Arial" w:cs="Arial"/>
          <w:color w:val="000000" w:themeColor="text1"/>
        </w:rPr>
        <w:t>limma-voom</w:t>
      </w:r>
      <w:proofErr w:type="spellEnd"/>
      <w:r w:rsidR="00105F2A" w:rsidRPr="00CB75A4">
        <w:rPr>
          <w:rFonts w:ascii="Arial" w:hAnsi="Arial" w:cs="Arial"/>
          <w:color w:val="000000" w:themeColor="text1"/>
        </w:rPr>
        <w:t xml:space="preserve"> differential expression analysis for the comparison between the Healthy Control (HC) and T2DM-PresC groups, based on the RNA-seq data from PBMCs. The table includes statistical metrics for all genes analyzed. The columns are as follows:</w:t>
      </w:r>
    </w:p>
    <w:p w14:paraId="13145555" w14:textId="77777777" w:rsidR="00105F2A" w:rsidRPr="00CB75A4" w:rsidRDefault="00105F2A" w:rsidP="00105F2A">
      <w:pPr>
        <w:spacing w:line="480" w:lineRule="auto"/>
        <w:rPr>
          <w:rFonts w:ascii="Arial" w:hAnsi="Arial" w:cs="Arial"/>
          <w:color w:val="000000" w:themeColor="text1"/>
        </w:rPr>
      </w:pPr>
      <w:r w:rsidRPr="00CB75A4">
        <w:rPr>
          <w:rFonts w:ascii="Arial" w:hAnsi="Arial" w:cs="Arial"/>
          <w:color w:val="000000" w:themeColor="text1"/>
        </w:rPr>
        <w:t xml:space="preserve">Tag: Gene identifier, including official gene symbols and novel transcript IDs from </w:t>
      </w:r>
      <w:proofErr w:type="spellStart"/>
      <w:r w:rsidRPr="00CB75A4">
        <w:rPr>
          <w:rFonts w:ascii="Arial" w:hAnsi="Arial" w:cs="Arial"/>
          <w:color w:val="000000" w:themeColor="text1"/>
        </w:rPr>
        <w:t>StringTie</w:t>
      </w:r>
      <w:proofErr w:type="spellEnd"/>
      <w:r w:rsidRPr="00CB75A4">
        <w:rPr>
          <w:rFonts w:ascii="Arial" w:hAnsi="Arial" w:cs="Arial"/>
          <w:color w:val="000000" w:themeColor="text1"/>
        </w:rPr>
        <w:t xml:space="preserve"> (e.g., MSTRG...).</w:t>
      </w:r>
    </w:p>
    <w:p w14:paraId="0E1A5747" w14:textId="77777777" w:rsidR="00105F2A" w:rsidRPr="00CB75A4" w:rsidRDefault="00105F2A" w:rsidP="00105F2A">
      <w:pPr>
        <w:spacing w:line="480" w:lineRule="auto"/>
        <w:rPr>
          <w:rFonts w:ascii="Arial" w:hAnsi="Arial" w:cs="Arial"/>
          <w:color w:val="000000" w:themeColor="text1"/>
        </w:rPr>
      </w:pPr>
      <w:proofErr w:type="spellStart"/>
      <w:r w:rsidRPr="00CB75A4">
        <w:rPr>
          <w:rFonts w:ascii="Arial" w:hAnsi="Arial" w:cs="Arial"/>
          <w:color w:val="000000" w:themeColor="text1"/>
        </w:rPr>
        <w:t>logFC</w:t>
      </w:r>
      <w:proofErr w:type="spellEnd"/>
      <w:r w:rsidRPr="00CB75A4">
        <w:rPr>
          <w:rFonts w:ascii="Arial" w:hAnsi="Arial" w:cs="Arial"/>
          <w:color w:val="000000" w:themeColor="text1"/>
        </w:rPr>
        <w:t>: log2(Fold Change) of gene expression (T2DM-PresC relative to HC).</w:t>
      </w:r>
    </w:p>
    <w:p w14:paraId="2392F784" w14:textId="77777777" w:rsidR="00105F2A" w:rsidRPr="00CB75A4" w:rsidRDefault="00105F2A" w:rsidP="00105F2A">
      <w:pPr>
        <w:spacing w:line="480" w:lineRule="auto"/>
        <w:rPr>
          <w:rFonts w:ascii="Arial" w:hAnsi="Arial" w:cs="Arial"/>
          <w:color w:val="000000" w:themeColor="text1"/>
        </w:rPr>
      </w:pPr>
      <w:proofErr w:type="spellStart"/>
      <w:r w:rsidRPr="00CB75A4">
        <w:rPr>
          <w:rFonts w:ascii="Arial" w:hAnsi="Arial" w:cs="Arial"/>
          <w:color w:val="000000" w:themeColor="text1"/>
        </w:rPr>
        <w:t>AveExpr</w:t>
      </w:r>
      <w:proofErr w:type="spellEnd"/>
      <w:r w:rsidRPr="00CB75A4">
        <w:rPr>
          <w:rFonts w:ascii="Arial" w:hAnsi="Arial" w:cs="Arial"/>
          <w:color w:val="000000" w:themeColor="text1"/>
        </w:rPr>
        <w:t>: Average log2 expression level of the gene across all samples.</w:t>
      </w:r>
    </w:p>
    <w:p w14:paraId="582E49AF" w14:textId="77777777" w:rsidR="00105F2A" w:rsidRPr="00CB75A4" w:rsidRDefault="00105F2A" w:rsidP="00105F2A">
      <w:pPr>
        <w:spacing w:line="480" w:lineRule="auto"/>
        <w:rPr>
          <w:rFonts w:ascii="Arial" w:hAnsi="Arial" w:cs="Arial"/>
          <w:color w:val="000000" w:themeColor="text1"/>
        </w:rPr>
      </w:pPr>
      <w:r w:rsidRPr="00CB75A4">
        <w:rPr>
          <w:rFonts w:ascii="Arial" w:hAnsi="Arial" w:cs="Arial"/>
          <w:color w:val="000000" w:themeColor="text1"/>
        </w:rPr>
        <w:t xml:space="preserve">t: Moderated t-statistic from the </w:t>
      </w:r>
      <w:proofErr w:type="spellStart"/>
      <w:r w:rsidRPr="00CB75A4">
        <w:rPr>
          <w:rFonts w:ascii="Arial" w:hAnsi="Arial" w:cs="Arial"/>
          <w:color w:val="000000" w:themeColor="text1"/>
        </w:rPr>
        <w:t>limma</w:t>
      </w:r>
      <w:proofErr w:type="spellEnd"/>
      <w:r w:rsidRPr="00CB75A4">
        <w:rPr>
          <w:rFonts w:ascii="Arial" w:hAnsi="Arial" w:cs="Arial"/>
          <w:color w:val="000000" w:themeColor="text1"/>
        </w:rPr>
        <w:t xml:space="preserve"> analysis.</w:t>
      </w:r>
    </w:p>
    <w:p w14:paraId="02CDAA66" w14:textId="77777777" w:rsidR="00105F2A" w:rsidRPr="00CB75A4" w:rsidRDefault="00105F2A" w:rsidP="00105F2A">
      <w:pPr>
        <w:spacing w:line="480" w:lineRule="auto"/>
        <w:rPr>
          <w:rFonts w:ascii="Arial" w:hAnsi="Arial" w:cs="Arial"/>
          <w:color w:val="000000" w:themeColor="text1"/>
        </w:rPr>
      </w:pPr>
      <w:r w:rsidRPr="00CB75A4">
        <w:rPr>
          <w:rFonts w:ascii="Arial" w:hAnsi="Arial" w:cs="Arial"/>
          <w:color w:val="000000" w:themeColor="text1"/>
        </w:rPr>
        <w:t>P. Value: Raw (unadjusted) P-value.</w:t>
      </w:r>
    </w:p>
    <w:p w14:paraId="270ECD25" w14:textId="77777777" w:rsidR="00105F2A" w:rsidRPr="00CB75A4" w:rsidRDefault="00105F2A" w:rsidP="00105F2A">
      <w:pPr>
        <w:spacing w:line="480" w:lineRule="auto"/>
        <w:rPr>
          <w:rFonts w:ascii="Arial" w:hAnsi="Arial" w:cs="Arial"/>
          <w:color w:val="000000" w:themeColor="text1"/>
        </w:rPr>
      </w:pPr>
      <w:proofErr w:type="spellStart"/>
      <w:r w:rsidRPr="00CB75A4">
        <w:rPr>
          <w:rFonts w:ascii="Arial" w:hAnsi="Arial" w:cs="Arial"/>
          <w:color w:val="000000" w:themeColor="text1"/>
        </w:rPr>
        <w:t>adj.P.Val</w:t>
      </w:r>
      <w:proofErr w:type="spellEnd"/>
      <w:r w:rsidRPr="00CB75A4">
        <w:rPr>
          <w:rFonts w:ascii="Arial" w:hAnsi="Arial" w:cs="Arial"/>
          <w:color w:val="000000" w:themeColor="text1"/>
        </w:rPr>
        <w:t>: Adjusted P-value using the Benjamini-Hochberg method (False Discovery Rate, FDR).</w:t>
      </w:r>
    </w:p>
    <w:p w14:paraId="322D4D57" w14:textId="3FFA88FB" w:rsidR="00105F2A" w:rsidRPr="00CB75A4" w:rsidRDefault="00105F2A" w:rsidP="00105F2A">
      <w:pPr>
        <w:spacing w:line="480" w:lineRule="auto"/>
        <w:rPr>
          <w:rFonts w:ascii="Arial" w:hAnsi="Arial" w:cs="Arial" w:hint="eastAsia"/>
          <w:color w:val="000000" w:themeColor="text1"/>
        </w:rPr>
      </w:pPr>
      <w:r w:rsidRPr="00CB75A4">
        <w:rPr>
          <w:rFonts w:ascii="Arial" w:hAnsi="Arial" w:cs="Arial"/>
          <w:color w:val="000000" w:themeColor="text1"/>
        </w:rPr>
        <w:t>B: B-statistic (log-odds) indicating the likelihood of differential expression.</w:t>
      </w:r>
    </w:p>
    <w:p w14:paraId="217AB9C3" w14:textId="77777777" w:rsidR="007E1E4E" w:rsidRDefault="007E1E4E">
      <w:pPr>
        <w:widowControl/>
        <w:spacing w:after="0" w:line="240" w:lineRule="auto"/>
        <w:rPr>
          <w:rFonts w:ascii="Arial" w:hAnsi="Arial" w:cs="Arial"/>
          <w:color w:val="000000" w:themeColor="text1"/>
        </w:rPr>
      </w:pPr>
      <w:r>
        <w:rPr>
          <w:rFonts w:ascii="Arial" w:hAnsi="Arial" w:cs="Arial"/>
          <w:color w:val="000000" w:themeColor="text1"/>
        </w:rPr>
        <w:br w:type="page"/>
      </w:r>
    </w:p>
    <w:p w14:paraId="03250850" w14:textId="0965CD1E" w:rsidR="007E1E4E" w:rsidRDefault="007E1E4E" w:rsidP="00105F2A">
      <w:pPr>
        <w:spacing w:line="480" w:lineRule="auto"/>
        <w:rPr>
          <w:rFonts w:ascii="Arial" w:hAnsi="Arial" w:cs="Arial"/>
          <w:color w:val="000000" w:themeColor="text1"/>
        </w:rPr>
      </w:pPr>
      <w:r w:rsidRPr="007E1E4E">
        <w:rPr>
          <w:rFonts w:ascii="Arial" w:hAnsi="Arial" w:cs="Arial" w:hint="eastAsia"/>
          <w:color w:val="000000" w:themeColor="text1"/>
        </w:rPr>
        <w:lastRenderedPageBreak/>
        <w:t>Supplementary Dataset S2. Complete differential gene-expression results for the T2DM-LowC vs HC comparison.</w:t>
      </w:r>
    </w:p>
    <w:p w14:paraId="0EFCC42C" w14:textId="45C7200A" w:rsidR="00105F2A" w:rsidRPr="00CB75A4" w:rsidRDefault="00482658" w:rsidP="00105F2A">
      <w:pPr>
        <w:spacing w:line="480" w:lineRule="auto"/>
        <w:rPr>
          <w:rFonts w:ascii="Arial" w:hAnsi="Arial" w:cs="Arial"/>
          <w:color w:val="000000" w:themeColor="text1"/>
        </w:rPr>
      </w:pPr>
      <w:r w:rsidRPr="00CB75A4">
        <w:rPr>
          <w:rFonts w:ascii="Arial" w:hAnsi="Arial" w:cs="Arial"/>
          <w:color w:val="000000" w:themeColor="text1"/>
        </w:rPr>
        <w:t>This dataset contains the complete output</w:t>
      </w:r>
      <w:r w:rsidR="00105F2A" w:rsidRPr="00CB75A4">
        <w:rPr>
          <w:rFonts w:ascii="Arial" w:hAnsi="Arial" w:cs="Arial"/>
          <w:color w:val="000000" w:themeColor="text1"/>
        </w:rPr>
        <w:t xml:space="preserve"> from the </w:t>
      </w:r>
      <w:proofErr w:type="spellStart"/>
      <w:r w:rsidR="00105F2A" w:rsidRPr="00CB75A4">
        <w:rPr>
          <w:rFonts w:ascii="Arial" w:hAnsi="Arial" w:cs="Arial"/>
          <w:color w:val="000000" w:themeColor="text1"/>
        </w:rPr>
        <w:t>limma-voom</w:t>
      </w:r>
      <w:proofErr w:type="spellEnd"/>
      <w:r w:rsidR="00105F2A" w:rsidRPr="00CB75A4">
        <w:rPr>
          <w:rFonts w:ascii="Arial" w:hAnsi="Arial" w:cs="Arial"/>
          <w:color w:val="000000" w:themeColor="text1"/>
        </w:rPr>
        <w:t xml:space="preserve"> differential expression analysis for the comparison between the Healthy Control (HC) and T2DM-LowC groups. Column definitions are the same as in </w:t>
      </w:r>
      <w:r w:rsidR="00220961" w:rsidRPr="00CB75A4">
        <w:rPr>
          <w:rFonts w:ascii="Arial" w:hAnsi="Arial" w:cs="Arial" w:hint="eastAsia"/>
          <w:color w:val="000000" w:themeColor="text1"/>
        </w:rPr>
        <w:t>Supplementary Dataset S</w:t>
      </w:r>
      <w:r w:rsidR="00105F2A" w:rsidRPr="00CB75A4">
        <w:rPr>
          <w:rFonts w:ascii="Arial" w:hAnsi="Arial" w:cs="Arial"/>
          <w:color w:val="000000" w:themeColor="text1"/>
        </w:rPr>
        <w:t xml:space="preserve">1, with </w:t>
      </w:r>
      <w:proofErr w:type="spellStart"/>
      <w:r w:rsidR="00105F2A" w:rsidRPr="00CB75A4">
        <w:rPr>
          <w:rFonts w:ascii="Arial" w:hAnsi="Arial" w:cs="Arial"/>
          <w:color w:val="000000" w:themeColor="text1"/>
        </w:rPr>
        <w:t>logFC</w:t>
      </w:r>
      <w:proofErr w:type="spellEnd"/>
      <w:r w:rsidR="00105F2A" w:rsidRPr="00CB75A4">
        <w:rPr>
          <w:rFonts w:ascii="Arial" w:hAnsi="Arial" w:cs="Arial"/>
          <w:color w:val="000000" w:themeColor="text1"/>
        </w:rPr>
        <w:t xml:space="preserve"> representing the expression change in T2DM-LowC relative to HC.</w:t>
      </w:r>
    </w:p>
    <w:p w14:paraId="4770A1F7" w14:textId="77777777" w:rsidR="007E1E4E" w:rsidRDefault="00105F2A" w:rsidP="00105F2A">
      <w:pPr>
        <w:spacing w:line="480" w:lineRule="auto"/>
        <w:rPr>
          <w:rFonts w:ascii="Arial" w:hAnsi="Arial" w:cs="Arial"/>
          <w:color w:val="000000" w:themeColor="text1"/>
        </w:rPr>
      </w:pPr>
      <w:r w:rsidRPr="00CB75A4">
        <w:rPr>
          <w:rFonts w:ascii="Arial" w:hAnsi="Arial" w:cs="Arial"/>
          <w:color w:val="000000" w:themeColor="text1"/>
        </w:rPr>
        <w:br w:type="page"/>
      </w:r>
      <w:r w:rsidR="007E1E4E" w:rsidRPr="007E1E4E">
        <w:rPr>
          <w:rFonts w:ascii="Arial" w:hAnsi="Arial" w:cs="Arial" w:hint="eastAsia"/>
          <w:color w:val="000000" w:themeColor="text1"/>
        </w:rPr>
        <w:lastRenderedPageBreak/>
        <w:t>Supplementary Dataset S3. Complete differential gene-expression results for the T2DM-LowC vs T2DM-PresC comparison.</w:t>
      </w:r>
    </w:p>
    <w:p w14:paraId="6B0DC7CE" w14:textId="0FB7AE0B" w:rsidR="00105F2A" w:rsidRPr="00CB75A4" w:rsidRDefault="00482658" w:rsidP="00105F2A">
      <w:pPr>
        <w:spacing w:line="480" w:lineRule="auto"/>
        <w:rPr>
          <w:rFonts w:ascii="Arial" w:hAnsi="Arial" w:cs="Arial"/>
          <w:color w:val="000000" w:themeColor="text1"/>
        </w:rPr>
      </w:pPr>
      <w:r w:rsidRPr="00CB75A4">
        <w:rPr>
          <w:rFonts w:ascii="Arial" w:hAnsi="Arial" w:cs="Arial"/>
          <w:color w:val="000000" w:themeColor="text1"/>
        </w:rPr>
        <w:t>This dataset contains the complete output</w:t>
      </w:r>
      <w:r w:rsidR="00105F2A" w:rsidRPr="00CB75A4">
        <w:rPr>
          <w:rFonts w:ascii="Arial" w:hAnsi="Arial" w:cs="Arial"/>
          <w:color w:val="000000" w:themeColor="text1"/>
        </w:rPr>
        <w:t xml:space="preserve"> from the </w:t>
      </w:r>
      <w:proofErr w:type="spellStart"/>
      <w:r w:rsidR="00105F2A" w:rsidRPr="00CB75A4">
        <w:rPr>
          <w:rFonts w:ascii="Arial" w:hAnsi="Arial" w:cs="Arial"/>
          <w:color w:val="000000" w:themeColor="text1"/>
        </w:rPr>
        <w:t>limma-voom</w:t>
      </w:r>
      <w:proofErr w:type="spellEnd"/>
      <w:r w:rsidR="00105F2A" w:rsidRPr="00CB75A4">
        <w:rPr>
          <w:rFonts w:ascii="Arial" w:hAnsi="Arial" w:cs="Arial"/>
          <w:color w:val="000000" w:themeColor="text1"/>
        </w:rPr>
        <w:t xml:space="preserve"> differential expression analysis for the comparison between the T2DM-PresC and T2DM-LowC groups. Column definitions are the same as in </w:t>
      </w:r>
      <w:r w:rsidR="00220961" w:rsidRPr="00CB75A4">
        <w:rPr>
          <w:rFonts w:ascii="Arial" w:hAnsi="Arial" w:cs="Arial" w:hint="eastAsia"/>
          <w:color w:val="000000" w:themeColor="text1"/>
        </w:rPr>
        <w:t>Supplementary Dataset S</w:t>
      </w:r>
      <w:r w:rsidR="00105F2A" w:rsidRPr="00CB75A4">
        <w:rPr>
          <w:rFonts w:ascii="Arial" w:hAnsi="Arial" w:cs="Arial"/>
          <w:color w:val="000000" w:themeColor="text1"/>
        </w:rPr>
        <w:t xml:space="preserve">1, with </w:t>
      </w:r>
      <w:proofErr w:type="spellStart"/>
      <w:r w:rsidR="00105F2A" w:rsidRPr="00CB75A4">
        <w:rPr>
          <w:rFonts w:ascii="Arial" w:hAnsi="Arial" w:cs="Arial"/>
          <w:color w:val="000000" w:themeColor="text1"/>
        </w:rPr>
        <w:t>logFC</w:t>
      </w:r>
      <w:proofErr w:type="spellEnd"/>
      <w:r w:rsidR="00105F2A" w:rsidRPr="00CB75A4">
        <w:rPr>
          <w:rFonts w:ascii="Arial" w:hAnsi="Arial" w:cs="Arial"/>
          <w:color w:val="000000" w:themeColor="text1"/>
        </w:rPr>
        <w:t xml:space="preserve"> representing the expression change in T2DM-LowC relative to T2DM-PresC.</w:t>
      </w:r>
    </w:p>
    <w:p w14:paraId="0AB71822" w14:textId="234038B7" w:rsidR="00105F2A" w:rsidRPr="00CB75A4" w:rsidRDefault="00105F2A" w:rsidP="00105F2A">
      <w:pPr>
        <w:spacing w:line="480" w:lineRule="auto"/>
        <w:rPr>
          <w:rFonts w:ascii="Arial" w:hAnsi="Arial" w:cs="Arial"/>
          <w:color w:val="000000" w:themeColor="text1"/>
        </w:rPr>
      </w:pPr>
      <w:r w:rsidRPr="00CB75A4">
        <w:rPr>
          <w:rFonts w:ascii="Arial" w:hAnsi="Arial" w:cs="Arial"/>
          <w:color w:val="000000" w:themeColor="text1"/>
        </w:rPr>
        <w:br w:type="page"/>
      </w:r>
      <w:r w:rsidR="007E1E4E" w:rsidRPr="007E1E4E">
        <w:rPr>
          <w:rFonts w:ascii="Arial" w:hAnsi="Arial" w:cs="Arial" w:hint="eastAsia"/>
          <w:color w:val="000000" w:themeColor="text1"/>
        </w:rPr>
        <w:lastRenderedPageBreak/>
        <w:t xml:space="preserve">Supplementary Dataset S4. Raw </w:t>
      </w:r>
      <w:proofErr w:type="spellStart"/>
      <w:r w:rsidR="007E1E4E" w:rsidRPr="007E1E4E">
        <w:rPr>
          <w:rFonts w:ascii="Arial" w:hAnsi="Arial" w:cs="Arial" w:hint="eastAsia"/>
          <w:color w:val="000000" w:themeColor="text1"/>
        </w:rPr>
        <w:t>CIBERSORTx</w:t>
      </w:r>
      <w:proofErr w:type="spellEnd"/>
      <w:r w:rsidR="007E1E4E" w:rsidRPr="007E1E4E">
        <w:rPr>
          <w:rFonts w:ascii="Arial" w:hAnsi="Arial" w:cs="Arial" w:hint="eastAsia"/>
          <w:color w:val="000000" w:themeColor="text1"/>
        </w:rPr>
        <w:t xml:space="preserve"> deconvolution results for all samples.</w:t>
      </w:r>
    </w:p>
    <w:p w14:paraId="2D259237" w14:textId="1057136F" w:rsidR="00105F2A" w:rsidRDefault="00482658" w:rsidP="00105F2A">
      <w:pPr>
        <w:spacing w:line="480" w:lineRule="auto"/>
        <w:rPr>
          <w:rFonts w:ascii="Arial" w:hAnsi="Arial" w:cs="Arial"/>
          <w:color w:val="000000" w:themeColor="text1"/>
        </w:rPr>
      </w:pPr>
      <w:r w:rsidRPr="00CB75A4">
        <w:rPr>
          <w:rFonts w:ascii="Arial" w:hAnsi="Arial" w:cs="Arial" w:hint="eastAsia"/>
          <w:color w:val="000000" w:themeColor="text1"/>
        </w:rPr>
        <w:t>This dataset contains the complete output</w:t>
      </w:r>
      <w:r w:rsidR="00105F2A" w:rsidRPr="00CB75A4">
        <w:rPr>
          <w:rFonts w:ascii="Arial" w:hAnsi="Arial" w:cs="Arial" w:hint="eastAsia"/>
          <w:color w:val="000000" w:themeColor="text1"/>
        </w:rPr>
        <w:t xml:space="preserve"> from the </w:t>
      </w:r>
      <w:proofErr w:type="spellStart"/>
      <w:r w:rsidR="00105F2A" w:rsidRPr="00CB75A4">
        <w:rPr>
          <w:rFonts w:ascii="Arial" w:hAnsi="Arial" w:cs="Arial" w:hint="eastAsia"/>
          <w:color w:val="000000" w:themeColor="text1"/>
        </w:rPr>
        <w:t>CIBERSORTx</w:t>
      </w:r>
      <w:proofErr w:type="spellEnd"/>
      <w:r w:rsidR="00105F2A" w:rsidRPr="00CB75A4">
        <w:rPr>
          <w:rFonts w:ascii="Arial" w:hAnsi="Arial" w:cs="Arial" w:hint="eastAsia"/>
          <w:color w:val="000000" w:themeColor="text1"/>
        </w:rPr>
        <w:t xml:space="preserve"> algorithm, using the LM22 signature matrix, for all 21 samples in the RNA-seq cohort (HC, T2DM-PresC, and T2DM-LowC). The rows represent individual samples, and the columns represent the estimated relative proportions of the 22 immune cell subpopulations. The final three columns show the P-value for the deconvolution significance, the Pearson correlation coefficient between the sample's expression profile and the signature matrix, and the Root Mean Squared Error (RMSE) of the deconvolution fit for each sample.</w:t>
      </w:r>
    </w:p>
    <w:p w14:paraId="3AB622FC" w14:textId="77777777" w:rsidR="00974BF5" w:rsidRPr="00CB75A4" w:rsidRDefault="00974BF5" w:rsidP="00105F2A">
      <w:pPr>
        <w:spacing w:line="480" w:lineRule="auto"/>
        <w:rPr>
          <w:rFonts w:ascii="Arial" w:hAnsi="Arial" w:cs="Arial"/>
          <w:color w:val="000000" w:themeColor="text1"/>
        </w:rPr>
      </w:pPr>
    </w:p>
    <w:p w14:paraId="4BABA474" w14:textId="77777777" w:rsidR="00A70377" w:rsidRPr="00CB75A4" w:rsidRDefault="00A70377">
      <w:pPr>
        <w:widowControl/>
        <w:spacing w:after="0" w:line="240" w:lineRule="auto"/>
        <w:rPr>
          <w:rFonts w:ascii="Arial" w:hAnsi="Arial" w:cs="Arial"/>
          <w:color w:val="000000" w:themeColor="text1"/>
        </w:rPr>
      </w:pPr>
      <w:r w:rsidRPr="00CB75A4">
        <w:rPr>
          <w:rFonts w:ascii="Arial" w:hAnsi="Arial" w:cs="Arial"/>
          <w:color w:val="000000" w:themeColor="text1"/>
        </w:rPr>
        <w:br w:type="page"/>
      </w:r>
    </w:p>
    <w:p w14:paraId="7784BE8A" w14:textId="717AAAA2" w:rsidR="00965EFF" w:rsidRDefault="000A4A75" w:rsidP="00105F2A">
      <w:pPr>
        <w:spacing w:line="480" w:lineRule="auto"/>
        <w:rPr>
          <w:rFonts w:ascii="Arial" w:hAnsi="Arial" w:cs="Arial"/>
          <w:color w:val="000000" w:themeColor="text1"/>
        </w:rPr>
      </w:pPr>
      <w:r w:rsidRPr="00CB75A4">
        <w:rPr>
          <w:rFonts w:ascii="Arial" w:hAnsi="Arial" w:cs="Arial" w:hint="eastAsia"/>
          <w:color w:val="000000" w:themeColor="text1"/>
        </w:rPr>
        <w:lastRenderedPageBreak/>
        <w:t>Supplementary Datasets S1</w:t>
      </w:r>
      <w:r w:rsidRPr="00CB75A4">
        <w:rPr>
          <w:rFonts w:ascii="Arial" w:hAnsi="Arial" w:cs="Arial" w:hint="eastAsia"/>
          <w:color w:val="000000" w:themeColor="text1"/>
        </w:rPr>
        <w:t>–</w:t>
      </w:r>
      <w:r w:rsidRPr="00CB75A4">
        <w:rPr>
          <w:rFonts w:ascii="Arial" w:hAnsi="Arial" w:cs="Arial" w:hint="eastAsia"/>
          <w:color w:val="000000" w:themeColor="text1"/>
        </w:rPr>
        <w:t>S4 are provided in a single accompanying machine-readable workbook containing complete differential-expression outputs (S1</w:t>
      </w:r>
      <w:r w:rsidRPr="00CB75A4">
        <w:rPr>
          <w:rFonts w:ascii="Arial" w:hAnsi="Arial" w:cs="Arial" w:hint="eastAsia"/>
          <w:color w:val="000000" w:themeColor="text1"/>
        </w:rPr>
        <w:t>–</w:t>
      </w:r>
      <w:r w:rsidRPr="00CB75A4">
        <w:rPr>
          <w:rFonts w:ascii="Arial" w:hAnsi="Arial" w:cs="Arial" w:hint="eastAsia"/>
          <w:color w:val="000000" w:themeColor="text1"/>
        </w:rPr>
        <w:t xml:space="preserve">S3) and raw </w:t>
      </w:r>
      <w:proofErr w:type="spellStart"/>
      <w:r w:rsidRPr="00CB75A4">
        <w:rPr>
          <w:rFonts w:ascii="Arial" w:hAnsi="Arial" w:cs="Arial" w:hint="eastAsia"/>
          <w:color w:val="000000" w:themeColor="text1"/>
        </w:rPr>
        <w:t>CIBERSORTx</w:t>
      </w:r>
      <w:proofErr w:type="spellEnd"/>
      <w:r w:rsidRPr="00CB75A4">
        <w:rPr>
          <w:rFonts w:ascii="Arial" w:hAnsi="Arial" w:cs="Arial" w:hint="eastAsia"/>
          <w:color w:val="000000" w:themeColor="text1"/>
        </w:rPr>
        <w:t xml:space="preserve"> deconvolution results (S4). </w:t>
      </w:r>
      <w:r w:rsidR="00294FF0" w:rsidRPr="00CB75A4">
        <w:rPr>
          <w:rFonts w:ascii="Arial" w:hAnsi="Arial" w:cs="Arial" w:hint="eastAsia"/>
          <w:color w:val="000000" w:themeColor="text1"/>
        </w:rPr>
        <w:t xml:space="preserve"> </w:t>
      </w:r>
    </w:p>
    <w:p w14:paraId="115A6C24" w14:textId="1ECCCC3E" w:rsidR="00974BF5" w:rsidRPr="00CB75A4" w:rsidRDefault="00974BF5" w:rsidP="00105F2A">
      <w:pPr>
        <w:spacing w:line="480" w:lineRule="auto"/>
        <w:rPr>
          <w:rFonts w:ascii="Arial" w:hAnsi="Arial" w:cs="Arial"/>
          <w:color w:val="000000" w:themeColor="text1"/>
        </w:rPr>
      </w:pPr>
      <w:r w:rsidRPr="00974BF5">
        <w:rPr>
          <w:rFonts w:ascii="Arial" w:hAnsi="Arial" w:cs="Arial"/>
          <w:color w:val="000000" w:themeColor="text1"/>
        </w:rPr>
        <w:t>Abbreviations: HC, healthy control; T2DM-PresC, type 2 diabetes with preserved C-peptide; T2DM-LowC, type 2 diabetes with low C-peptide; RNA-seq, RNA sequencing; PBMCs, peripheral blood mononuclear cells; FDR, false discovery rate; RMSE, root mean squared error; LM22, leukocyte gene signature matrix 22.</w:t>
      </w:r>
    </w:p>
    <w:sectPr w:rsidR="00974BF5" w:rsidRPr="00CB75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EFF"/>
    <w:rsid w:val="0007698A"/>
    <w:rsid w:val="000A4A75"/>
    <w:rsid w:val="00105F2A"/>
    <w:rsid w:val="00173A37"/>
    <w:rsid w:val="002020C8"/>
    <w:rsid w:val="00220961"/>
    <w:rsid w:val="00294FF0"/>
    <w:rsid w:val="002C64E4"/>
    <w:rsid w:val="004245B6"/>
    <w:rsid w:val="00482658"/>
    <w:rsid w:val="007A591D"/>
    <w:rsid w:val="007E1E4E"/>
    <w:rsid w:val="00965EFF"/>
    <w:rsid w:val="00974BF5"/>
    <w:rsid w:val="00A70377"/>
    <w:rsid w:val="00AD0C6F"/>
    <w:rsid w:val="00C04CEE"/>
    <w:rsid w:val="00CB75A4"/>
    <w:rsid w:val="00D308B5"/>
    <w:rsid w:val="00DD7B30"/>
    <w:rsid w:val="00EF1DB3"/>
    <w:rsid w:val="00F22C59"/>
    <w:rsid w:val="00FB5CD9"/>
    <w:rsid w:val="00FE5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515D"/>
  <w15:chartTrackingRefBased/>
  <w15:docId w15:val="{AF1045AF-6580-4D5F-B7B7-D0C7DAB03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rPr>
  </w:style>
  <w:style w:type="paragraph" w:styleId="1">
    <w:name w:val="heading 1"/>
    <w:basedOn w:val="a"/>
    <w:next w:val="a"/>
    <w:link w:val="10"/>
    <w:uiPriority w:val="9"/>
    <w:qFormat/>
    <w:rsid w:val="00965EFF"/>
    <w:pPr>
      <w:keepNext/>
      <w:keepLines/>
      <w:spacing w:before="480" w:after="80"/>
      <w:outlineLvl w:val="0"/>
    </w:pPr>
    <w:rPr>
      <w:rFonts w:ascii="等线 Light" w:eastAsia="等线 Light" w:hAnsi="等线 Light"/>
      <w:color w:val="2F5496"/>
      <w:sz w:val="48"/>
      <w:szCs w:val="48"/>
    </w:rPr>
  </w:style>
  <w:style w:type="paragraph" w:styleId="2">
    <w:name w:val="heading 2"/>
    <w:basedOn w:val="a"/>
    <w:next w:val="a"/>
    <w:link w:val="20"/>
    <w:uiPriority w:val="9"/>
    <w:semiHidden/>
    <w:unhideWhenUsed/>
    <w:qFormat/>
    <w:rsid w:val="00965EFF"/>
    <w:pPr>
      <w:keepNext/>
      <w:keepLines/>
      <w:spacing w:before="160" w:after="80"/>
      <w:outlineLvl w:val="1"/>
    </w:pPr>
    <w:rPr>
      <w:rFonts w:ascii="等线 Light" w:eastAsia="等线 Light" w:hAnsi="等线 Light"/>
      <w:color w:val="2F5496"/>
      <w:sz w:val="40"/>
      <w:szCs w:val="40"/>
    </w:rPr>
  </w:style>
  <w:style w:type="paragraph" w:styleId="3">
    <w:name w:val="heading 3"/>
    <w:basedOn w:val="a"/>
    <w:next w:val="a"/>
    <w:link w:val="30"/>
    <w:uiPriority w:val="9"/>
    <w:semiHidden/>
    <w:unhideWhenUsed/>
    <w:qFormat/>
    <w:rsid w:val="00965EFF"/>
    <w:pPr>
      <w:keepNext/>
      <w:keepLines/>
      <w:spacing w:before="160" w:after="80"/>
      <w:outlineLvl w:val="2"/>
    </w:pPr>
    <w:rPr>
      <w:rFonts w:ascii="等线 Light" w:eastAsia="等线 Light" w:hAnsi="等线 Light"/>
      <w:color w:val="2F5496"/>
      <w:sz w:val="32"/>
      <w:szCs w:val="32"/>
    </w:rPr>
  </w:style>
  <w:style w:type="paragraph" w:styleId="4">
    <w:name w:val="heading 4"/>
    <w:basedOn w:val="a"/>
    <w:next w:val="a"/>
    <w:link w:val="40"/>
    <w:uiPriority w:val="9"/>
    <w:semiHidden/>
    <w:unhideWhenUsed/>
    <w:qFormat/>
    <w:rsid w:val="00965EFF"/>
    <w:pPr>
      <w:keepNext/>
      <w:keepLines/>
      <w:spacing w:before="80" w:after="40"/>
      <w:outlineLvl w:val="3"/>
    </w:pPr>
    <w:rPr>
      <w:color w:val="2F5496"/>
      <w:sz w:val="28"/>
      <w:szCs w:val="28"/>
    </w:rPr>
  </w:style>
  <w:style w:type="paragraph" w:styleId="5">
    <w:name w:val="heading 5"/>
    <w:basedOn w:val="a"/>
    <w:next w:val="a"/>
    <w:link w:val="50"/>
    <w:uiPriority w:val="9"/>
    <w:semiHidden/>
    <w:unhideWhenUsed/>
    <w:qFormat/>
    <w:rsid w:val="00965EFF"/>
    <w:pPr>
      <w:keepNext/>
      <w:keepLines/>
      <w:spacing w:before="80" w:after="40"/>
      <w:outlineLvl w:val="4"/>
    </w:pPr>
    <w:rPr>
      <w:color w:val="2F5496"/>
      <w:sz w:val="24"/>
    </w:rPr>
  </w:style>
  <w:style w:type="paragraph" w:styleId="6">
    <w:name w:val="heading 6"/>
    <w:basedOn w:val="a"/>
    <w:next w:val="a"/>
    <w:link w:val="60"/>
    <w:uiPriority w:val="9"/>
    <w:semiHidden/>
    <w:unhideWhenUsed/>
    <w:qFormat/>
    <w:rsid w:val="00965EFF"/>
    <w:pPr>
      <w:keepNext/>
      <w:keepLines/>
      <w:spacing w:before="40" w:after="0"/>
      <w:outlineLvl w:val="5"/>
    </w:pPr>
    <w:rPr>
      <w:b/>
      <w:bCs/>
      <w:color w:val="2F5496"/>
    </w:rPr>
  </w:style>
  <w:style w:type="paragraph" w:styleId="7">
    <w:name w:val="heading 7"/>
    <w:basedOn w:val="a"/>
    <w:next w:val="a"/>
    <w:link w:val="70"/>
    <w:uiPriority w:val="9"/>
    <w:semiHidden/>
    <w:unhideWhenUsed/>
    <w:qFormat/>
    <w:rsid w:val="00965EFF"/>
    <w:pPr>
      <w:keepNext/>
      <w:keepLines/>
      <w:spacing w:before="40" w:after="0"/>
      <w:outlineLvl w:val="6"/>
    </w:pPr>
    <w:rPr>
      <w:b/>
      <w:bCs/>
      <w:color w:val="595959"/>
    </w:rPr>
  </w:style>
  <w:style w:type="paragraph" w:styleId="8">
    <w:name w:val="heading 8"/>
    <w:basedOn w:val="a"/>
    <w:next w:val="a"/>
    <w:link w:val="80"/>
    <w:uiPriority w:val="9"/>
    <w:semiHidden/>
    <w:unhideWhenUsed/>
    <w:qFormat/>
    <w:rsid w:val="00965EFF"/>
    <w:pPr>
      <w:keepNext/>
      <w:keepLines/>
      <w:spacing w:after="0"/>
      <w:outlineLvl w:val="7"/>
    </w:pPr>
    <w:rPr>
      <w:color w:val="595959"/>
    </w:rPr>
  </w:style>
  <w:style w:type="paragraph" w:styleId="9">
    <w:name w:val="heading 9"/>
    <w:basedOn w:val="a"/>
    <w:next w:val="a"/>
    <w:link w:val="90"/>
    <w:uiPriority w:val="9"/>
    <w:semiHidden/>
    <w:unhideWhenUsed/>
    <w:qFormat/>
    <w:rsid w:val="00965EFF"/>
    <w:pPr>
      <w:keepNext/>
      <w:keepLines/>
      <w:spacing w:after="0"/>
      <w:outlineLvl w:val="8"/>
    </w:pPr>
    <w:rPr>
      <w:rFonts w:eastAsia="等线 Light"/>
      <w:color w:val="5959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sid w:val="00965EFF"/>
    <w:rPr>
      <w:rFonts w:ascii="等线 Light" w:eastAsia="等线 Light" w:hAnsi="等线 Light" w:cs="Times New Roman"/>
      <w:color w:val="2F5496"/>
      <w:sz w:val="48"/>
      <w:szCs w:val="48"/>
    </w:rPr>
  </w:style>
  <w:style w:type="character" w:customStyle="1" w:styleId="20">
    <w:name w:val="标题 2 字符"/>
    <w:link w:val="2"/>
    <w:uiPriority w:val="9"/>
    <w:semiHidden/>
    <w:rsid w:val="00965EFF"/>
    <w:rPr>
      <w:rFonts w:ascii="等线 Light" w:eastAsia="等线 Light" w:hAnsi="等线 Light" w:cs="Times New Roman"/>
      <w:color w:val="2F5496"/>
      <w:sz w:val="40"/>
      <w:szCs w:val="40"/>
    </w:rPr>
  </w:style>
  <w:style w:type="character" w:customStyle="1" w:styleId="30">
    <w:name w:val="标题 3 字符"/>
    <w:link w:val="3"/>
    <w:uiPriority w:val="9"/>
    <w:semiHidden/>
    <w:rsid w:val="00965EFF"/>
    <w:rPr>
      <w:rFonts w:ascii="等线 Light" w:eastAsia="等线 Light" w:hAnsi="等线 Light" w:cs="Times New Roman"/>
      <w:color w:val="2F5496"/>
      <w:sz w:val="32"/>
      <w:szCs w:val="32"/>
    </w:rPr>
  </w:style>
  <w:style w:type="character" w:customStyle="1" w:styleId="40">
    <w:name w:val="标题 4 字符"/>
    <w:link w:val="4"/>
    <w:uiPriority w:val="9"/>
    <w:semiHidden/>
    <w:rsid w:val="00965EFF"/>
    <w:rPr>
      <w:rFonts w:cs="Times New Roman"/>
      <w:color w:val="2F5496"/>
      <w:sz w:val="28"/>
      <w:szCs w:val="28"/>
    </w:rPr>
  </w:style>
  <w:style w:type="character" w:customStyle="1" w:styleId="50">
    <w:name w:val="标题 5 字符"/>
    <w:link w:val="5"/>
    <w:uiPriority w:val="9"/>
    <w:semiHidden/>
    <w:rsid w:val="00965EFF"/>
    <w:rPr>
      <w:rFonts w:cs="Times New Roman"/>
      <w:color w:val="2F5496"/>
      <w:sz w:val="24"/>
    </w:rPr>
  </w:style>
  <w:style w:type="character" w:customStyle="1" w:styleId="60">
    <w:name w:val="标题 6 字符"/>
    <w:link w:val="6"/>
    <w:uiPriority w:val="9"/>
    <w:semiHidden/>
    <w:rsid w:val="00965EFF"/>
    <w:rPr>
      <w:rFonts w:cs="Times New Roman"/>
      <w:b/>
      <w:bCs/>
      <w:color w:val="2F5496"/>
    </w:rPr>
  </w:style>
  <w:style w:type="character" w:customStyle="1" w:styleId="70">
    <w:name w:val="标题 7 字符"/>
    <w:link w:val="7"/>
    <w:uiPriority w:val="9"/>
    <w:semiHidden/>
    <w:rsid w:val="00965EFF"/>
    <w:rPr>
      <w:rFonts w:cs="Times New Roman"/>
      <w:b/>
      <w:bCs/>
      <w:color w:val="595959"/>
    </w:rPr>
  </w:style>
  <w:style w:type="character" w:customStyle="1" w:styleId="80">
    <w:name w:val="标题 8 字符"/>
    <w:link w:val="8"/>
    <w:uiPriority w:val="9"/>
    <w:semiHidden/>
    <w:rsid w:val="00965EFF"/>
    <w:rPr>
      <w:rFonts w:cs="Times New Roman"/>
      <w:color w:val="595959"/>
    </w:rPr>
  </w:style>
  <w:style w:type="character" w:customStyle="1" w:styleId="90">
    <w:name w:val="标题 9 字符"/>
    <w:link w:val="9"/>
    <w:uiPriority w:val="9"/>
    <w:semiHidden/>
    <w:rsid w:val="00965EFF"/>
    <w:rPr>
      <w:rFonts w:eastAsia="等线 Light" w:cs="Times New Roman"/>
      <w:color w:val="595959"/>
    </w:rPr>
  </w:style>
  <w:style w:type="paragraph" w:styleId="a3">
    <w:name w:val="Title"/>
    <w:basedOn w:val="a"/>
    <w:next w:val="a"/>
    <w:link w:val="a4"/>
    <w:uiPriority w:val="10"/>
    <w:qFormat/>
    <w:rsid w:val="00965EFF"/>
    <w:pPr>
      <w:spacing w:after="80" w:line="240" w:lineRule="auto"/>
      <w:contextualSpacing/>
      <w:jc w:val="center"/>
    </w:pPr>
    <w:rPr>
      <w:rFonts w:ascii="等线 Light" w:eastAsia="等线 Light" w:hAnsi="等线 Light"/>
      <w:spacing w:val="-10"/>
      <w:kern w:val="28"/>
      <w:sz w:val="56"/>
      <w:szCs w:val="56"/>
    </w:rPr>
  </w:style>
  <w:style w:type="character" w:customStyle="1" w:styleId="a4">
    <w:name w:val="标题 字符"/>
    <w:link w:val="a3"/>
    <w:uiPriority w:val="10"/>
    <w:rsid w:val="00965EFF"/>
    <w:rPr>
      <w:rFonts w:ascii="等线 Light" w:eastAsia="等线 Light" w:hAnsi="等线 Light" w:cs="Times New Roman"/>
      <w:spacing w:val="-10"/>
      <w:kern w:val="28"/>
      <w:sz w:val="56"/>
      <w:szCs w:val="56"/>
    </w:rPr>
  </w:style>
  <w:style w:type="paragraph" w:styleId="a5">
    <w:name w:val="Subtitle"/>
    <w:basedOn w:val="a"/>
    <w:next w:val="a"/>
    <w:link w:val="a6"/>
    <w:uiPriority w:val="11"/>
    <w:qFormat/>
    <w:rsid w:val="00965EFF"/>
    <w:pPr>
      <w:numPr>
        <w:ilvl w:val="1"/>
      </w:numPr>
      <w:jc w:val="center"/>
    </w:pPr>
    <w:rPr>
      <w:rFonts w:ascii="等线 Light" w:eastAsia="等线 Light" w:hAnsi="等线 Light"/>
      <w:color w:val="595959"/>
      <w:spacing w:val="15"/>
      <w:sz w:val="28"/>
      <w:szCs w:val="28"/>
    </w:rPr>
  </w:style>
  <w:style w:type="character" w:customStyle="1" w:styleId="a6">
    <w:name w:val="副标题 字符"/>
    <w:link w:val="a5"/>
    <w:uiPriority w:val="11"/>
    <w:rsid w:val="00965EFF"/>
    <w:rPr>
      <w:rFonts w:ascii="等线 Light" w:eastAsia="等线 Light" w:hAnsi="等线 Light" w:cs="Times New Roman"/>
      <w:color w:val="595959"/>
      <w:spacing w:val="15"/>
      <w:sz w:val="28"/>
      <w:szCs w:val="28"/>
    </w:rPr>
  </w:style>
  <w:style w:type="paragraph" w:styleId="a7">
    <w:name w:val="Quote"/>
    <w:basedOn w:val="a"/>
    <w:next w:val="a"/>
    <w:link w:val="a8"/>
    <w:uiPriority w:val="29"/>
    <w:qFormat/>
    <w:rsid w:val="00965EFF"/>
    <w:pPr>
      <w:spacing w:before="160"/>
      <w:jc w:val="center"/>
    </w:pPr>
    <w:rPr>
      <w:i/>
      <w:iCs/>
      <w:color w:val="404040"/>
    </w:rPr>
  </w:style>
  <w:style w:type="character" w:customStyle="1" w:styleId="a8">
    <w:name w:val="引用 字符"/>
    <w:link w:val="a7"/>
    <w:uiPriority w:val="29"/>
    <w:rsid w:val="00965EFF"/>
    <w:rPr>
      <w:i/>
      <w:iCs/>
      <w:color w:val="404040"/>
    </w:rPr>
  </w:style>
  <w:style w:type="paragraph" w:styleId="a9">
    <w:name w:val="List Paragraph"/>
    <w:basedOn w:val="a"/>
    <w:uiPriority w:val="34"/>
    <w:qFormat/>
    <w:rsid w:val="00965EFF"/>
    <w:pPr>
      <w:ind w:left="720"/>
      <w:contextualSpacing/>
    </w:pPr>
  </w:style>
  <w:style w:type="character" w:styleId="aa">
    <w:name w:val="Intense Emphasis"/>
    <w:uiPriority w:val="21"/>
    <w:qFormat/>
    <w:rsid w:val="00965EFF"/>
    <w:rPr>
      <w:i/>
      <w:iCs/>
      <w:color w:val="2F5496"/>
    </w:rPr>
  </w:style>
  <w:style w:type="paragraph" w:styleId="ab">
    <w:name w:val="Intense Quote"/>
    <w:basedOn w:val="a"/>
    <w:next w:val="a"/>
    <w:link w:val="ac"/>
    <w:uiPriority w:val="30"/>
    <w:qFormat/>
    <w:rsid w:val="00965EFF"/>
    <w:pPr>
      <w:pBdr>
        <w:top w:val="single" w:sz="4" w:space="10" w:color="2F5496"/>
        <w:bottom w:val="single" w:sz="4" w:space="10" w:color="2F5496"/>
      </w:pBdr>
      <w:spacing w:before="360" w:after="360"/>
      <w:ind w:left="864" w:right="864"/>
      <w:jc w:val="center"/>
    </w:pPr>
    <w:rPr>
      <w:i/>
      <w:iCs/>
      <w:color w:val="2F5496"/>
    </w:rPr>
  </w:style>
  <w:style w:type="character" w:customStyle="1" w:styleId="ac">
    <w:name w:val="明显引用 字符"/>
    <w:link w:val="ab"/>
    <w:uiPriority w:val="30"/>
    <w:rsid w:val="00965EFF"/>
    <w:rPr>
      <w:i/>
      <w:iCs/>
      <w:color w:val="2F5496"/>
    </w:rPr>
  </w:style>
  <w:style w:type="character" w:styleId="ad">
    <w:name w:val="Intense Reference"/>
    <w:uiPriority w:val="32"/>
    <w:qFormat/>
    <w:rsid w:val="00965EFF"/>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tiff"/><Relationship Id="rId4" Type="http://schemas.openxmlformats.org/officeDocument/2006/relationships/image" Target="media/image1.tif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1684</Words>
  <Characters>9604</Characters>
  <Application>Microsoft Office Word</Application>
  <DocSecurity>0</DocSecurity>
  <Lines>80</Lines>
  <Paragraphs>22</Paragraphs>
  <ScaleCrop>false</ScaleCrop>
  <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雅晶 许</dc:creator>
  <cp:keywords/>
  <dc:description/>
  <cp:lastModifiedBy>雅晶 许</cp:lastModifiedBy>
  <cp:revision>6</cp:revision>
  <dcterms:created xsi:type="dcterms:W3CDTF">2026-04-24T13:09:00Z</dcterms:created>
  <dcterms:modified xsi:type="dcterms:W3CDTF">2026-04-29T16:06:00Z</dcterms:modified>
</cp:coreProperties>
</file>