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D042">
      <w:pPr>
        <w:widowControl/>
        <w:spacing w:after="200" w:line="480" w:lineRule="auto"/>
        <w:jc w:val="both"/>
        <w:rPr>
          <w:rFonts w:hint="default" w:ascii="Arial" w:hAnsi="Arial" w:eastAsia="Times New Roman" w:cs="Arial"/>
          <w:kern w:val="0"/>
          <w:sz w:val="18"/>
          <w:szCs w:val="18"/>
          <w:lang w:eastAsia="en-US"/>
        </w:rPr>
      </w:pPr>
      <w:r>
        <w:rPr>
          <w:rFonts w:hint="default" w:ascii="Arial" w:hAnsi="Arial" w:eastAsia="Times New Roman" w:cs="Arial"/>
          <w:b/>
          <w:kern w:val="0"/>
          <w:sz w:val="18"/>
          <w:szCs w:val="18"/>
          <w:lang w:eastAsia="en-US"/>
        </w:rPr>
        <w:t>Supplementary Table S1. Operational definitions and coding of key clinical variables</w:t>
      </w:r>
    </w:p>
    <w:tbl>
      <w:tblPr>
        <w:tblStyle w:val="5"/>
        <w:tblpPr w:leftFromText="180" w:rightFromText="180" w:vertAnchor="text" w:tblpXSpec="center" w:tblpY="1"/>
        <w:tblOverlap w:val="never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423"/>
        <w:gridCol w:w="2523"/>
        <w:gridCol w:w="2446"/>
      </w:tblGrid>
      <w:tr w14:paraId="6360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9BACF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kern w:val="0"/>
                <w:sz w:val="18"/>
                <w:szCs w:val="18"/>
                <w:lang w:eastAsia="en-US"/>
              </w:rPr>
              <w:t>Variable</w:t>
            </w:r>
          </w:p>
        </w:tc>
        <w:tc>
          <w:tcPr>
            <w:tcW w:w="542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362B8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kern w:val="0"/>
                <w:sz w:val="18"/>
                <w:szCs w:val="18"/>
                <w:lang w:eastAsia="en-US"/>
              </w:rPr>
              <w:t>Operational definition</w:t>
            </w:r>
          </w:p>
        </w:tc>
        <w:tc>
          <w:tcPr>
            <w:tcW w:w="252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8120A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kern w:val="0"/>
                <w:sz w:val="18"/>
                <w:szCs w:val="18"/>
                <w:lang w:eastAsia="en-US"/>
              </w:rPr>
              <w:t>Coding used in analyses</w:t>
            </w:r>
          </w:p>
        </w:tc>
        <w:tc>
          <w:tcPr>
            <w:tcW w:w="244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B37BF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kern w:val="0"/>
                <w:sz w:val="18"/>
                <w:szCs w:val="18"/>
                <w:lang w:eastAsia="en-US"/>
              </w:rPr>
              <w:t>Data source / reference</w:t>
            </w:r>
          </w:p>
        </w:tc>
      </w:tr>
      <w:tr w14:paraId="3C00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38C5D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Diabetes-related complications (count)</w:t>
            </w:r>
          </w:p>
        </w:tc>
        <w:tc>
          <w:tcPr>
            <w:tcW w:w="542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D5458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Defined according to guideline</w:t>
            </w: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vertAlign w:val="superscript"/>
                <w:lang w:eastAsia="en-US"/>
              </w:rPr>
              <w:t>1</w:t>
            </w: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. Complications included diabetic retinopathy, diabetic peripheral neuropathy, diabetic nephropathy, diabetes-related cardio-/cerebrovascular complications, diabetic lower-extremity arterial disease, diabetic foot, and diabetes-related infection. The number of present complications was summed for each participant.</w:t>
            </w:r>
          </w:p>
        </w:tc>
        <w:tc>
          <w:tcPr>
            <w:tcW w:w="252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F6631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Continuous count (integer). In descriptive table, reported as median (Q1, Q3).</w:t>
            </w:r>
          </w:p>
        </w:tc>
        <w:tc>
          <w:tcPr>
            <w:tcW w:w="244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B889A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Electronic 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23</w:t>
            </w:r>
          </w:p>
        </w:tc>
      </w:tr>
      <w:tr w14:paraId="21A7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D81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Diabetic retinopathy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B5C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Presence of diabetic retinopathy documented in the medical record during the current admission or previous diagnosis.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7C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254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23</w:t>
            </w:r>
          </w:p>
        </w:tc>
      </w:tr>
      <w:tr w14:paraId="3152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B9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Diabetic peripheral neuropathy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9A4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Presence of diabetic peripheral neuropathy documented in the medical record.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120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D5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23</w:t>
            </w:r>
          </w:p>
        </w:tc>
      </w:tr>
      <w:tr w14:paraId="09A3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5B5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Diabetic nephropathy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89C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Presence of diabetic nephropathy documented in the medical record.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7A4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297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23</w:t>
            </w:r>
          </w:p>
        </w:tc>
      </w:tr>
      <w:tr w14:paraId="0355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C2F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Diabetes-related cardio-/cerebrovascular complications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1FD1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Diabetes-related cardiovascular or cerebrovascular complications documented in the medical record (eg, coronary heart disease, stroke, etc., as recorded by clinicians).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83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7BA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23</w:t>
            </w:r>
          </w:p>
        </w:tc>
      </w:tr>
      <w:tr w14:paraId="4FCC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639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Diabetic lower-extremity arterial disease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C1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Documented diabetic lower-extremity arterial disease / peripheral arterial disease.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E90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049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23</w:t>
            </w:r>
          </w:p>
        </w:tc>
      </w:tr>
      <w:tr w14:paraId="04D6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A97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Diabetic foot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D0F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Documented diabetic foot during admission or previous diagnosis.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90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A93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23</w:t>
            </w:r>
          </w:p>
        </w:tc>
      </w:tr>
      <w:tr w14:paraId="1293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DFC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Diabetes-related infection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71D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Documented diabetes-related infection (eg, skin/soft tissue infection, urinary tract infection, etc., as recorded by clinicians).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0C5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101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23</w:t>
            </w:r>
          </w:p>
        </w:tc>
      </w:tr>
      <w:tr w14:paraId="504C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8A9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Non-diabetes comorbid chronic diseases (count category)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8C0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Defined according to guideline</w:t>
            </w: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vertAlign w:val="superscript"/>
                <w:lang w:eastAsia="en-US"/>
              </w:rPr>
              <w:t>1</w:t>
            </w: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 xml:space="preserve"> and ICD-10 codes. Chronic diseases included hypertension (I10–I15), dyslipidemia (E78), hyperuricemia (E79), osteoporosis (M80–M81), cardiovascular diseases (I20–I25, I27, I30–I52), and chronic respiratory diseases (J40–J47). The number of comorbid chronic diseases was counted.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3E5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None = 0; 1–2 conditions = 1; ≥3 conditions = 2.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A9F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24</w:t>
            </w:r>
          </w:p>
        </w:tc>
      </w:tr>
      <w:tr w14:paraId="033F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6C2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Hypertension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78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ICD-10: I10–I15.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59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B59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24</w:t>
            </w:r>
          </w:p>
        </w:tc>
      </w:tr>
      <w:tr w14:paraId="790B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15C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Dyslipidemia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773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ICD-10: E78.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982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83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24</w:t>
            </w:r>
          </w:p>
        </w:tc>
      </w:tr>
      <w:tr w14:paraId="7A87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5E8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Hyperuricemia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926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ICD-10: E79.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A1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ED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24</w:t>
            </w:r>
          </w:p>
        </w:tc>
      </w:tr>
      <w:tr w14:paraId="168B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CB7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Osteoporosis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890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ICD-10: M80–M81.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51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72E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24</w:t>
            </w:r>
          </w:p>
        </w:tc>
      </w:tr>
      <w:tr w14:paraId="73D2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251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Cardiovascular diseases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F93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ICD-10: I20–I25, I27, I30–I52.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5A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7D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24</w:t>
            </w:r>
          </w:p>
        </w:tc>
      </w:tr>
      <w:tr w14:paraId="459D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40035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Chronic respiratory diseases</w:t>
            </w:r>
          </w:p>
        </w:tc>
        <w:tc>
          <w:tcPr>
            <w:tcW w:w="542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A94C9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ICD-10: J40–J47.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D134A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Yes / No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0E00E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hint="default" w:ascii="Arial" w:hAnsi="Arial" w:eastAsia="Times New Roman" w:cs="Arial"/>
                <w:kern w:val="0"/>
                <w:sz w:val="18"/>
                <w:szCs w:val="18"/>
                <w:lang w:eastAsia="en-US"/>
              </w:rPr>
              <w:t>Medical records; guideline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vertAlign w:val="superscript"/>
                <w:lang w:val="en-US" w:eastAsia="zh-CN"/>
              </w:rPr>
              <w:t>24</w:t>
            </w:r>
          </w:p>
        </w:tc>
      </w:tr>
    </w:tbl>
    <w:p w14:paraId="4C7019F5">
      <w:pPr>
        <w:widowControl/>
        <w:spacing w:after="200" w:line="480" w:lineRule="auto"/>
        <w:jc w:val="left"/>
        <w:rPr>
          <w:rFonts w:hint="default" w:ascii="Arial" w:hAnsi="Arial" w:eastAsia="Times New Roman" w:cs="Arial"/>
          <w:kern w:val="0"/>
          <w:sz w:val="18"/>
          <w:szCs w:val="18"/>
          <w:lang w:eastAsia="en-US"/>
        </w:rPr>
      </w:pPr>
      <w:r>
        <w:rPr>
          <w:rFonts w:hint="default" w:ascii="Arial" w:hAnsi="Arial" w:eastAsia="Times New Roman" w:cs="Arial"/>
          <w:b/>
          <w:kern w:val="0"/>
          <w:sz w:val="18"/>
          <w:szCs w:val="18"/>
          <w:lang w:eastAsia="en-US"/>
        </w:rPr>
        <w:t xml:space="preserve">Abbreviations: </w:t>
      </w:r>
      <w:r>
        <w:rPr>
          <w:rFonts w:hint="default" w:ascii="Arial" w:hAnsi="Arial" w:eastAsia="Times New Roman" w:cs="Arial"/>
          <w:kern w:val="0"/>
          <w:sz w:val="18"/>
          <w:szCs w:val="18"/>
          <w:lang w:eastAsia="en-US"/>
        </w:rPr>
        <w:t>HbA1c, glycated hemoglobin; ICD-10, International Classification of Diseases, 10th Revision.</w:t>
      </w:r>
    </w:p>
    <w:p w14:paraId="740E3FF7">
      <w:pPr>
        <w:pStyle w:val="3"/>
        <w:widowControl/>
        <w:spacing w:before="18" w:beforeAutospacing="0" w:line="480" w:lineRule="auto"/>
        <w:outlineLvl w:val="1"/>
        <w:rPr>
          <w:rFonts w:hint="default" w:ascii="Arial" w:hAnsi="Arial" w:eastAsia="宋体" w:cs="Arial"/>
          <w:b w:val="0"/>
          <w:bCs w:val="0"/>
          <w:spacing w:val="-3"/>
          <w:position w:val="4"/>
          <w:sz w:val="18"/>
          <w:szCs w:val="18"/>
          <w:lang w:val="en-US" w:eastAsia="zh-CN"/>
        </w:rPr>
      </w:pPr>
      <w:r>
        <w:rPr>
          <w:rFonts w:hint="default" w:ascii="Arial" w:hAnsi="Arial" w:eastAsia="宋体" w:cs="Arial"/>
          <w:b/>
          <w:bCs/>
          <w:spacing w:val="-3"/>
          <w:position w:val="4"/>
          <w:sz w:val="18"/>
          <w:szCs w:val="18"/>
          <w:lang w:val="en-US" w:eastAsia="zh-CN"/>
        </w:rPr>
        <w:t>Supplementary</w:t>
      </w:r>
      <w:r>
        <w:rPr>
          <w:rFonts w:hint="eastAsia" w:ascii="Arial" w:hAnsi="Arial" w:eastAsia="宋体" w:cs="Arial"/>
          <w:b/>
          <w:bCs/>
          <w:spacing w:val="-3"/>
          <w:position w:val="4"/>
          <w:sz w:val="18"/>
          <w:szCs w:val="18"/>
          <w:lang w:val="en-US" w:eastAsia="zh-CN"/>
        </w:rPr>
        <w:t xml:space="preserve"> </w:t>
      </w:r>
      <w:r>
        <w:rPr>
          <w:rFonts w:hint="default" w:ascii="Arial" w:hAnsi="Arial" w:eastAsia="宋体" w:cs="Arial"/>
          <w:b/>
          <w:bCs/>
          <w:spacing w:val="-3"/>
          <w:position w:val="4"/>
          <w:sz w:val="18"/>
          <w:szCs w:val="18"/>
          <w:lang w:val="en-US" w:eastAsia="zh-CN"/>
        </w:rPr>
        <w:t>Table S</w:t>
      </w:r>
      <w:r>
        <w:rPr>
          <w:rFonts w:hint="eastAsia" w:ascii="Arial" w:hAnsi="Arial" w:eastAsia="宋体" w:cs="Arial"/>
          <w:b/>
          <w:bCs/>
          <w:spacing w:val="-3"/>
          <w:position w:val="4"/>
          <w:sz w:val="18"/>
          <w:szCs w:val="18"/>
          <w:lang w:val="en-US" w:eastAsia="zh-CN"/>
        </w:rPr>
        <w:t>2</w:t>
      </w:r>
      <w:r>
        <w:rPr>
          <w:rFonts w:hint="default" w:ascii="Arial" w:hAnsi="Arial" w:eastAsia="宋体" w:cs="Arial"/>
          <w:b/>
          <w:bCs/>
          <w:spacing w:val="-3"/>
          <w:position w:val="4"/>
          <w:sz w:val="18"/>
          <w:szCs w:val="18"/>
          <w:lang w:val="en-US" w:eastAsia="zh-CN"/>
        </w:rPr>
        <w:t xml:space="preserve"> </w:t>
      </w:r>
      <w:r>
        <w:rPr>
          <w:rFonts w:hint="default" w:ascii="Arial" w:hAnsi="Arial" w:eastAsia="宋体" w:cs="Arial"/>
          <w:b w:val="0"/>
          <w:bCs w:val="0"/>
          <w:spacing w:val="-3"/>
          <w:position w:val="4"/>
          <w:sz w:val="18"/>
          <w:szCs w:val="18"/>
          <w:lang w:val="en-US" w:eastAsia="zh-CN"/>
        </w:rPr>
        <w:t>Comparison of Baseline Characteristics Between the Training and Tes</w:t>
      </w:r>
      <w:r>
        <w:rPr>
          <w:rFonts w:hint="eastAsia" w:ascii="Arial" w:hAnsi="Arial" w:eastAsia="宋体" w:cs="Arial"/>
          <w:b w:val="0"/>
          <w:bCs w:val="0"/>
          <w:spacing w:val="-3"/>
          <w:position w:val="4"/>
          <w:sz w:val="18"/>
          <w:szCs w:val="18"/>
          <w:lang w:val="en-US" w:eastAsia="zh-CN"/>
        </w:rPr>
        <w:t>t</w:t>
      </w:r>
      <w:r>
        <w:rPr>
          <w:rFonts w:hint="default" w:ascii="Arial" w:hAnsi="Arial" w:eastAsia="宋体" w:cs="Arial"/>
          <w:b w:val="0"/>
          <w:bCs w:val="0"/>
          <w:spacing w:val="-3"/>
          <w:position w:val="4"/>
          <w:sz w:val="18"/>
          <w:szCs w:val="18"/>
          <w:lang w:val="en-US" w:eastAsia="zh-CN"/>
        </w:rPr>
        <w:t xml:space="preserve"> Sets.</w:t>
      </w:r>
    </w:p>
    <w:tbl>
      <w:tblPr>
        <w:tblStyle w:val="5"/>
        <w:tblpPr w:leftFromText="180" w:rightFromText="180" w:vertAnchor="text" w:tblpXSpec="center" w:tblpY="1"/>
        <w:tblOverlap w:val="never"/>
        <w:tblW w:w="12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6"/>
        <w:gridCol w:w="2002"/>
        <w:gridCol w:w="2145"/>
        <w:gridCol w:w="2060"/>
        <w:gridCol w:w="1050"/>
        <w:gridCol w:w="799"/>
      </w:tblGrid>
      <w:tr w14:paraId="3F7F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916" w:type="dxa"/>
            <w:tcBorders>
              <w:top w:val="single" w:color="auto" w:sz="12" w:space="0"/>
              <w:left w:val="dotted" w:color="auto" w:sz="4" w:space="0"/>
              <w:bottom w:val="single" w:color="auto" w:sz="6" w:space="0"/>
              <w:right w:val="nil"/>
            </w:tcBorders>
            <w:vAlign w:val="center"/>
          </w:tcPr>
          <w:p w14:paraId="7CBE092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b w:val="0"/>
                <w:bCs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</w:rPr>
              <w:t>Variables</w:t>
            </w:r>
          </w:p>
        </w:tc>
        <w:tc>
          <w:tcPr>
            <w:tcW w:w="200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FF3A17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spacing w:val="-1"/>
                <w:kern w:val="2"/>
                <w:sz w:val="18"/>
                <w:szCs w:val="18"/>
                <w:lang w:eastAsia="zh-CN"/>
              </w:rPr>
              <w:t>Total</w:t>
            </w:r>
            <w:r>
              <w:rPr>
                <w:rFonts w:hint="default" w:ascii="Arial" w:hAnsi="Arial" w:eastAsia="Times New Roman" w:cs="Arial"/>
                <w:b w:val="0"/>
                <w:bCs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Times New Roman" w:cs="Arial"/>
                <w:b w:val="0"/>
                <w:bCs/>
                <w:sz w:val="18"/>
                <w:szCs w:val="18"/>
                <w:lang w:eastAsia="zh-CN"/>
              </w:rPr>
              <w:t>523</w:t>
            </w:r>
            <w:r>
              <w:rPr>
                <w:rFonts w:hint="default" w:ascii="Arial" w:hAnsi="Arial" w:eastAsia="Times New Roman" w:cs="Arial"/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214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F5BA7D4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</w:rPr>
              <w:t>Training set(n=</w:t>
            </w:r>
            <w:r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</w:rPr>
              <w:t>66)</w:t>
            </w:r>
          </w:p>
        </w:tc>
        <w:tc>
          <w:tcPr>
            <w:tcW w:w="206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6F85B72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</w:rPr>
              <w:t>Test set(n=15</w:t>
            </w:r>
            <w:r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5FCE4B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spacing w:val="-1"/>
                <w:kern w:val="2"/>
                <w:sz w:val="18"/>
                <w:szCs w:val="18"/>
                <w:lang w:eastAsia="zh-CN"/>
              </w:rPr>
              <w:t>Statistic</w:t>
            </w:r>
          </w:p>
        </w:tc>
        <w:tc>
          <w:tcPr>
            <w:tcW w:w="799" w:type="dxa"/>
            <w:tcBorders>
              <w:top w:val="single" w:color="auto" w:sz="12" w:space="0"/>
              <w:left w:val="nil"/>
              <w:bottom w:val="single" w:color="auto" w:sz="6" w:space="0"/>
              <w:right w:val="dotted" w:color="auto" w:sz="4" w:space="0"/>
            </w:tcBorders>
            <w:vAlign w:val="center"/>
          </w:tcPr>
          <w:p w14:paraId="06A524D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i/>
                <w:iCs/>
                <w:spacing w:val="-1"/>
                <w:kern w:val="2"/>
                <w:sz w:val="18"/>
                <w:szCs w:val="18"/>
                <w:lang w:eastAsia="zh-CN"/>
              </w:rPr>
              <w:t>P</w:t>
            </w:r>
          </w:p>
        </w:tc>
      </w:tr>
      <w:tr w14:paraId="2376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single" w:color="auto" w:sz="6" w:space="0"/>
              <w:left w:val="dotted" w:color="auto" w:sz="4" w:space="0"/>
              <w:bottom w:val="nil"/>
              <w:right w:val="nil"/>
            </w:tcBorders>
            <w:vAlign w:val="center"/>
          </w:tcPr>
          <w:p w14:paraId="267A4A2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Sex, n (%)</w:t>
            </w:r>
          </w:p>
        </w:tc>
        <w:tc>
          <w:tcPr>
            <w:tcW w:w="200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1C3684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BE0186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53AEF9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1AEEA6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χ²=0.08</w:t>
            </w:r>
          </w:p>
        </w:tc>
        <w:tc>
          <w:tcPr>
            <w:tcW w:w="799" w:type="dxa"/>
            <w:tcBorders>
              <w:top w:val="single" w:color="auto" w:sz="6" w:space="0"/>
              <w:left w:val="nil"/>
              <w:bottom w:val="nil"/>
              <w:right w:val="dotted" w:color="auto" w:sz="4" w:space="0"/>
            </w:tcBorders>
            <w:vAlign w:val="center"/>
          </w:tcPr>
          <w:p w14:paraId="546146B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0.78</w:t>
            </w:r>
          </w:p>
        </w:tc>
      </w:tr>
      <w:tr w14:paraId="140B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04625B9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Male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DBEE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235 (44.93)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ED61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163 (44.54)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E900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72 (45.86)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3752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40830D2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1B99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04B9AEB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Female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0C6E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288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(55.07)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0294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203 (55.46)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2031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85 (54.14)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F9C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02C8C74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2531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381247C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Marital status,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A4DE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C7DF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4F3C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973F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χ²=0.02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3E968177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0.88</w:t>
            </w:r>
          </w:p>
        </w:tc>
      </w:tr>
      <w:tr w14:paraId="1321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14F1A25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Married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3D97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445 (85.09)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E549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312 (85.25)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B714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133 (84.71)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953E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13A2A9D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588B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66DDD17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Unmarried/Divorced/Widowed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6551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78 (14.91)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3CE6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54 (14.75)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F5B0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24 (15.29)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3E6F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7BFE433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242F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11227AB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Educational level,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436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F344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F92A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258C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4A8B9ED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5F54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11E0247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Illiterate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BCE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52 (9.94)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15A1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35 (9.56)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ADD6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17 (10.83)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C58B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χ²=2.94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62A0A22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0.40</w:t>
            </w:r>
          </w:p>
        </w:tc>
      </w:tr>
      <w:tr w14:paraId="3B5A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3364667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Primary school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BADD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304 (58.13)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49F12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216 (59.02)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DB31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88 (56.05)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5E4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06C53A7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24E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15F3C1B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Junior middle school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B0C5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91 (17.40)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36D1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58 (15.85)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0DCB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33 (21.02)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493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239533D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7EE5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398A400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Senior high school or above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97DF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76 (14.53)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FA165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57 (15.57)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0C2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19 (12.10)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99ED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130B5AE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0367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224647B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Residence,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6C6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37B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A46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E7CAA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7FE9E42C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0.66</w:t>
            </w:r>
          </w:p>
        </w:tc>
      </w:tr>
      <w:tr w14:paraId="4CE2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54D451C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Urban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FAD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329 (62.91)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673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228 (62.30)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0307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101 (64.33)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C3EC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46530CF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6C9C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4881118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Rural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5D0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194 (37.09)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540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138 (37.70)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01C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56 (35.67)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BB1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6019525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47FA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1CDF8CC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Occupational physical activity type,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A0E7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DEA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022A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BD9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χ²=1.32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3FD97E21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0.72</w:t>
            </w:r>
          </w:p>
        </w:tc>
      </w:tr>
      <w:tr w14:paraId="7A42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52C759C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Mainly manual labor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0E6A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199 (38.05)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F5E02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136 (37.16)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66F09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63 (40.13)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F9F3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3999DF5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59CA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77416EC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Mainly mental work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73EA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110 (21.03)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E4D05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75 (20.49)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C36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35 (22.29)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A26C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2419F7F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1A64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7822616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Mixed manual and mental work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35FA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165 (31.55)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F0AD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118 (32.24)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E8DF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47 (29.94)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FA6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463604D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7A16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38BE28A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Unemployed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1C2B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49 (9.37)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55D2A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37 (10.11)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215A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12 (7.64)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9FFC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0D3E225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33D7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1C5C507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Monthly per-capita household inc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ome,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EA6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262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8E04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F110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χ²=4.88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2EB3568A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0.09</w:t>
            </w:r>
          </w:p>
        </w:tc>
      </w:tr>
      <w:tr w14:paraId="1750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3F6B6E3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Good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B762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10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 xml:space="preserve"> (19.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B5BB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62 (16.94)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6DFC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39 (24.84)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5EF3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0CCB1CE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687C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308AC6B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Average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5856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28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 xml:space="preserve"> (54.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val="en-US" w:eastAsia="zh-CN"/>
              </w:rPr>
              <w:t>68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CBC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203 (55.46)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59E3F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83 (52.87)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E046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7903A3E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1AE1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06BA748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Poor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F879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13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 xml:space="preserve"> (26.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0807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101 (27.60)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0444E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35 (22.29)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C74F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122A313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729D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0A8531E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Living arrangement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5E36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8152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AE9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FB6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χ²=3.56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632B83E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0.31</w:t>
            </w:r>
          </w:p>
        </w:tc>
      </w:tr>
      <w:tr w14:paraId="413D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26973D3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Living with spouse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BF3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286 (54.68)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98D7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197 (53.83)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18A2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89 (56.69)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F03C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04809F4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0FF7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3650FC7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Living with children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57B8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75 (14.34)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A11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48 (13.11)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E0A8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27 (17.20)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443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130E1E1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00D8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6FECA88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Living with spouse and children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709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121 (23.14)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C1E8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92 (25.14)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8DBF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29 (18.47)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D775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530C461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0AA4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703AFDE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Living alone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0F6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41 (7.84)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3C8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29 (7.92)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22FB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12 (7.64)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A6A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205D40F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258E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3BF25C1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Type of medical payment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575E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0B41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08AC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4104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χ²=3.73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6487761A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0.15</w:t>
            </w:r>
          </w:p>
        </w:tc>
      </w:tr>
      <w:tr w14:paraId="3834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090A320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Urban Employee Basic Medical Insurance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30AA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188 (35.95)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D223C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122 (33.33)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576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66 (42.04)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67696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0A660ED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5F6E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dotted" w:color="auto" w:sz="4" w:space="0"/>
              <w:bottom w:val="nil"/>
              <w:right w:val="nil"/>
            </w:tcBorders>
            <w:vAlign w:val="center"/>
          </w:tcPr>
          <w:p w14:paraId="204786D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Urban and Rural Resident Basic Medical Insurance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4F8D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262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(50.10)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BC469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192 (52.46)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211B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70 (44.59)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0FF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 w14:paraId="218221C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2246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5DA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Out-of-pocket payment or commercial insurance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760B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73 (13.96)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F6F79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52 (14.21)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4EE2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21 (13.38)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314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D8D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695D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41DD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Smoking history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FB75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3F12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BA24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4DC9F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χ²=3.73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FC462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0.15</w:t>
            </w:r>
          </w:p>
        </w:tc>
      </w:tr>
      <w:tr w14:paraId="390D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AC82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9648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425 (81.26)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EE55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302 (82.51)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E321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123 (78.34)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8C36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B5A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6626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6D8E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B0A4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98 (18.74)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986A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64 (17.49)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4F67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34 (21.66)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49F5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F4AB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52D2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3F16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Alcohol drinking history,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207C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A93F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B639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B03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χ²=0.42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10BD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0.52</w:t>
            </w:r>
          </w:p>
        </w:tc>
      </w:tr>
      <w:tr w14:paraId="2C9A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6C7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B1B5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454 (86.81)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415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320 (87.43)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8EF59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134 (85.35)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DE0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1C1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2BFB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D5C3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3946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69 (13.19)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B7EA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46 (12.57)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F721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23 (14.65)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677D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14BA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3F68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8017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Cognitive activities,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52C3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5BCB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0826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A9C3A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D606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0.72</w:t>
            </w:r>
          </w:p>
        </w:tc>
      </w:tr>
      <w:tr w14:paraId="6986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2AE4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Less than or equal to 3 days per week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BAF5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359 (68.64)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9E9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253 (69.13)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65EB3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106 (67.52)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F5C0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9FC6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35B4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C94E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9"/>
              </w:tabs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More than 3 days per week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6AD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164 (31.36)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3046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113 (30.87)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995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51 (32.48)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9F5C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9"/>
              </w:tabs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2A4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9"/>
              </w:tabs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3D47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CFA4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Family history of diabetes,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B349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823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89FA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BAD5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0C22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0.34</w:t>
            </w:r>
          </w:p>
        </w:tc>
      </w:tr>
      <w:tr w14:paraId="7672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804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8A29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485 (92.73)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C96F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342 (93.44)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B6741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143 (91.08)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C658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A1D8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3AEB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BD84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0360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38 (7.27)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FA1A1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24 (6.56)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B073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14 (8.92)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ADBD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AF5C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013D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68F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Diabetic neuropathy,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C248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DA7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BF0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57E7A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χ²=2.85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B4A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0.09</w:t>
            </w:r>
          </w:p>
        </w:tc>
      </w:tr>
      <w:tr w14:paraId="4181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915B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DED4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257 (49.14)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B297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171 (46.72)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8FB45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86 (54.78)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7AC5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9D5B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60A7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47A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70F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266 (50.86)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753B9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195 (53.28)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765E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71 (45.22)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BB47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9688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749B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88B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Diabetic retinopathy,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794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838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1648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01C5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χ²=0.80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F3AB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0.37</w:t>
            </w:r>
          </w:p>
        </w:tc>
      </w:tr>
      <w:tr w14:paraId="2E16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FAD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D3B0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301 (57.55)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00833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206 (56.28)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9C81A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95 (60.51)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75E4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A840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7099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330D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DA9E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222 (42.45)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949CE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160 (43.72)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DF02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62 (39.49)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6884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7EAA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4AF8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F5DF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Diabetic lower-extremity arterial disease,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AF9F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1B85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730D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7B1C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75A71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0.57</w:t>
            </w:r>
          </w:p>
        </w:tc>
      </w:tr>
      <w:tr w14:paraId="68A9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324D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06B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359 (68.64)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3AD0E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254 (69.40)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AB67F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105 (66.88)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39F3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D75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2FFF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6E53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C112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164 (31.36)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0F25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112 (30.60)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89F7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52 (33.12)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C58D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57A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65ED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E5B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Diabetic nephropathy,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884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F4A5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329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E765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χ²=1.10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F04EC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0.29</w:t>
            </w:r>
          </w:p>
        </w:tc>
      </w:tr>
      <w:tr w14:paraId="38A3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3AE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C3A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356 (68.07)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156F1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244 (66.67)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4EBC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112 (71.34)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F9A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46A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0F92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2D2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5771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167 (31.93)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B733B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122 (33.33)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59B1C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45 (28.66)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32D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3D56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35E7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EC6D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Diabetic foot,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6F7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660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4834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5F2E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4FD7A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0.66</w:t>
            </w:r>
          </w:p>
        </w:tc>
      </w:tr>
      <w:tr w14:paraId="52AF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B421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A54D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471 (90.06)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8659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331 (90.44)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62D9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140 (89.17)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C8B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CC94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661B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8B7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0C1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52 (9.94)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7AC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35 (9.56)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DD60C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17 (10.83)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0D83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821B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4453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94B5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Hypertension,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A554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A30A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581A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DA31A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6145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0.65</w:t>
            </w:r>
          </w:p>
        </w:tc>
      </w:tr>
      <w:tr w14:paraId="3CFE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0236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CC1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242 (46.27)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CBA4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167 (45.63)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342C9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75 (47.77)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713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9D7D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5904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100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7904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281 (53.73)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C619B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199 (54.37)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8613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82 (52.23)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7FA0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66E0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55D4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A55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Dyslipidemia,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A2E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8D20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0993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7DAD1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χ²=1.85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60EE5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0.17</w:t>
            </w:r>
          </w:p>
        </w:tc>
      </w:tr>
      <w:tr w14:paraId="6EDD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62E7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EDD6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382 (73.04)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0355E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261 (71.31)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EE62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121 (77.07)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372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D93D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402A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CF7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ECFE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141 (26.96)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FF59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105 (28.69)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7573C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36 (22.93)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7192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4DE7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40C8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6CD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Hyperuricemia,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70D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2818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888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BD7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χ²=1.25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2E6F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0.26</w:t>
            </w:r>
          </w:p>
        </w:tc>
      </w:tr>
      <w:tr w14:paraId="02F5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E17A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D08C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498 (95.22)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FD66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346 (94.54)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0CD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152 (96.82)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976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B4E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2DE9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CA56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5A27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25 (4.78)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BFC11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20 (5.46)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759F6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 (3.18)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E10F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988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4F47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347C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Osteoporosis,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41CF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344B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147A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FD63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χ²=1.12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DD25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0.29</w:t>
            </w:r>
          </w:p>
        </w:tc>
      </w:tr>
      <w:tr w14:paraId="7C7D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2BA2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8703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443 (84.70)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37206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314 (85.79)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C05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129 (82.17)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22D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F2FE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6FE4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1B77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1EA2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80 (15.30)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7D813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52 (14.21)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ECC9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28 (17.83)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328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C571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3133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8CC0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Cardiovascular disease,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8F8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F936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0D83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45F89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χ²=0.01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44F3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0.93</w:t>
            </w:r>
          </w:p>
        </w:tc>
      </w:tr>
      <w:tr w14:paraId="62E3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24BA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8E38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248 (47.42)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B41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174 (47.54)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8BC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74 (47.13)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9289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E789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3BEB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5B9B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DE5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275 (52.58)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1856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192 (52.46)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F915E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83 (52.87)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956A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FD0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2F52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A37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Respiratory disease,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A4BB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F150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6B83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FD4B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F18E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0.72</w:t>
            </w:r>
          </w:p>
        </w:tc>
      </w:tr>
      <w:tr w14:paraId="0B70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9F96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975B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483 (92.35)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DCC3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337 (92.08)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323AE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146 (92.99)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475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1A0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52B5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C88E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3BF2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40 (7.65)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D9B2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29 (7.92)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5C717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11 (7.01)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7D9C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D357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59C7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3ED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Gastrointestinal disease,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11D90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D7F7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E46A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495BC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D22DE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0.64</w:t>
            </w:r>
          </w:p>
        </w:tc>
      </w:tr>
      <w:tr w14:paraId="0321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A99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81AC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475 (90.82)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73ED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331 (90.44)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22F2A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144 (91.72)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7F5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C91B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70D4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CD11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B24A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48 (9.18)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A85B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35 (9.56)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51765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13 (8.28)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28AD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A13D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028B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044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>Hypoglycemia in the past 6 months,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A8F0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9C3A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5077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2D21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χ²=0.00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6AFB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0.98</w:t>
            </w:r>
          </w:p>
        </w:tc>
      </w:tr>
      <w:tr w14:paraId="6787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47AF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6F41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460 (87.95)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8F4B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322 (87.98)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8A552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138 (87.90)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8D0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3DAC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6AE8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40F3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946D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63 (12.0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eastAsia="zh-CN"/>
              </w:rPr>
              <w:t>5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6CF0E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44 (12.02)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99AB2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19 (12.10)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7E25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D040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</w:p>
        </w:tc>
      </w:tr>
      <w:tr w14:paraId="7B82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EEB9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HbA1c, n (%)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7DE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 xml:space="preserve">9.95 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±</w:t>
            </w: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 xml:space="preserve"> 4.72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3988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10.08 ± 5.40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7C52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9.66 ± 2.45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26533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t=-0.92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99D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0.36</w:t>
            </w:r>
          </w:p>
        </w:tc>
      </w:tr>
      <w:tr w14:paraId="52D3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5CCA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Age, Mean ± SD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261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74.31 ± 6.36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3A25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74.08 ± 6.18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0182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74.86 ± 6.77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15E4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t=1.29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8251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0.20</w:t>
            </w:r>
          </w:p>
        </w:tc>
      </w:tr>
      <w:tr w14:paraId="4D3B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4F2A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Physical exercise, Mean ± SD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0335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2.76 ± 1.77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AF9B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2.82 ± 1.79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ED52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2.60 ± 1.70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75B8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t=-1.33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D4AB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0.18</w:t>
            </w:r>
          </w:p>
        </w:tc>
      </w:tr>
      <w:tr w14:paraId="0D82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0D80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Insomnia symptoms, Mean ± SD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59C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5.42 ± 4.44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A533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5.39 ± 4.43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85023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5.49 ± 4.47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A8968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t=0.25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57242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0.80</w:t>
            </w:r>
          </w:p>
        </w:tc>
      </w:tr>
      <w:tr w14:paraId="3789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2149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Nutritional status, Mean ± SD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8C75D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10.96 ± 2.45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9B2F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11.06 ± 2.37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BD5C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10.72 ± 2.61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F9D13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t=-1.45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843C0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0.15</w:t>
            </w:r>
          </w:p>
        </w:tc>
      </w:tr>
      <w:tr w14:paraId="27A2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5665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Depressive symptoms, Mean ± SD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BC53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4.77 ± 2.82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00E1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4.67 ± 2.81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52D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5.01 ± 2.85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4F4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t=1.29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C7D5C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0.20</w:t>
            </w:r>
          </w:p>
        </w:tc>
      </w:tr>
      <w:tr w14:paraId="177E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ED8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  <w:t>Perceived social support score, Mean ± SD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3FB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>46.1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</w:rPr>
              <w:t xml:space="preserve"> ± 14.2</w:t>
            </w:r>
            <w:r>
              <w:rPr>
                <w:rFonts w:hint="default" w:ascii="Arial" w:hAnsi="Arial" w:eastAsia="宋体" w:cs="Arial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EE3F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45.84 ± 14.34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E5C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46.86 ± 14.07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ACFFD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t=0.75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4D703">
            <w:pPr>
              <w:keepNext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0.45</w:t>
            </w:r>
          </w:p>
        </w:tc>
      </w:tr>
      <w:tr w14:paraId="6EA1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FC9D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 xml:space="preserve">Duration of diabetes (years), 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M (Q₁, Q₃)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B4AB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12.00 (6.00, 20.00)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D98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12.00 (6.25, 20.75)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B869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12.00 (5.00, 20.00)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8675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Z=-1.01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CB289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val="en-US" w:eastAsia="zh-CN"/>
              </w:rPr>
              <w:t>0.31</w:t>
            </w:r>
          </w:p>
        </w:tc>
      </w:tr>
      <w:tr w14:paraId="2D15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494D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 xml:space="preserve">Diabetes-related complications, 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M (Q₁, Q₃)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815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2.00 (1.00, 3.00)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02F7F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2.00 (1.00, 3.00)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CE4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2.00 (1.00, 3.00)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807F2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Z=-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0.49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32C4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val="en-US" w:eastAsia="zh-CN"/>
              </w:rPr>
              <w:t>0.62</w:t>
            </w:r>
          </w:p>
        </w:tc>
      </w:tr>
      <w:tr w14:paraId="19F1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1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1017A17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  <w:t xml:space="preserve">Non-diabetes comorbid chronic diseases, 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  <w:t>M (Q₁, Q₃)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7EA3744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2.00 (1.00, 2.00)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6E6F476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2.00 (1.00, 2.00)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A24C838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2.00 (1.00, 2.00)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5385C0E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  <w:t>Z=-0.50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8C5D381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pacing w:val="-1"/>
                <w:kern w:val="2"/>
                <w:sz w:val="18"/>
                <w:szCs w:val="18"/>
                <w:lang w:val="en-US" w:eastAsia="zh-CN"/>
              </w:rPr>
              <w:t>0.62</w:t>
            </w:r>
          </w:p>
        </w:tc>
      </w:tr>
    </w:tbl>
    <w:p w14:paraId="1DC8428F">
      <w:pPr>
        <w:pStyle w:val="3"/>
        <w:widowControl/>
        <w:spacing w:before="18" w:beforeAutospacing="0" w:line="360" w:lineRule="auto"/>
        <w:outlineLvl w:val="1"/>
        <w:rPr>
          <w:rFonts w:hint="default" w:ascii="Arial" w:hAnsi="Arial" w:eastAsia="宋体" w:cs="Arial"/>
          <w:b/>
          <w:bCs/>
          <w:spacing w:val="-3"/>
          <w:position w:val="4"/>
          <w:sz w:val="24"/>
          <w:szCs w:val="24"/>
          <w:lang w:val="en-US" w:eastAsia="zh-CN"/>
        </w:rPr>
      </w:pPr>
    </w:p>
    <w:p w14:paraId="2B27D97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Arial" w:hAnsi="Arial" w:eastAsia="宋体" w:cs="Arial"/>
          <w:b/>
          <w:bCs/>
          <w:spacing w:val="-3"/>
          <w:position w:val="4"/>
          <w:sz w:val="18"/>
          <w:szCs w:val="18"/>
          <w:lang w:val="en-US" w:eastAsia="zh-CN"/>
        </w:rPr>
      </w:pPr>
      <w:r>
        <w:rPr>
          <w:rFonts w:hint="default" w:ascii="Arial" w:hAnsi="Arial" w:eastAsia="宋体" w:cs="Arial"/>
          <w:b/>
          <w:bCs/>
          <w:spacing w:val="-3"/>
          <w:position w:val="4"/>
          <w:sz w:val="18"/>
          <w:szCs w:val="18"/>
          <w:lang w:val="en-US" w:eastAsia="zh-CN"/>
        </w:rPr>
        <w:t>Table S</w:t>
      </w:r>
      <w:r>
        <w:rPr>
          <w:rFonts w:hint="eastAsia" w:ascii="Arial" w:hAnsi="Arial" w:eastAsia="宋体" w:cs="Arial"/>
          <w:b/>
          <w:bCs/>
          <w:spacing w:val="-3"/>
          <w:position w:val="4"/>
          <w:sz w:val="18"/>
          <w:szCs w:val="18"/>
          <w:lang w:val="en-US" w:eastAsia="zh-CN"/>
        </w:rPr>
        <w:t>3</w:t>
      </w:r>
      <w:r>
        <w:rPr>
          <w:rFonts w:hint="default" w:ascii="Arial" w:hAnsi="Arial" w:eastAsia="宋体" w:cs="Arial"/>
          <w:b/>
          <w:bCs/>
          <w:spacing w:val="-3"/>
          <w:position w:val="4"/>
          <w:sz w:val="18"/>
          <w:szCs w:val="18"/>
          <w:lang w:val="en-US" w:eastAsia="zh-CN"/>
        </w:rPr>
        <w:t xml:space="preserve"> </w:t>
      </w:r>
      <w:r>
        <w:rPr>
          <w:rFonts w:hint="default" w:ascii="Arial" w:hAnsi="Arial" w:eastAsia="宋体" w:cs="Arial"/>
          <w:b w:val="0"/>
          <w:bCs w:val="0"/>
          <w:spacing w:val="-3"/>
          <w:position w:val="4"/>
          <w:sz w:val="18"/>
          <w:szCs w:val="18"/>
          <w:lang w:val="en-US" w:eastAsia="zh-CN"/>
        </w:rPr>
        <w:t>Distribution of Cognitive Frailty, Physical Frailty, and MCI in the Total, Training, and Test Sets.</w:t>
      </w:r>
    </w:p>
    <w:tbl>
      <w:tblPr>
        <w:tblStyle w:val="8"/>
        <w:tblW w:w="12968" w:type="dxa"/>
        <w:jc w:val="center"/>
        <w:tblBorders>
          <w:top w:val="single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57"/>
        <w:gridCol w:w="1394"/>
        <w:gridCol w:w="2026"/>
        <w:gridCol w:w="1941"/>
        <w:gridCol w:w="1941"/>
        <w:gridCol w:w="1941"/>
      </w:tblGrid>
      <w:tr w14:paraId="0E530E18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tblHeader/>
          <w:jc w:val="center"/>
        </w:trPr>
        <w:tc>
          <w:tcPr>
            <w:tcW w:w="226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221CE78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  <w:t>Variables</w:t>
            </w:r>
          </w:p>
        </w:tc>
        <w:tc>
          <w:tcPr>
            <w:tcW w:w="145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8ED0FC4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  <w:t>Classification</w:t>
            </w:r>
          </w:p>
        </w:tc>
        <w:tc>
          <w:tcPr>
            <w:tcW w:w="139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C6C7E2F">
            <w:pPr>
              <w:keepNext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  <w:t>Total(n=</w:t>
            </w: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  <w:lang w:val="en-US" w:eastAsia="zh-CN"/>
              </w:rPr>
              <w:t>523</w:t>
            </w: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  <w:t>)</w:t>
            </w:r>
          </w:p>
        </w:tc>
        <w:tc>
          <w:tcPr>
            <w:tcW w:w="202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E5DF3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  <w:t>Training set(n=</w:t>
            </w: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  <w:t>66)</w:t>
            </w:r>
          </w:p>
        </w:tc>
        <w:tc>
          <w:tcPr>
            <w:tcW w:w="194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56590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  <w:t>Test set(n=15</w:t>
            </w: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  <w:t>)</w:t>
            </w:r>
          </w:p>
        </w:tc>
        <w:tc>
          <w:tcPr>
            <w:tcW w:w="194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2A5DF4A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spacing w:val="-1"/>
                <w:kern w:val="2"/>
                <w:sz w:val="18"/>
                <w:szCs w:val="18"/>
                <w:lang w:eastAsia="zh-CN"/>
              </w:rPr>
              <w:t>Statistic</w:t>
            </w:r>
          </w:p>
        </w:tc>
        <w:tc>
          <w:tcPr>
            <w:tcW w:w="194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E5A9F9B">
            <w:pPr>
              <w:keepNext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i/>
                <w:iCs/>
                <w:spacing w:val="-1"/>
                <w:kern w:val="2"/>
                <w:sz w:val="18"/>
                <w:szCs w:val="18"/>
                <w:lang w:eastAsia="zh-CN"/>
              </w:rPr>
              <w:t>P</w:t>
            </w:r>
          </w:p>
        </w:tc>
      </w:tr>
      <w:tr w14:paraId="6992B722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F5B8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Arial" w:hAnsi="Arial" w:eastAsia="Times New Roman" w:cs="Arial"/>
                <w:sz w:val="18"/>
                <w:szCs w:val="18"/>
              </w:rPr>
              <w:t xml:space="preserve">ognitive </w:t>
            </w:r>
            <w:r>
              <w:rPr>
                <w:rFonts w:hint="eastAsia" w:ascii="Arial" w:hAnsi="Arial" w:eastAsia="Times New Roman" w:cs="Arial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eastAsia="Times New Roman" w:cs="Arial"/>
                <w:sz w:val="18"/>
                <w:szCs w:val="18"/>
              </w:rPr>
              <w:t>railty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70A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CF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F5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</w:rPr>
              <w:t>2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 w:ascii="Arial" w:hAnsi="Arial" w:eastAsia="Times New Roman" w:cs="Arial"/>
                <w:sz w:val="18"/>
                <w:szCs w:val="18"/>
              </w:rPr>
              <w:t xml:space="preserve"> (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41.49</w:t>
            </w:r>
            <w:r>
              <w:rPr>
                <w:rFonts w:hint="default" w:ascii="Arial" w:hAnsi="Arial" w:eastAsia="Times New Roman" w:cs="Arial"/>
                <w:sz w:val="18"/>
                <w:szCs w:val="18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A96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149 (40.71)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538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68 (43.31)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4875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1"/>
                <w:szCs w:val="21"/>
                <w:u w:val="none"/>
              </w:rPr>
              <w:t>=0.31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6418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1"/>
                <w:szCs w:val="21"/>
                <w:u w:val="none"/>
              </w:rPr>
              <w:t>0.580</w:t>
            </w:r>
          </w:p>
        </w:tc>
      </w:tr>
      <w:tr w14:paraId="3528BAF5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350BA47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A930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Non-CF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9B3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306</w:t>
            </w:r>
            <w:r>
              <w:rPr>
                <w:rFonts w:hint="default" w:ascii="Arial" w:hAnsi="Arial" w:eastAsia="Times New Roman" w:cs="Arial"/>
                <w:sz w:val="18"/>
                <w:szCs w:val="18"/>
              </w:rPr>
              <w:t xml:space="preserve"> (</w:t>
            </w: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58.51</w:t>
            </w:r>
            <w:r>
              <w:rPr>
                <w:rFonts w:hint="default" w:ascii="Arial" w:hAnsi="Arial" w:eastAsia="Times New Roman" w:cs="Arial"/>
                <w:sz w:val="18"/>
                <w:szCs w:val="18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673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217 (59.29)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81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89 (56.69)</w:t>
            </w:r>
          </w:p>
        </w:tc>
        <w:tc>
          <w:tcPr>
            <w:tcW w:w="1941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62D2F3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6C0B6F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2FE8E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F60A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Physical Frailty Status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01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eastAsia="Times New Roman" w:cs="Arial"/>
                <w:sz w:val="18"/>
                <w:szCs w:val="18"/>
              </w:rPr>
              <w:t>rail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9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250 (47.80)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C3EA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170 (46.45)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A37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80 (50.96)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2C5B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1"/>
                <w:szCs w:val="21"/>
                <w:u w:val="none"/>
              </w:rPr>
              <w:t>=1.5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A3C12B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0.468</w:t>
            </w:r>
          </w:p>
        </w:tc>
      </w:tr>
      <w:tr w14:paraId="7D7DE225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Merge w:val="continue"/>
            <w:tcBorders>
              <w:left w:val="nil"/>
              <w:right w:val="nil"/>
            </w:tcBorders>
            <w:vAlign w:val="center"/>
          </w:tcPr>
          <w:p w14:paraId="0ADEA2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CB2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Arial" w:hAnsi="Arial" w:eastAsia="Times New Roman" w:cs="Arial"/>
                <w:sz w:val="18"/>
                <w:szCs w:val="18"/>
              </w:rPr>
              <w:t>refrail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4A1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226 (43.21)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95D0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160 (43.72)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EA2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66 (42.04)</w:t>
            </w:r>
          </w:p>
        </w:tc>
        <w:tc>
          <w:tcPr>
            <w:tcW w:w="1941" w:type="dxa"/>
            <w:vMerge w:val="continue"/>
            <w:tcBorders>
              <w:left w:val="nil"/>
              <w:right w:val="nil"/>
            </w:tcBorders>
            <w:vAlign w:val="center"/>
          </w:tcPr>
          <w:p w14:paraId="19A9DC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left w:val="nil"/>
              <w:right w:val="nil"/>
            </w:tcBorders>
            <w:vAlign w:val="center"/>
          </w:tcPr>
          <w:p w14:paraId="65C5BD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A0E313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4F5141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4882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N</w:t>
            </w:r>
            <w:r>
              <w:rPr>
                <w:rFonts w:hint="default" w:ascii="Arial" w:hAnsi="Arial" w:eastAsia="Times New Roman" w:cs="Arial"/>
                <w:sz w:val="18"/>
                <w:szCs w:val="18"/>
              </w:rPr>
              <w:t>on-frail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3FF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47 (8.99)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718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36 (9.84)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44C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11 (7.01)</w:t>
            </w:r>
          </w:p>
        </w:tc>
        <w:tc>
          <w:tcPr>
            <w:tcW w:w="1941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4B507A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1C14B5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CAB299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5E8E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spacing w:val="-3"/>
                <w:position w:val="4"/>
                <w:sz w:val="18"/>
                <w:szCs w:val="18"/>
                <w:lang w:val="en-US" w:eastAsia="zh-CN"/>
              </w:rPr>
              <w:t>MCI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3F7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05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280 (53.54)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EA3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199 (54.37)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852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81 (51.59)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C813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χ²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1"/>
                <w:szCs w:val="21"/>
                <w:u w:val="none"/>
              </w:rPr>
              <w:t>=0.34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53F30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0.559</w:t>
            </w:r>
          </w:p>
        </w:tc>
      </w:tr>
      <w:tr w14:paraId="7C0FEB0C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Merge w:val="continue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09A4D43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28232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B1208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243 (46.46)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B2DB8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167 (45.63)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6042DF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  <w:t>76 (48.41)</w:t>
            </w:r>
          </w:p>
        </w:tc>
        <w:tc>
          <w:tcPr>
            <w:tcW w:w="1941" w:type="dxa"/>
            <w:vMerge w:val="continue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7DE490D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6C9B12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B0D99C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eastAsia="宋体" w:cs="Arial"/>
          <w:b/>
          <w:bCs/>
          <w:spacing w:val="-3"/>
          <w:position w:val="4"/>
          <w:sz w:val="18"/>
          <w:szCs w:val="18"/>
          <w:lang w:val="en-US" w:eastAsia="zh-CN"/>
        </w:rPr>
        <w:t xml:space="preserve">Abbreviations: </w:t>
      </w:r>
      <w:r>
        <w:rPr>
          <w:rFonts w:hint="default" w:ascii="Arial" w:hAnsi="Arial" w:eastAsia="宋体" w:cs="Arial"/>
          <w:b w:val="0"/>
          <w:bCs w:val="0"/>
          <w:spacing w:val="-3"/>
          <w:position w:val="4"/>
          <w:sz w:val="18"/>
          <w:szCs w:val="18"/>
          <w:lang w:val="en-US" w:eastAsia="zh-CN"/>
        </w:rPr>
        <w:t xml:space="preserve">CF, </w:t>
      </w:r>
      <w:r>
        <w:rPr>
          <w:rFonts w:hint="eastAsia" w:ascii="Arial" w:hAnsi="Arial" w:eastAsia="宋体" w:cs="Arial"/>
          <w:b w:val="0"/>
          <w:bCs w:val="0"/>
          <w:spacing w:val="-3"/>
          <w:position w:val="4"/>
          <w:sz w:val="18"/>
          <w:szCs w:val="18"/>
          <w:lang w:val="en-US" w:eastAsia="zh-CN"/>
        </w:rPr>
        <w:t>c</w:t>
      </w:r>
      <w:r>
        <w:rPr>
          <w:rFonts w:hint="default" w:ascii="Arial" w:hAnsi="Arial" w:eastAsia="宋体" w:cs="Arial"/>
          <w:b w:val="0"/>
          <w:bCs w:val="0"/>
          <w:spacing w:val="-3"/>
          <w:position w:val="4"/>
          <w:sz w:val="18"/>
          <w:szCs w:val="18"/>
          <w:lang w:val="en-US" w:eastAsia="zh-CN"/>
        </w:rPr>
        <w:t>ognitive frailty</w:t>
      </w:r>
      <w:r>
        <w:rPr>
          <w:rFonts w:hint="eastAsia" w:ascii="Arial" w:hAnsi="Arial" w:eastAsia="宋体" w:cs="Arial"/>
          <w:b w:val="0"/>
          <w:bCs w:val="0"/>
          <w:spacing w:val="-3"/>
          <w:position w:val="4"/>
          <w:sz w:val="18"/>
          <w:szCs w:val="18"/>
          <w:lang w:val="en-US" w:eastAsia="zh-CN"/>
        </w:rPr>
        <w:t>; MCI, Mild Cognitive Impairment.</w:t>
      </w: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1422"/>
    <w:rsid w:val="010F7B79"/>
    <w:rsid w:val="017C64EA"/>
    <w:rsid w:val="01982584"/>
    <w:rsid w:val="02185ABB"/>
    <w:rsid w:val="021F3EC4"/>
    <w:rsid w:val="03236BBD"/>
    <w:rsid w:val="03717261"/>
    <w:rsid w:val="03EB5E3A"/>
    <w:rsid w:val="05843EA3"/>
    <w:rsid w:val="06640F2A"/>
    <w:rsid w:val="07592AF2"/>
    <w:rsid w:val="07B17C23"/>
    <w:rsid w:val="08A50544"/>
    <w:rsid w:val="08B55776"/>
    <w:rsid w:val="09165AA9"/>
    <w:rsid w:val="0919692B"/>
    <w:rsid w:val="091E012D"/>
    <w:rsid w:val="09D600A5"/>
    <w:rsid w:val="09EA5159"/>
    <w:rsid w:val="0A063D53"/>
    <w:rsid w:val="0AA859B7"/>
    <w:rsid w:val="0B655145"/>
    <w:rsid w:val="0BBD3A93"/>
    <w:rsid w:val="0BCE5766"/>
    <w:rsid w:val="0C974330"/>
    <w:rsid w:val="0E061DF9"/>
    <w:rsid w:val="0E860978"/>
    <w:rsid w:val="0EF30AA4"/>
    <w:rsid w:val="0F3B4976"/>
    <w:rsid w:val="0F935C3D"/>
    <w:rsid w:val="109C77B2"/>
    <w:rsid w:val="112676D2"/>
    <w:rsid w:val="11E359D6"/>
    <w:rsid w:val="121D5CC4"/>
    <w:rsid w:val="13044047"/>
    <w:rsid w:val="13ED156D"/>
    <w:rsid w:val="140E2364"/>
    <w:rsid w:val="14320543"/>
    <w:rsid w:val="14EA6535"/>
    <w:rsid w:val="158C01FE"/>
    <w:rsid w:val="16C752D2"/>
    <w:rsid w:val="179D5FDB"/>
    <w:rsid w:val="17A87FF2"/>
    <w:rsid w:val="17C86551"/>
    <w:rsid w:val="18814E00"/>
    <w:rsid w:val="18AA55F6"/>
    <w:rsid w:val="194A595C"/>
    <w:rsid w:val="198E654F"/>
    <w:rsid w:val="19905604"/>
    <w:rsid w:val="1A3E1F4C"/>
    <w:rsid w:val="1A4E05A4"/>
    <w:rsid w:val="1AAD09A9"/>
    <w:rsid w:val="1ABC5F7E"/>
    <w:rsid w:val="1ABE1232"/>
    <w:rsid w:val="1B55624F"/>
    <w:rsid w:val="1BE506D8"/>
    <w:rsid w:val="1C46692D"/>
    <w:rsid w:val="1C491A1F"/>
    <w:rsid w:val="1C9C6F03"/>
    <w:rsid w:val="1CA4751E"/>
    <w:rsid w:val="1D8C31F8"/>
    <w:rsid w:val="1E4D76DA"/>
    <w:rsid w:val="1E5146D7"/>
    <w:rsid w:val="1F8E3EFE"/>
    <w:rsid w:val="1FBB25C9"/>
    <w:rsid w:val="21381523"/>
    <w:rsid w:val="22153922"/>
    <w:rsid w:val="224F1588"/>
    <w:rsid w:val="22CD599D"/>
    <w:rsid w:val="233113D1"/>
    <w:rsid w:val="235D0536"/>
    <w:rsid w:val="239F0F1B"/>
    <w:rsid w:val="246C797B"/>
    <w:rsid w:val="24A50A84"/>
    <w:rsid w:val="24B21BCE"/>
    <w:rsid w:val="25217B4E"/>
    <w:rsid w:val="254950F4"/>
    <w:rsid w:val="259B50A7"/>
    <w:rsid w:val="259B6AB6"/>
    <w:rsid w:val="25B67E19"/>
    <w:rsid w:val="25BC6E61"/>
    <w:rsid w:val="26795443"/>
    <w:rsid w:val="26B53B33"/>
    <w:rsid w:val="270478F8"/>
    <w:rsid w:val="271C5532"/>
    <w:rsid w:val="276D7B31"/>
    <w:rsid w:val="27AC1D55"/>
    <w:rsid w:val="2889647C"/>
    <w:rsid w:val="28D2136C"/>
    <w:rsid w:val="2961569F"/>
    <w:rsid w:val="299C32DF"/>
    <w:rsid w:val="299E3074"/>
    <w:rsid w:val="2A1B54E3"/>
    <w:rsid w:val="2A454139"/>
    <w:rsid w:val="2ADD1E19"/>
    <w:rsid w:val="2ADE516B"/>
    <w:rsid w:val="2AE93882"/>
    <w:rsid w:val="2C1F6F5A"/>
    <w:rsid w:val="2CCB06E5"/>
    <w:rsid w:val="2D5D20FE"/>
    <w:rsid w:val="2DAA78A6"/>
    <w:rsid w:val="2DE342CA"/>
    <w:rsid w:val="2DE9302A"/>
    <w:rsid w:val="2F281B12"/>
    <w:rsid w:val="2F647503"/>
    <w:rsid w:val="2F741628"/>
    <w:rsid w:val="30827B3D"/>
    <w:rsid w:val="30891124"/>
    <w:rsid w:val="30E128CE"/>
    <w:rsid w:val="31092109"/>
    <w:rsid w:val="318971F5"/>
    <w:rsid w:val="31E55933"/>
    <w:rsid w:val="323D11E7"/>
    <w:rsid w:val="324139E1"/>
    <w:rsid w:val="32483579"/>
    <w:rsid w:val="32BA0B79"/>
    <w:rsid w:val="3318457B"/>
    <w:rsid w:val="33370B5F"/>
    <w:rsid w:val="341837CE"/>
    <w:rsid w:val="349A4791"/>
    <w:rsid w:val="34C70081"/>
    <w:rsid w:val="34F91F36"/>
    <w:rsid w:val="35455C86"/>
    <w:rsid w:val="35CF6643"/>
    <w:rsid w:val="35DA2884"/>
    <w:rsid w:val="36283597"/>
    <w:rsid w:val="364C6C13"/>
    <w:rsid w:val="36567B4E"/>
    <w:rsid w:val="36BF16A1"/>
    <w:rsid w:val="36D530AC"/>
    <w:rsid w:val="36EC6549"/>
    <w:rsid w:val="372F3054"/>
    <w:rsid w:val="37785FC1"/>
    <w:rsid w:val="37E37272"/>
    <w:rsid w:val="37F53F12"/>
    <w:rsid w:val="389975AE"/>
    <w:rsid w:val="399347BE"/>
    <w:rsid w:val="3A122322"/>
    <w:rsid w:val="3A144FAB"/>
    <w:rsid w:val="3A39237C"/>
    <w:rsid w:val="3AB5171F"/>
    <w:rsid w:val="3AC10058"/>
    <w:rsid w:val="3BF42B7F"/>
    <w:rsid w:val="3C453D61"/>
    <w:rsid w:val="3C4C61A9"/>
    <w:rsid w:val="3CA24352"/>
    <w:rsid w:val="3CA41F2D"/>
    <w:rsid w:val="3D2E0DEA"/>
    <w:rsid w:val="3DA5519F"/>
    <w:rsid w:val="3DBB5724"/>
    <w:rsid w:val="3E1213E4"/>
    <w:rsid w:val="3E386DE1"/>
    <w:rsid w:val="3F6A7B5D"/>
    <w:rsid w:val="3F8556A6"/>
    <w:rsid w:val="40D60405"/>
    <w:rsid w:val="420D17DE"/>
    <w:rsid w:val="424E45CB"/>
    <w:rsid w:val="42841CF0"/>
    <w:rsid w:val="428F4B24"/>
    <w:rsid w:val="432F476D"/>
    <w:rsid w:val="44472EB5"/>
    <w:rsid w:val="44591E01"/>
    <w:rsid w:val="44F3144E"/>
    <w:rsid w:val="45D85EA9"/>
    <w:rsid w:val="45F074B6"/>
    <w:rsid w:val="46117113"/>
    <w:rsid w:val="475A4D4F"/>
    <w:rsid w:val="47632C1B"/>
    <w:rsid w:val="479C66F0"/>
    <w:rsid w:val="48092DC3"/>
    <w:rsid w:val="486A321D"/>
    <w:rsid w:val="48AF5A54"/>
    <w:rsid w:val="48CE7036"/>
    <w:rsid w:val="491B634D"/>
    <w:rsid w:val="497F5085"/>
    <w:rsid w:val="49DB5B32"/>
    <w:rsid w:val="4A213B9E"/>
    <w:rsid w:val="4A545C10"/>
    <w:rsid w:val="4B2F5ECD"/>
    <w:rsid w:val="4B924C60"/>
    <w:rsid w:val="4BBE59E6"/>
    <w:rsid w:val="4BD50B7E"/>
    <w:rsid w:val="4C060ABD"/>
    <w:rsid w:val="4C0B001B"/>
    <w:rsid w:val="4CC72AFC"/>
    <w:rsid w:val="4CFB0AFF"/>
    <w:rsid w:val="4FA35472"/>
    <w:rsid w:val="511D4878"/>
    <w:rsid w:val="51BF0E38"/>
    <w:rsid w:val="523D7A45"/>
    <w:rsid w:val="52E97D56"/>
    <w:rsid w:val="52FE58A5"/>
    <w:rsid w:val="543878CD"/>
    <w:rsid w:val="545E6342"/>
    <w:rsid w:val="552900E6"/>
    <w:rsid w:val="558D1CDF"/>
    <w:rsid w:val="56161599"/>
    <w:rsid w:val="566D5858"/>
    <w:rsid w:val="569055E8"/>
    <w:rsid w:val="569673F5"/>
    <w:rsid w:val="56EF16E9"/>
    <w:rsid w:val="56FD6DF6"/>
    <w:rsid w:val="57604325"/>
    <w:rsid w:val="577041A4"/>
    <w:rsid w:val="599D71B5"/>
    <w:rsid w:val="59BA00A4"/>
    <w:rsid w:val="5C193C1E"/>
    <w:rsid w:val="5C4B2796"/>
    <w:rsid w:val="5CAC611A"/>
    <w:rsid w:val="5CD51841"/>
    <w:rsid w:val="5CED2F8E"/>
    <w:rsid w:val="5D2868C7"/>
    <w:rsid w:val="5D3D64C3"/>
    <w:rsid w:val="5E0E2BE8"/>
    <w:rsid w:val="5E89299C"/>
    <w:rsid w:val="5EA84A73"/>
    <w:rsid w:val="603F01FD"/>
    <w:rsid w:val="603F0210"/>
    <w:rsid w:val="60954F4B"/>
    <w:rsid w:val="60AE158A"/>
    <w:rsid w:val="60B01D75"/>
    <w:rsid w:val="60DB74C4"/>
    <w:rsid w:val="60E233D8"/>
    <w:rsid w:val="610D4129"/>
    <w:rsid w:val="61124518"/>
    <w:rsid w:val="61412FB6"/>
    <w:rsid w:val="615C312B"/>
    <w:rsid w:val="61DE570E"/>
    <w:rsid w:val="620E1E89"/>
    <w:rsid w:val="623937F7"/>
    <w:rsid w:val="625D1C90"/>
    <w:rsid w:val="62C4047B"/>
    <w:rsid w:val="62E03ADC"/>
    <w:rsid w:val="635E4421"/>
    <w:rsid w:val="63EF6F07"/>
    <w:rsid w:val="642A08FD"/>
    <w:rsid w:val="647F0332"/>
    <w:rsid w:val="64B114D1"/>
    <w:rsid w:val="64DC2B6F"/>
    <w:rsid w:val="652A35F1"/>
    <w:rsid w:val="65BA6903"/>
    <w:rsid w:val="66157B7F"/>
    <w:rsid w:val="66301B9D"/>
    <w:rsid w:val="66A871BA"/>
    <w:rsid w:val="67A7438D"/>
    <w:rsid w:val="6838612C"/>
    <w:rsid w:val="683F7E3B"/>
    <w:rsid w:val="68724B0B"/>
    <w:rsid w:val="68771BA7"/>
    <w:rsid w:val="68A52A43"/>
    <w:rsid w:val="68C2478D"/>
    <w:rsid w:val="68E00D76"/>
    <w:rsid w:val="693425B1"/>
    <w:rsid w:val="69D0041C"/>
    <w:rsid w:val="6A6206DE"/>
    <w:rsid w:val="6AC31155"/>
    <w:rsid w:val="6AEB2B50"/>
    <w:rsid w:val="6B13686A"/>
    <w:rsid w:val="6B3709F5"/>
    <w:rsid w:val="6C34064C"/>
    <w:rsid w:val="6C835717"/>
    <w:rsid w:val="6D1C35AE"/>
    <w:rsid w:val="6DA15AFD"/>
    <w:rsid w:val="6DB92804"/>
    <w:rsid w:val="6E2D4BEC"/>
    <w:rsid w:val="6E433645"/>
    <w:rsid w:val="6E7333B5"/>
    <w:rsid w:val="6EB71BF7"/>
    <w:rsid w:val="6F1362DA"/>
    <w:rsid w:val="6F8C71DF"/>
    <w:rsid w:val="70831737"/>
    <w:rsid w:val="70871474"/>
    <w:rsid w:val="70E67F4B"/>
    <w:rsid w:val="717117CC"/>
    <w:rsid w:val="718C2B14"/>
    <w:rsid w:val="71BE5005"/>
    <w:rsid w:val="71CE0907"/>
    <w:rsid w:val="72050F9F"/>
    <w:rsid w:val="72FA69D2"/>
    <w:rsid w:val="733C3D3C"/>
    <w:rsid w:val="73E13B0B"/>
    <w:rsid w:val="74A409F2"/>
    <w:rsid w:val="75A2786D"/>
    <w:rsid w:val="76B7159B"/>
    <w:rsid w:val="76B74166"/>
    <w:rsid w:val="76C70E00"/>
    <w:rsid w:val="76CE1080"/>
    <w:rsid w:val="76D30C46"/>
    <w:rsid w:val="76EC3153"/>
    <w:rsid w:val="779812C8"/>
    <w:rsid w:val="77C016DF"/>
    <w:rsid w:val="7857380F"/>
    <w:rsid w:val="7A242ABA"/>
    <w:rsid w:val="7A657794"/>
    <w:rsid w:val="7A9C2186"/>
    <w:rsid w:val="7B0D52CF"/>
    <w:rsid w:val="7B691734"/>
    <w:rsid w:val="7C2D550C"/>
    <w:rsid w:val="7C824D64"/>
    <w:rsid w:val="7DB8353D"/>
    <w:rsid w:val="7E363938"/>
    <w:rsid w:val="7E6D2100"/>
    <w:rsid w:val="7EA4564D"/>
    <w:rsid w:val="7F492DCF"/>
    <w:rsid w:val="7FAE1CDB"/>
    <w:rsid w:val="7FE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7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default" w:ascii="Gill Sans MT" w:hAnsi="Gill Sans MT" w:eastAsia="Gill Sans MT" w:cs="Gill Sans MT"/>
      <w:snapToGrid/>
      <w:color w:val="000000"/>
      <w:kern w:val="0"/>
      <w:sz w:val="15"/>
      <w:szCs w:val="15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字符"/>
    <w:basedOn w:val="6"/>
    <w:link w:val="3"/>
    <w:qFormat/>
    <w:uiPriority w:val="0"/>
    <w:rPr>
      <w:rFonts w:hint="default" w:ascii="Gill Sans MT" w:hAnsi="Gill Sans MT" w:eastAsia="Gill Sans MT" w:cs="Gill Sans MT"/>
      <w:snapToGrid/>
      <w:color w:val="000000"/>
      <w:sz w:val="15"/>
      <w:szCs w:val="15"/>
      <w:lang w:eastAsia="en-US"/>
    </w:rPr>
  </w:style>
  <w:style w:type="table" w:customStyle="1" w:styleId="8">
    <w:name w:val="三线表"/>
    <w:basedOn w:val="4"/>
    <w:qFormat/>
    <w:uiPriority w:val="0"/>
    <w:rPr>
      <w:rFonts w:eastAsia="Times New Roman"/>
    </w:rPr>
    <w:tblPr>
      <w:tblBorders>
        <w:top w:val="single" w:color="auto" w:sz="12" w:space="0"/>
        <w:bottom w:val="single" w:color="auto" w:sz="12" w:space="0"/>
      </w:tblBorders>
      <w:tblCellMar>
        <w:left w:w="0" w:type="dxa"/>
        <w:right w:w="0" w:type="dxa"/>
      </w:tblCellMar>
    </w:tblPr>
    <w:tblStylePr w:type="firstRow"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b3aece0-522c-4380-84ab-2362ab5f7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635</Words>
  <Characters>4018</Characters>
  <Lines>0</Lines>
  <Paragraphs>0</Paragraphs>
  <TotalTime>0</TotalTime>
  <ScaleCrop>false</ScaleCrop>
  <LinksUpToDate>false</LinksUpToDate>
  <CharactersWithSpaces>4457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2024-07-09T10:35:00Z</dcterms:created>
  <dc:creator>11270</dc:creator>
  <cp:lastModifiedBy> ° 偲姒</cp:lastModifiedBy>
  <dcterms:modified xsi:type="dcterms:W3CDTF">2026-04-20T15:59:37Z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6A6AB0AFB5C2470883FD05E6D7582533_12</vt:lpwstr>
  </property>
  <property fmtid="{D5CDD505-2E9C-101B-9397-08002B2CF9AE}" pid="4" name="KSOTemplateDocerSaveRecord">
    <vt:lpwstr>eyJoZGlkIjoiMGRkNzI0MTYwN2RkODJiMzU2ODQ4ZGZhZjI5YmJmMTIiLCJ1c2VySWQiOiI1MzY0NzM4NDEifQ==</vt:lpwstr>
  </property>
</Properties>
</file>