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264A88">
      <w:pPr>
        <w:spacing w:line="480" w:lineRule="auto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  <w:t xml:space="preserve">Table S1 </w:t>
      </w:r>
      <w:r>
        <w:rPr>
          <w:rFonts w:ascii="Times New Roman" w:hAnsi="Times New Roman" w:cs="Times New Roman"/>
          <w:sz w:val="16"/>
          <w:szCs w:val="16"/>
        </w:rPr>
        <w:t>Clinical and vertebral structural data in non-fractured and fractured groups in the age group of 45-60 years old</w:t>
      </w:r>
    </w:p>
    <w:tbl>
      <w:tblPr>
        <w:tblStyle w:val="3"/>
        <w:tblW w:w="4998" w:type="pct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56"/>
        <w:gridCol w:w="2145"/>
        <w:gridCol w:w="1721"/>
        <w:gridCol w:w="797"/>
      </w:tblGrid>
      <w:tr w14:paraId="610CB9A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" w:hRule="atLeast"/>
          <w:jc w:val="center"/>
        </w:trPr>
        <w:tc>
          <w:tcPr>
            <w:tcW w:w="2263" w:type="pct"/>
            <w:vMerge w:val="restart"/>
            <w:tcBorders>
              <w:top w:val="single" w:color="auto" w:sz="12" w:space="0"/>
            </w:tcBorders>
          </w:tcPr>
          <w:p w14:paraId="0505F756">
            <w:pPr>
              <w:spacing w:line="480" w:lineRule="auto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pacing w:val="15"/>
                <w:sz w:val="16"/>
                <w:szCs w:val="16"/>
              </w:rPr>
              <w:t>Clinical data</w:t>
            </w:r>
          </w:p>
        </w:tc>
        <w:tc>
          <w:tcPr>
            <w:tcW w:w="2737" w:type="pct"/>
            <w:gridSpan w:val="3"/>
            <w:tcBorders>
              <w:top w:val="single" w:color="auto" w:sz="12" w:space="0"/>
              <w:bottom w:val="single" w:color="auto" w:sz="12" w:space="0"/>
            </w:tcBorders>
          </w:tcPr>
          <w:p w14:paraId="50EE4CFF">
            <w:pPr>
              <w:spacing w:line="480" w:lineRule="auto"/>
              <w:jc w:val="center"/>
              <w:rPr>
                <w:rFonts w:ascii="Times New Roman" w:hAnsi="Times New Roman" w:cs="Times New Roman"/>
                <w:spacing w:val="15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pacing w:val="15"/>
                <w:sz w:val="16"/>
                <w:szCs w:val="16"/>
              </w:rPr>
              <w:t>45-60 years (n=151)</w:t>
            </w:r>
          </w:p>
        </w:tc>
      </w:tr>
      <w:tr w14:paraId="7FFB397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" w:hRule="atLeast"/>
          <w:jc w:val="center"/>
        </w:trPr>
        <w:tc>
          <w:tcPr>
            <w:tcW w:w="2263" w:type="pct"/>
            <w:vMerge w:val="continue"/>
            <w:tcBorders>
              <w:bottom w:val="single" w:color="auto" w:sz="12" w:space="0"/>
            </w:tcBorders>
          </w:tcPr>
          <w:p w14:paraId="403B7F3B">
            <w:pPr>
              <w:spacing w:line="480" w:lineRule="auto"/>
              <w:jc w:val="left"/>
              <w:rPr>
                <w:rFonts w:ascii="Times New Roman" w:hAnsi="Times New Roman" w:cs="Times New Roman"/>
                <w:spacing w:val="15"/>
                <w:sz w:val="16"/>
                <w:szCs w:val="16"/>
              </w:rPr>
            </w:pPr>
          </w:p>
        </w:tc>
        <w:tc>
          <w:tcPr>
            <w:tcW w:w="1259" w:type="pct"/>
            <w:tcBorders>
              <w:top w:val="single" w:color="auto" w:sz="12" w:space="0"/>
              <w:bottom w:val="single" w:color="auto" w:sz="12" w:space="0"/>
            </w:tcBorders>
          </w:tcPr>
          <w:p w14:paraId="458CD76B">
            <w:pPr>
              <w:spacing w:line="480" w:lineRule="auto"/>
              <w:jc w:val="left"/>
              <w:rPr>
                <w:rFonts w:ascii="Times New Roman" w:hAnsi="Times New Roman" w:cs="Times New Roman"/>
                <w:spacing w:val="15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pacing w:val="15"/>
                <w:sz w:val="16"/>
                <w:szCs w:val="16"/>
              </w:rPr>
              <w:t>Non-fractured (n=78)</w:t>
            </w:r>
          </w:p>
        </w:tc>
        <w:tc>
          <w:tcPr>
            <w:tcW w:w="1010" w:type="pct"/>
            <w:tcBorders>
              <w:top w:val="single" w:color="auto" w:sz="12" w:space="0"/>
              <w:bottom w:val="single" w:color="auto" w:sz="12" w:space="0"/>
            </w:tcBorders>
          </w:tcPr>
          <w:p w14:paraId="47310DAB">
            <w:pPr>
              <w:spacing w:line="480" w:lineRule="auto"/>
              <w:jc w:val="left"/>
              <w:rPr>
                <w:rFonts w:ascii="Times New Roman" w:hAnsi="Times New Roman" w:cs="Times New Roman"/>
                <w:spacing w:val="15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pacing w:val="15"/>
                <w:sz w:val="16"/>
                <w:szCs w:val="16"/>
              </w:rPr>
              <w:t>Fractured (n=73)</w:t>
            </w:r>
          </w:p>
        </w:tc>
        <w:tc>
          <w:tcPr>
            <w:tcW w:w="468" w:type="pct"/>
            <w:tcBorders>
              <w:top w:val="nil"/>
              <w:bottom w:val="single" w:color="auto" w:sz="12" w:space="0"/>
            </w:tcBorders>
          </w:tcPr>
          <w:p w14:paraId="3FE6453E">
            <w:pPr>
              <w:spacing w:line="480" w:lineRule="auto"/>
              <w:jc w:val="left"/>
              <w:rPr>
                <w:rFonts w:ascii="Times New Roman" w:hAnsi="Times New Roman" w:cs="Times New Roman"/>
                <w:spacing w:val="15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pacing w:val="15"/>
                <w:sz w:val="16"/>
                <w:szCs w:val="16"/>
              </w:rPr>
              <w:t>P</w:t>
            </w:r>
          </w:p>
        </w:tc>
      </w:tr>
      <w:tr w14:paraId="4797582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  <w:jc w:val="center"/>
        </w:trPr>
        <w:tc>
          <w:tcPr>
            <w:tcW w:w="2263" w:type="pct"/>
            <w:tcBorders>
              <w:top w:val="single" w:color="auto" w:sz="12" w:space="0"/>
            </w:tcBorders>
            <w:noWrap/>
          </w:tcPr>
          <w:p w14:paraId="63D91B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Age, years</w:t>
            </w:r>
          </w:p>
        </w:tc>
        <w:tc>
          <w:tcPr>
            <w:tcW w:w="1259" w:type="pct"/>
            <w:tcBorders>
              <w:top w:val="single" w:color="auto" w:sz="12" w:space="0"/>
            </w:tcBorders>
            <w:noWrap/>
          </w:tcPr>
          <w:p w14:paraId="1AFADB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55.41±2.95</w:t>
            </w:r>
          </w:p>
        </w:tc>
        <w:tc>
          <w:tcPr>
            <w:tcW w:w="1010" w:type="pct"/>
            <w:tcBorders>
              <w:top w:val="single" w:color="auto" w:sz="12" w:space="0"/>
            </w:tcBorders>
          </w:tcPr>
          <w:p w14:paraId="24D5097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53.58±4.43</w:t>
            </w:r>
          </w:p>
        </w:tc>
        <w:tc>
          <w:tcPr>
            <w:tcW w:w="468" w:type="pct"/>
            <w:tcBorders>
              <w:top w:val="single" w:color="auto" w:sz="12" w:space="0"/>
            </w:tcBorders>
          </w:tcPr>
          <w:p w14:paraId="1BD7F9D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0.003*</w:t>
            </w:r>
          </w:p>
        </w:tc>
      </w:tr>
      <w:tr w14:paraId="7CF07A1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263" w:type="pct"/>
            <w:noWrap/>
          </w:tcPr>
          <w:p w14:paraId="141DEE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Male, n(%)</w:t>
            </w:r>
          </w:p>
        </w:tc>
        <w:tc>
          <w:tcPr>
            <w:tcW w:w="1259" w:type="pct"/>
            <w:noWrap/>
          </w:tcPr>
          <w:p w14:paraId="5B47AAB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46 (59)</w:t>
            </w:r>
          </w:p>
        </w:tc>
        <w:tc>
          <w:tcPr>
            <w:tcW w:w="1010" w:type="pct"/>
          </w:tcPr>
          <w:p w14:paraId="676CEA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 (75)</w:t>
            </w:r>
          </w:p>
        </w:tc>
        <w:tc>
          <w:tcPr>
            <w:tcW w:w="468" w:type="pct"/>
          </w:tcPr>
          <w:p w14:paraId="587E362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0.050*</w:t>
            </w:r>
          </w:p>
        </w:tc>
      </w:tr>
      <w:tr w14:paraId="5672604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263" w:type="pct"/>
            <w:noWrap/>
          </w:tcPr>
          <w:p w14:paraId="3089A5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HGB, g/L</w:t>
            </w:r>
          </w:p>
        </w:tc>
        <w:tc>
          <w:tcPr>
            <w:tcW w:w="1259" w:type="pct"/>
            <w:noWrap/>
          </w:tcPr>
          <w:p w14:paraId="2BA74F0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127.10±24.20</w:t>
            </w:r>
          </w:p>
        </w:tc>
        <w:tc>
          <w:tcPr>
            <w:tcW w:w="1010" w:type="pct"/>
          </w:tcPr>
          <w:p w14:paraId="4C8E6D9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122.05±22.45</w:t>
            </w:r>
          </w:p>
        </w:tc>
        <w:tc>
          <w:tcPr>
            <w:tcW w:w="468" w:type="pct"/>
          </w:tcPr>
          <w:p w14:paraId="0F0F3BB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0.187</w:t>
            </w:r>
          </w:p>
        </w:tc>
      </w:tr>
      <w:tr w14:paraId="119C3AE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263" w:type="pct"/>
            <w:noWrap/>
          </w:tcPr>
          <w:p w14:paraId="7CE44F3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HbA1C, mmol/L</w:t>
            </w:r>
          </w:p>
        </w:tc>
        <w:tc>
          <w:tcPr>
            <w:tcW w:w="1259" w:type="pct"/>
            <w:noWrap/>
          </w:tcPr>
          <w:p w14:paraId="5DC0FA5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6.77±1.88</w:t>
            </w:r>
          </w:p>
        </w:tc>
        <w:tc>
          <w:tcPr>
            <w:tcW w:w="1010" w:type="pct"/>
          </w:tcPr>
          <w:p w14:paraId="4F51403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6.95±1.28</w:t>
            </w:r>
          </w:p>
        </w:tc>
        <w:tc>
          <w:tcPr>
            <w:tcW w:w="468" w:type="pct"/>
          </w:tcPr>
          <w:p w14:paraId="7B19389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0.491</w:t>
            </w:r>
          </w:p>
        </w:tc>
      </w:tr>
      <w:tr w14:paraId="4A9512B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263" w:type="pct"/>
            <w:noWrap/>
          </w:tcPr>
          <w:p w14:paraId="318C0E6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HDL, mmol/L</w:t>
            </w:r>
          </w:p>
        </w:tc>
        <w:tc>
          <w:tcPr>
            <w:tcW w:w="1259" w:type="pct"/>
            <w:noWrap/>
          </w:tcPr>
          <w:p w14:paraId="65123E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1.28±0.38</w:t>
            </w:r>
          </w:p>
        </w:tc>
        <w:tc>
          <w:tcPr>
            <w:tcW w:w="1010" w:type="pct"/>
          </w:tcPr>
          <w:p w14:paraId="07E2182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1.15±0.32</w:t>
            </w:r>
          </w:p>
        </w:tc>
        <w:tc>
          <w:tcPr>
            <w:tcW w:w="468" w:type="pct"/>
          </w:tcPr>
          <w:p w14:paraId="07C5CEA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0.020*</w:t>
            </w:r>
          </w:p>
        </w:tc>
      </w:tr>
      <w:tr w14:paraId="3127D19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263" w:type="pct"/>
            <w:noWrap/>
          </w:tcPr>
          <w:p w14:paraId="53FBC59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LDL, mmol/L</w:t>
            </w:r>
          </w:p>
        </w:tc>
        <w:tc>
          <w:tcPr>
            <w:tcW w:w="1259" w:type="pct"/>
            <w:noWrap/>
          </w:tcPr>
          <w:p w14:paraId="7CD89DF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2.70±0.76</w:t>
            </w:r>
          </w:p>
        </w:tc>
        <w:tc>
          <w:tcPr>
            <w:tcW w:w="1010" w:type="pct"/>
          </w:tcPr>
          <w:p w14:paraId="1D3080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2.75±0.60</w:t>
            </w:r>
          </w:p>
        </w:tc>
        <w:tc>
          <w:tcPr>
            <w:tcW w:w="468" w:type="pct"/>
          </w:tcPr>
          <w:p w14:paraId="68CD90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0.620</w:t>
            </w:r>
          </w:p>
        </w:tc>
      </w:tr>
      <w:tr w14:paraId="152C050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263" w:type="pct"/>
            <w:noWrap/>
          </w:tcPr>
          <w:p w14:paraId="5FA17D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TG, mmol/L</w:t>
            </w:r>
          </w:p>
        </w:tc>
        <w:tc>
          <w:tcPr>
            <w:tcW w:w="1259" w:type="pct"/>
            <w:noWrap/>
          </w:tcPr>
          <w:p w14:paraId="51484A9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1.40±0.99</w:t>
            </w:r>
          </w:p>
        </w:tc>
        <w:tc>
          <w:tcPr>
            <w:tcW w:w="1010" w:type="pct"/>
          </w:tcPr>
          <w:p w14:paraId="5D61A8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1.50±2.46</w:t>
            </w:r>
          </w:p>
        </w:tc>
        <w:tc>
          <w:tcPr>
            <w:tcW w:w="468" w:type="pct"/>
          </w:tcPr>
          <w:p w14:paraId="069820B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0.726</w:t>
            </w:r>
          </w:p>
        </w:tc>
      </w:tr>
      <w:tr w14:paraId="05AD4E4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263" w:type="pct"/>
            <w:noWrap/>
          </w:tcPr>
          <w:p w14:paraId="54CA347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TC, mmol/L</w:t>
            </w:r>
          </w:p>
        </w:tc>
        <w:tc>
          <w:tcPr>
            <w:tcW w:w="1259" w:type="pct"/>
            <w:noWrap/>
          </w:tcPr>
          <w:p w14:paraId="6C4A846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4.83±1.26</w:t>
            </w:r>
          </w:p>
        </w:tc>
        <w:tc>
          <w:tcPr>
            <w:tcW w:w="1010" w:type="pct"/>
          </w:tcPr>
          <w:p w14:paraId="01C73E5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4.53±1.40</w:t>
            </w:r>
          </w:p>
        </w:tc>
        <w:tc>
          <w:tcPr>
            <w:tcW w:w="468" w:type="pct"/>
          </w:tcPr>
          <w:p w14:paraId="53AF43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0.169</w:t>
            </w:r>
          </w:p>
        </w:tc>
      </w:tr>
      <w:tr w14:paraId="473CEB94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263" w:type="pct"/>
            <w:noWrap/>
          </w:tcPr>
          <w:p w14:paraId="64A1D05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FFA, mmol/L</w:t>
            </w:r>
          </w:p>
        </w:tc>
        <w:tc>
          <w:tcPr>
            <w:tcW w:w="1259" w:type="pct"/>
            <w:noWrap/>
          </w:tcPr>
          <w:p w14:paraId="2EC36B4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0.45±0.28</w:t>
            </w:r>
          </w:p>
        </w:tc>
        <w:tc>
          <w:tcPr>
            <w:tcW w:w="1010" w:type="pct"/>
          </w:tcPr>
          <w:p w14:paraId="19F8824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0.56±0.34</w:t>
            </w:r>
          </w:p>
        </w:tc>
        <w:tc>
          <w:tcPr>
            <w:tcW w:w="468" w:type="pct"/>
          </w:tcPr>
          <w:p w14:paraId="6DAAA9B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0.026*</w:t>
            </w:r>
          </w:p>
        </w:tc>
      </w:tr>
      <w:tr w14:paraId="28C8FA5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263" w:type="pct"/>
            <w:noWrap/>
          </w:tcPr>
          <w:p w14:paraId="0726656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GLU, mmol/L</w:t>
            </w:r>
          </w:p>
        </w:tc>
        <w:tc>
          <w:tcPr>
            <w:tcW w:w="1259" w:type="pct"/>
            <w:noWrap/>
          </w:tcPr>
          <w:p w14:paraId="670D1C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5.23±1.32</w:t>
            </w:r>
          </w:p>
        </w:tc>
        <w:tc>
          <w:tcPr>
            <w:tcW w:w="1010" w:type="pct"/>
          </w:tcPr>
          <w:p w14:paraId="7CF9ED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6.19±1.75</w:t>
            </w:r>
          </w:p>
        </w:tc>
        <w:tc>
          <w:tcPr>
            <w:tcW w:w="468" w:type="pct"/>
          </w:tcPr>
          <w:p w14:paraId="1B1251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&lt;0.001*</w:t>
            </w:r>
          </w:p>
        </w:tc>
      </w:tr>
      <w:tr w14:paraId="1AF6AEC1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263" w:type="pct"/>
            <w:noWrap/>
          </w:tcPr>
          <w:p w14:paraId="413897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hCRP, mg/L</w:t>
            </w:r>
          </w:p>
        </w:tc>
        <w:tc>
          <w:tcPr>
            <w:tcW w:w="1259" w:type="pct"/>
            <w:noWrap/>
          </w:tcPr>
          <w:p w14:paraId="332BFA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6.58±19.67</w:t>
            </w:r>
          </w:p>
        </w:tc>
        <w:tc>
          <w:tcPr>
            <w:tcW w:w="1010" w:type="pct"/>
          </w:tcPr>
          <w:p w14:paraId="39459E5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19.91±51.74</w:t>
            </w:r>
          </w:p>
        </w:tc>
        <w:tc>
          <w:tcPr>
            <w:tcW w:w="468" w:type="pct"/>
          </w:tcPr>
          <w:p w14:paraId="3ED8B72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0.036*</w:t>
            </w:r>
          </w:p>
        </w:tc>
      </w:tr>
      <w:tr w14:paraId="6983B6A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263" w:type="pct"/>
            <w:noWrap/>
          </w:tcPr>
          <w:p w14:paraId="049AF1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L1 cortical average area, mm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59" w:type="pct"/>
            <w:noWrap/>
          </w:tcPr>
          <w:p w14:paraId="472863A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387.87±141.88</w:t>
            </w:r>
          </w:p>
        </w:tc>
        <w:tc>
          <w:tcPr>
            <w:tcW w:w="1010" w:type="pct"/>
          </w:tcPr>
          <w:p w14:paraId="7384C6F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285.16±87.96</w:t>
            </w:r>
          </w:p>
        </w:tc>
        <w:tc>
          <w:tcPr>
            <w:tcW w:w="468" w:type="pct"/>
          </w:tcPr>
          <w:p w14:paraId="47D24A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&lt;0.001*</w:t>
            </w:r>
          </w:p>
        </w:tc>
      </w:tr>
      <w:tr w14:paraId="2D0A9EE3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263" w:type="pct"/>
            <w:noWrap/>
          </w:tcPr>
          <w:p w14:paraId="7D0308E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L1 cortical average thickness, mm</w:t>
            </w:r>
          </w:p>
        </w:tc>
        <w:tc>
          <w:tcPr>
            <w:tcW w:w="1259" w:type="pct"/>
            <w:noWrap/>
          </w:tcPr>
          <w:p w14:paraId="787A20E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3.25±0.43</w:t>
            </w:r>
          </w:p>
        </w:tc>
        <w:tc>
          <w:tcPr>
            <w:tcW w:w="1010" w:type="pct"/>
          </w:tcPr>
          <w:p w14:paraId="004DD9D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2.11±0.81</w:t>
            </w:r>
          </w:p>
        </w:tc>
        <w:tc>
          <w:tcPr>
            <w:tcW w:w="468" w:type="pct"/>
          </w:tcPr>
          <w:p w14:paraId="45AA304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&lt;0.001*</w:t>
            </w:r>
          </w:p>
        </w:tc>
      </w:tr>
      <w:tr w14:paraId="79E5DB2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263" w:type="pct"/>
            <w:noWrap/>
          </w:tcPr>
          <w:p w14:paraId="0B7E27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L1 cortical volume, mm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259" w:type="pct"/>
            <w:noWrap/>
          </w:tcPr>
          <w:p w14:paraId="01CAE72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10401.38±1742.69</w:t>
            </w:r>
          </w:p>
        </w:tc>
        <w:tc>
          <w:tcPr>
            <w:tcW w:w="1010" w:type="pct"/>
          </w:tcPr>
          <w:p w14:paraId="601295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7384.11±2793.49</w:t>
            </w:r>
          </w:p>
        </w:tc>
        <w:tc>
          <w:tcPr>
            <w:tcW w:w="468" w:type="pct"/>
          </w:tcPr>
          <w:p w14:paraId="440474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&lt;0.001*</w:t>
            </w:r>
          </w:p>
        </w:tc>
      </w:tr>
      <w:tr w14:paraId="6A4B7F08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263" w:type="pct"/>
            <w:noWrap/>
          </w:tcPr>
          <w:p w14:paraId="0215A11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L1 average maximum diameter length of trabecular, µm</w:t>
            </w:r>
          </w:p>
        </w:tc>
        <w:tc>
          <w:tcPr>
            <w:tcW w:w="1259" w:type="pct"/>
            <w:noWrap/>
          </w:tcPr>
          <w:p w14:paraId="12D0D5A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19.89±9.52</w:t>
            </w:r>
          </w:p>
        </w:tc>
        <w:tc>
          <w:tcPr>
            <w:tcW w:w="1010" w:type="pct"/>
          </w:tcPr>
          <w:p w14:paraId="70A2392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24.62±6.24</w:t>
            </w:r>
          </w:p>
        </w:tc>
        <w:tc>
          <w:tcPr>
            <w:tcW w:w="468" w:type="pct"/>
          </w:tcPr>
          <w:p w14:paraId="1A77357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&lt;0.001*</w:t>
            </w:r>
          </w:p>
        </w:tc>
      </w:tr>
      <w:tr w14:paraId="13B960E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263" w:type="pct"/>
            <w:noWrap/>
          </w:tcPr>
          <w:p w14:paraId="6D553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L1 average minimum diameter length of trabecular, µm</w:t>
            </w:r>
          </w:p>
        </w:tc>
        <w:tc>
          <w:tcPr>
            <w:tcW w:w="1259" w:type="pct"/>
            <w:noWrap/>
          </w:tcPr>
          <w:p w14:paraId="7A238C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17.61±4.32</w:t>
            </w:r>
          </w:p>
        </w:tc>
        <w:tc>
          <w:tcPr>
            <w:tcW w:w="1010" w:type="pct"/>
          </w:tcPr>
          <w:p w14:paraId="40CDBEE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18.28±5.22</w:t>
            </w:r>
          </w:p>
        </w:tc>
        <w:tc>
          <w:tcPr>
            <w:tcW w:w="468" w:type="pct"/>
          </w:tcPr>
          <w:p w14:paraId="302197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0.392</w:t>
            </w:r>
          </w:p>
        </w:tc>
      </w:tr>
      <w:tr w14:paraId="70C8A503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263" w:type="pct"/>
            <w:tcBorders>
              <w:bottom w:val="single" w:color="auto" w:sz="12" w:space="0"/>
            </w:tcBorders>
            <w:noWrap/>
          </w:tcPr>
          <w:p w14:paraId="49C7FAC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L1 trabecular volume, µm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259" w:type="pct"/>
            <w:tcBorders>
              <w:bottom w:val="single" w:color="auto" w:sz="12" w:space="0"/>
            </w:tcBorders>
            <w:noWrap/>
          </w:tcPr>
          <w:p w14:paraId="17ED65B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19301.63±4490.87</w:t>
            </w:r>
          </w:p>
        </w:tc>
        <w:tc>
          <w:tcPr>
            <w:tcW w:w="1010" w:type="pct"/>
            <w:tcBorders>
              <w:bottom w:val="single" w:color="auto" w:sz="12" w:space="0"/>
            </w:tcBorders>
          </w:tcPr>
          <w:p w14:paraId="0964C04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16095.44±6436.57</w:t>
            </w:r>
          </w:p>
        </w:tc>
        <w:tc>
          <w:tcPr>
            <w:tcW w:w="468" w:type="pct"/>
            <w:tcBorders>
              <w:bottom w:val="single" w:color="auto" w:sz="12" w:space="0"/>
            </w:tcBorders>
          </w:tcPr>
          <w:p w14:paraId="79313B9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&lt;0.001*</w:t>
            </w:r>
          </w:p>
        </w:tc>
      </w:tr>
    </w:tbl>
    <w:p w14:paraId="5C6F6018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Abbreviations: hemoglobin: HGB; glycated hemoglobin: HbA1C; hypersensitive C-reactive protein: hCRP; high density lipoprotein: HDL; low density lipoprotein: LDL; triglyceride: TG; total cholesterol: TC; free fatty acid: FFA; glucose: GLU. Statistical significance was defined as *</w:t>
      </w:r>
      <w:r>
        <w:rPr>
          <w:rFonts w:ascii="Times New Roman" w:hAnsi="Times New Roman" w:cs="Times New Roman"/>
          <w:i/>
          <w:iCs/>
          <w:sz w:val="16"/>
          <w:szCs w:val="16"/>
        </w:rPr>
        <w:t>P</w:t>
      </w:r>
      <w:r>
        <w:rPr>
          <w:rFonts w:ascii="Times New Roman" w:hAnsi="Times New Roman" w:cs="Times New Roman"/>
          <w:sz w:val="16"/>
          <w:szCs w:val="16"/>
        </w:rPr>
        <w:t xml:space="preserve">&lt; 0.05. </w:t>
      </w:r>
    </w:p>
    <w:p w14:paraId="37C66A3C">
      <w:pPr>
        <w:pStyle w:val="2"/>
        <w:shd w:val="clear" w:color="auto" w:fill="FFFFFF"/>
        <w:wordWrap w:val="0"/>
        <w:spacing w:line="480" w:lineRule="auto"/>
        <w:rPr>
          <w:rFonts w:ascii="Times New Roman" w:hAnsi="Times New Roman" w:cs="Times New Roman"/>
          <w:b/>
          <w:bCs/>
          <w:sz w:val="16"/>
          <w:szCs w:val="16"/>
        </w:rPr>
      </w:pPr>
    </w:p>
    <w:p w14:paraId="51E660C1">
      <w:pPr>
        <w:pStyle w:val="2"/>
        <w:shd w:val="clear" w:color="auto" w:fill="FFFFFF"/>
        <w:spacing w:line="48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  <w:t xml:space="preserve">Table S2 </w:t>
      </w:r>
      <w:r>
        <w:rPr>
          <w:rFonts w:ascii="Times New Roman" w:hAnsi="Times New Roman" w:cs="Times New Roman"/>
          <w:sz w:val="16"/>
          <w:szCs w:val="16"/>
        </w:rPr>
        <w:t>Clinical and vertebral structural data in non-fractured and fractured groups in the age group of 61-70 years old</w:t>
      </w:r>
    </w:p>
    <w:tbl>
      <w:tblPr>
        <w:tblStyle w:val="3"/>
        <w:tblW w:w="4998" w:type="pct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99"/>
        <w:gridCol w:w="1937"/>
        <w:gridCol w:w="1859"/>
        <w:gridCol w:w="724"/>
      </w:tblGrid>
      <w:tr w14:paraId="245F170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" w:hRule="atLeast"/>
          <w:jc w:val="center"/>
        </w:trPr>
        <w:tc>
          <w:tcPr>
            <w:tcW w:w="2347" w:type="pct"/>
            <w:vMerge w:val="restart"/>
            <w:tcBorders>
              <w:top w:val="single" w:color="auto" w:sz="12" w:space="0"/>
            </w:tcBorders>
          </w:tcPr>
          <w:p w14:paraId="0E1AA79B">
            <w:pPr>
              <w:spacing w:line="480" w:lineRule="auto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pacing w:val="15"/>
                <w:sz w:val="16"/>
                <w:szCs w:val="16"/>
              </w:rPr>
              <w:t>Clinical data</w:t>
            </w:r>
          </w:p>
        </w:tc>
        <w:tc>
          <w:tcPr>
            <w:tcW w:w="2653" w:type="pct"/>
            <w:gridSpan w:val="3"/>
            <w:tcBorders>
              <w:top w:val="single" w:color="auto" w:sz="12" w:space="0"/>
              <w:bottom w:val="single" w:color="auto" w:sz="12" w:space="0"/>
            </w:tcBorders>
          </w:tcPr>
          <w:p w14:paraId="2F9C9078">
            <w:pPr>
              <w:spacing w:line="480" w:lineRule="auto"/>
              <w:jc w:val="center"/>
              <w:rPr>
                <w:rFonts w:ascii="Times New Roman" w:hAnsi="Times New Roman" w:cs="Times New Roman"/>
                <w:spacing w:val="15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pacing w:val="15"/>
                <w:sz w:val="16"/>
                <w:szCs w:val="16"/>
              </w:rPr>
              <w:t>61-70 years (n=86)</w:t>
            </w:r>
          </w:p>
        </w:tc>
      </w:tr>
      <w:tr w14:paraId="2AF55C9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" w:hRule="atLeast"/>
          <w:jc w:val="center"/>
        </w:trPr>
        <w:tc>
          <w:tcPr>
            <w:tcW w:w="2347" w:type="pct"/>
            <w:vMerge w:val="continue"/>
            <w:tcBorders>
              <w:bottom w:val="single" w:color="auto" w:sz="12" w:space="0"/>
            </w:tcBorders>
          </w:tcPr>
          <w:p w14:paraId="6F03FDD3">
            <w:pPr>
              <w:spacing w:line="480" w:lineRule="auto"/>
              <w:jc w:val="left"/>
              <w:rPr>
                <w:rFonts w:ascii="Times New Roman" w:hAnsi="Times New Roman" w:cs="Times New Roman"/>
                <w:spacing w:val="15"/>
                <w:sz w:val="16"/>
                <w:szCs w:val="16"/>
              </w:rPr>
            </w:pPr>
          </w:p>
        </w:tc>
        <w:tc>
          <w:tcPr>
            <w:tcW w:w="1137" w:type="pct"/>
            <w:tcBorders>
              <w:top w:val="single" w:color="auto" w:sz="12" w:space="0"/>
              <w:bottom w:val="single" w:color="auto" w:sz="12" w:space="0"/>
            </w:tcBorders>
          </w:tcPr>
          <w:p w14:paraId="072D7906">
            <w:pPr>
              <w:spacing w:line="480" w:lineRule="auto"/>
              <w:jc w:val="left"/>
              <w:rPr>
                <w:rFonts w:ascii="Times New Roman" w:hAnsi="Times New Roman" w:cs="Times New Roman"/>
                <w:spacing w:val="15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pacing w:val="15"/>
                <w:sz w:val="16"/>
                <w:szCs w:val="16"/>
              </w:rPr>
              <w:t>Non-fractured (n=49)</w:t>
            </w:r>
          </w:p>
        </w:tc>
        <w:tc>
          <w:tcPr>
            <w:tcW w:w="1091" w:type="pct"/>
            <w:tcBorders>
              <w:top w:val="single" w:color="auto" w:sz="12" w:space="0"/>
              <w:bottom w:val="single" w:color="auto" w:sz="12" w:space="0"/>
            </w:tcBorders>
          </w:tcPr>
          <w:p w14:paraId="768887E9">
            <w:pPr>
              <w:spacing w:line="480" w:lineRule="auto"/>
              <w:jc w:val="left"/>
              <w:rPr>
                <w:rFonts w:ascii="Times New Roman" w:hAnsi="Times New Roman" w:cs="Times New Roman"/>
                <w:spacing w:val="15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pacing w:val="15"/>
                <w:sz w:val="16"/>
                <w:szCs w:val="16"/>
              </w:rPr>
              <w:t>Fractured (n=37)</w:t>
            </w:r>
          </w:p>
        </w:tc>
        <w:tc>
          <w:tcPr>
            <w:tcW w:w="425" w:type="pct"/>
            <w:tcBorders>
              <w:top w:val="nil"/>
              <w:bottom w:val="single" w:color="auto" w:sz="12" w:space="0"/>
            </w:tcBorders>
          </w:tcPr>
          <w:p w14:paraId="6ED2E057">
            <w:pPr>
              <w:spacing w:line="480" w:lineRule="auto"/>
              <w:jc w:val="left"/>
              <w:rPr>
                <w:rFonts w:ascii="Times New Roman" w:hAnsi="Times New Roman" w:cs="Times New Roman"/>
                <w:spacing w:val="15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pacing w:val="15"/>
                <w:sz w:val="16"/>
                <w:szCs w:val="16"/>
              </w:rPr>
              <w:t>P</w:t>
            </w:r>
          </w:p>
        </w:tc>
      </w:tr>
      <w:tr w14:paraId="164AA56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  <w:jc w:val="center"/>
        </w:trPr>
        <w:tc>
          <w:tcPr>
            <w:tcW w:w="2347" w:type="pct"/>
            <w:tcBorders>
              <w:top w:val="single" w:color="auto" w:sz="12" w:space="0"/>
            </w:tcBorders>
            <w:noWrap/>
          </w:tcPr>
          <w:p w14:paraId="21EF12B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Age, years</w:t>
            </w:r>
          </w:p>
        </w:tc>
        <w:tc>
          <w:tcPr>
            <w:tcW w:w="1137" w:type="pct"/>
            <w:tcBorders>
              <w:top w:val="single" w:color="auto" w:sz="12" w:space="0"/>
            </w:tcBorders>
            <w:noWrap/>
          </w:tcPr>
          <w:p w14:paraId="6BAD868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65.53±2.75</w:t>
            </w:r>
          </w:p>
        </w:tc>
        <w:tc>
          <w:tcPr>
            <w:tcW w:w="1091" w:type="pct"/>
            <w:tcBorders>
              <w:top w:val="single" w:color="auto" w:sz="12" w:space="0"/>
            </w:tcBorders>
          </w:tcPr>
          <w:p w14:paraId="7B0E4A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66.14±2.69</w:t>
            </w:r>
          </w:p>
        </w:tc>
        <w:tc>
          <w:tcPr>
            <w:tcW w:w="425" w:type="pct"/>
            <w:tcBorders>
              <w:top w:val="single" w:color="auto" w:sz="12" w:space="0"/>
            </w:tcBorders>
          </w:tcPr>
          <w:p w14:paraId="6E5A39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0.312</w:t>
            </w:r>
          </w:p>
        </w:tc>
      </w:tr>
      <w:tr w14:paraId="3550836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347" w:type="pct"/>
            <w:noWrap/>
          </w:tcPr>
          <w:p w14:paraId="48B8FF0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Male, n(%)</w:t>
            </w:r>
          </w:p>
        </w:tc>
        <w:tc>
          <w:tcPr>
            <w:tcW w:w="1137" w:type="pct"/>
            <w:noWrap/>
          </w:tcPr>
          <w:p w14:paraId="7C1C340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 (49)</w:t>
            </w:r>
          </w:p>
        </w:tc>
        <w:tc>
          <w:tcPr>
            <w:tcW w:w="1091" w:type="pct"/>
          </w:tcPr>
          <w:p w14:paraId="610539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 (57)</w:t>
            </w:r>
          </w:p>
        </w:tc>
        <w:tc>
          <w:tcPr>
            <w:tcW w:w="425" w:type="pct"/>
          </w:tcPr>
          <w:p w14:paraId="207EA3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0.619</w:t>
            </w:r>
          </w:p>
        </w:tc>
      </w:tr>
      <w:tr w14:paraId="46BC2F7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347" w:type="pct"/>
            <w:noWrap/>
          </w:tcPr>
          <w:p w14:paraId="6CCF164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HGB, g/L</w:t>
            </w:r>
          </w:p>
        </w:tc>
        <w:tc>
          <w:tcPr>
            <w:tcW w:w="1137" w:type="pct"/>
            <w:noWrap/>
          </w:tcPr>
          <w:p w14:paraId="5F97BE7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126.78±25.30</w:t>
            </w:r>
          </w:p>
        </w:tc>
        <w:tc>
          <w:tcPr>
            <w:tcW w:w="1091" w:type="pct"/>
          </w:tcPr>
          <w:p w14:paraId="5B73FA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121.49±19.98</w:t>
            </w:r>
          </w:p>
        </w:tc>
        <w:tc>
          <w:tcPr>
            <w:tcW w:w="425" w:type="pct"/>
          </w:tcPr>
          <w:p w14:paraId="0B5493F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0.298</w:t>
            </w:r>
          </w:p>
        </w:tc>
      </w:tr>
      <w:tr w14:paraId="30F92C2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347" w:type="pct"/>
            <w:noWrap/>
          </w:tcPr>
          <w:p w14:paraId="3C7684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HbA1C, mmol/L</w:t>
            </w:r>
          </w:p>
        </w:tc>
        <w:tc>
          <w:tcPr>
            <w:tcW w:w="1137" w:type="pct"/>
            <w:noWrap/>
          </w:tcPr>
          <w:p w14:paraId="29D78D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6.89±1.45</w:t>
            </w:r>
          </w:p>
        </w:tc>
        <w:tc>
          <w:tcPr>
            <w:tcW w:w="1091" w:type="pct"/>
          </w:tcPr>
          <w:p w14:paraId="4D69149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6.44±1.89</w:t>
            </w:r>
          </w:p>
        </w:tc>
        <w:tc>
          <w:tcPr>
            <w:tcW w:w="425" w:type="pct"/>
          </w:tcPr>
          <w:p w14:paraId="5348F5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0.216</w:t>
            </w:r>
          </w:p>
        </w:tc>
      </w:tr>
      <w:tr w14:paraId="595227E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347" w:type="pct"/>
            <w:noWrap/>
          </w:tcPr>
          <w:p w14:paraId="621F9F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HDL, mmol/L</w:t>
            </w:r>
          </w:p>
        </w:tc>
        <w:tc>
          <w:tcPr>
            <w:tcW w:w="1137" w:type="pct"/>
            <w:noWrap/>
          </w:tcPr>
          <w:p w14:paraId="722FEDB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1.26±0.35</w:t>
            </w:r>
          </w:p>
        </w:tc>
        <w:tc>
          <w:tcPr>
            <w:tcW w:w="1091" w:type="pct"/>
          </w:tcPr>
          <w:p w14:paraId="33C093E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1.29±0.32</w:t>
            </w:r>
          </w:p>
        </w:tc>
        <w:tc>
          <w:tcPr>
            <w:tcW w:w="425" w:type="pct"/>
          </w:tcPr>
          <w:p w14:paraId="7DF5C9F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0.705</w:t>
            </w:r>
          </w:p>
        </w:tc>
      </w:tr>
      <w:tr w14:paraId="5B49AEA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347" w:type="pct"/>
            <w:noWrap/>
          </w:tcPr>
          <w:p w14:paraId="3FD0B51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LDL, mmol/L</w:t>
            </w:r>
          </w:p>
        </w:tc>
        <w:tc>
          <w:tcPr>
            <w:tcW w:w="1137" w:type="pct"/>
            <w:noWrap/>
          </w:tcPr>
          <w:p w14:paraId="44BFD8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2.66±0.75</w:t>
            </w:r>
          </w:p>
        </w:tc>
        <w:tc>
          <w:tcPr>
            <w:tcW w:w="1091" w:type="pct"/>
          </w:tcPr>
          <w:p w14:paraId="0EDC84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2.67±0.76</w:t>
            </w:r>
          </w:p>
        </w:tc>
        <w:tc>
          <w:tcPr>
            <w:tcW w:w="425" w:type="pct"/>
          </w:tcPr>
          <w:p w14:paraId="3CC136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0.925</w:t>
            </w:r>
          </w:p>
        </w:tc>
      </w:tr>
      <w:tr w14:paraId="4282696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347" w:type="pct"/>
            <w:noWrap/>
          </w:tcPr>
          <w:p w14:paraId="34BD176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TG, mmol/L</w:t>
            </w:r>
          </w:p>
        </w:tc>
        <w:tc>
          <w:tcPr>
            <w:tcW w:w="1137" w:type="pct"/>
            <w:noWrap/>
          </w:tcPr>
          <w:p w14:paraId="5536A3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1.06±0.52</w:t>
            </w:r>
          </w:p>
        </w:tc>
        <w:tc>
          <w:tcPr>
            <w:tcW w:w="1091" w:type="pct"/>
          </w:tcPr>
          <w:p w14:paraId="2C21C53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1.20±0.70</w:t>
            </w:r>
          </w:p>
        </w:tc>
        <w:tc>
          <w:tcPr>
            <w:tcW w:w="425" w:type="pct"/>
          </w:tcPr>
          <w:p w14:paraId="269879B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0.311</w:t>
            </w:r>
          </w:p>
        </w:tc>
      </w:tr>
      <w:tr w14:paraId="24E6B341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347" w:type="pct"/>
            <w:noWrap/>
          </w:tcPr>
          <w:p w14:paraId="20125AE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TC, mmol/L</w:t>
            </w:r>
          </w:p>
        </w:tc>
        <w:tc>
          <w:tcPr>
            <w:tcW w:w="1137" w:type="pct"/>
            <w:noWrap/>
          </w:tcPr>
          <w:p w14:paraId="7B370D0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4.55±1.10</w:t>
            </w:r>
          </w:p>
        </w:tc>
        <w:tc>
          <w:tcPr>
            <w:tcW w:w="1091" w:type="pct"/>
          </w:tcPr>
          <w:p w14:paraId="09FB20E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4.56±0.94</w:t>
            </w:r>
          </w:p>
        </w:tc>
        <w:tc>
          <w:tcPr>
            <w:tcW w:w="425" w:type="pct"/>
          </w:tcPr>
          <w:p w14:paraId="022A1E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0.951</w:t>
            </w:r>
          </w:p>
        </w:tc>
      </w:tr>
      <w:tr w14:paraId="350036A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6" w:hRule="atLeast"/>
          <w:jc w:val="center"/>
        </w:trPr>
        <w:tc>
          <w:tcPr>
            <w:tcW w:w="2347" w:type="pct"/>
            <w:noWrap/>
          </w:tcPr>
          <w:p w14:paraId="41777C2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FFA, mmol/L</w:t>
            </w:r>
          </w:p>
        </w:tc>
        <w:tc>
          <w:tcPr>
            <w:tcW w:w="1137" w:type="pct"/>
            <w:noWrap/>
          </w:tcPr>
          <w:p w14:paraId="1FE22C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0.51±0.30</w:t>
            </w:r>
          </w:p>
        </w:tc>
        <w:tc>
          <w:tcPr>
            <w:tcW w:w="1091" w:type="pct"/>
          </w:tcPr>
          <w:p w14:paraId="42C0A05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0.47±0.26</w:t>
            </w:r>
          </w:p>
        </w:tc>
        <w:tc>
          <w:tcPr>
            <w:tcW w:w="425" w:type="pct"/>
          </w:tcPr>
          <w:p w14:paraId="72D373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0.489</w:t>
            </w:r>
          </w:p>
        </w:tc>
      </w:tr>
      <w:tr w14:paraId="35C35583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347" w:type="pct"/>
            <w:noWrap/>
          </w:tcPr>
          <w:p w14:paraId="643D698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GLU, mmol/L</w:t>
            </w:r>
          </w:p>
        </w:tc>
        <w:tc>
          <w:tcPr>
            <w:tcW w:w="1137" w:type="pct"/>
            <w:noWrap/>
          </w:tcPr>
          <w:p w14:paraId="2306371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6.13±1.85</w:t>
            </w:r>
          </w:p>
        </w:tc>
        <w:tc>
          <w:tcPr>
            <w:tcW w:w="1091" w:type="pct"/>
          </w:tcPr>
          <w:p w14:paraId="407D09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5.45±1.10</w:t>
            </w:r>
          </w:p>
        </w:tc>
        <w:tc>
          <w:tcPr>
            <w:tcW w:w="425" w:type="pct"/>
          </w:tcPr>
          <w:p w14:paraId="17E48B5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0.050</w:t>
            </w:r>
          </w:p>
        </w:tc>
      </w:tr>
      <w:tr w14:paraId="2DF0A50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347" w:type="pct"/>
            <w:noWrap/>
          </w:tcPr>
          <w:p w14:paraId="21B45D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hCRP, mg/L</w:t>
            </w:r>
          </w:p>
        </w:tc>
        <w:tc>
          <w:tcPr>
            <w:tcW w:w="1137" w:type="pct"/>
            <w:noWrap/>
          </w:tcPr>
          <w:p w14:paraId="1F75D7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6.68±14.74</w:t>
            </w:r>
          </w:p>
        </w:tc>
        <w:tc>
          <w:tcPr>
            <w:tcW w:w="1091" w:type="pct"/>
          </w:tcPr>
          <w:p w14:paraId="06E0899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5.73±13.13</w:t>
            </w:r>
          </w:p>
        </w:tc>
        <w:tc>
          <w:tcPr>
            <w:tcW w:w="425" w:type="pct"/>
          </w:tcPr>
          <w:p w14:paraId="6F0BACC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0.757</w:t>
            </w:r>
          </w:p>
        </w:tc>
      </w:tr>
      <w:tr w14:paraId="2A6D704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347" w:type="pct"/>
            <w:noWrap/>
          </w:tcPr>
          <w:p w14:paraId="03F83A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L1 cortical average area, mm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137" w:type="pct"/>
            <w:noWrap/>
          </w:tcPr>
          <w:p w14:paraId="64EC71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331.12±64.39</w:t>
            </w:r>
          </w:p>
        </w:tc>
        <w:tc>
          <w:tcPr>
            <w:tcW w:w="1091" w:type="pct"/>
          </w:tcPr>
          <w:p w14:paraId="5DB9AA0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231.60±104.74</w:t>
            </w:r>
          </w:p>
        </w:tc>
        <w:tc>
          <w:tcPr>
            <w:tcW w:w="425" w:type="pct"/>
          </w:tcPr>
          <w:p w14:paraId="36BDCCF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&lt;0.001*</w:t>
            </w:r>
          </w:p>
        </w:tc>
      </w:tr>
      <w:tr w14:paraId="578034F8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347" w:type="pct"/>
            <w:noWrap/>
          </w:tcPr>
          <w:p w14:paraId="43785A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L1 cortical average thickness, mm</w:t>
            </w:r>
          </w:p>
        </w:tc>
        <w:tc>
          <w:tcPr>
            <w:tcW w:w="1137" w:type="pct"/>
            <w:noWrap/>
            <w:vAlign w:val="center"/>
          </w:tcPr>
          <w:p w14:paraId="7B427D5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2.96±0.52</w:t>
            </w:r>
          </w:p>
        </w:tc>
        <w:tc>
          <w:tcPr>
            <w:tcW w:w="1091" w:type="pct"/>
            <w:vAlign w:val="center"/>
          </w:tcPr>
          <w:p w14:paraId="40CE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1.85±0.87</w:t>
            </w:r>
          </w:p>
        </w:tc>
        <w:tc>
          <w:tcPr>
            <w:tcW w:w="425" w:type="pct"/>
          </w:tcPr>
          <w:p w14:paraId="4A2A65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&lt;0.001*</w:t>
            </w:r>
          </w:p>
        </w:tc>
      </w:tr>
      <w:tr w14:paraId="4EA1F77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347" w:type="pct"/>
            <w:noWrap/>
          </w:tcPr>
          <w:p w14:paraId="6C7CFC2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L1 cortical volume, mm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7" w:type="pct"/>
            <w:noWrap/>
            <w:vAlign w:val="center"/>
          </w:tcPr>
          <w:p w14:paraId="11E2AA9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9205.28±2210.73</w:t>
            </w:r>
          </w:p>
        </w:tc>
        <w:tc>
          <w:tcPr>
            <w:tcW w:w="1091" w:type="pct"/>
            <w:vAlign w:val="center"/>
          </w:tcPr>
          <w:p w14:paraId="3FB6C9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5832.65±3014.50</w:t>
            </w:r>
          </w:p>
        </w:tc>
        <w:tc>
          <w:tcPr>
            <w:tcW w:w="425" w:type="pct"/>
          </w:tcPr>
          <w:p w14:paraId="624A120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&lt;0.001*</w:t>
            </w:r>
          </w:p>
        </w:tc>
      </w:tr>
      <w:tr w14:paraId="442824B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347" w:type="pct"/>
            <w:noWrap/>
          </w:tcPr>
          <w:p w14:paraId="369EC2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L1 average maximum diameter length of trabecular, µm</w:t>
            </w:r>
          </w:p>
        </w:tc>
        <w:tc>
          <w:tcPr>
            <w:tcW w:w="1137" w:type="pct"/>
            <w:noWrap/>
            <w:vAlign w:val="center"/>
          </w:tcPr>
          <w:p w14:paraId="0385884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17.81±9.71</w:t>
            </w:r>
          </w:p>
        </w:tc>
        <w:tc>
          <w:tcPr>
            <w:tcW w:w="1091" w:type="pct"/>
            <w:vAlign w:val="center"/>
          </w:tcPr>
          <w:p w14:paraId="34CA564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23.08±8.63</w:t>
            </w:r>
          </w:p>
        </w:tc>
        <w:tc>
          <w:tcPr>
            <w:tcW w:w="425" w:type="pct"/>
          </w:tcPr>
          <w:p w14:paraId="515BA72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0.011*</w:t>
            </w:r>
          </w:p>
        </w:tc>
      </w:tr>
      <w:tr w14:paraId="7065411E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347" w:type="pct"/>
            <w:noWrap/>
          </w:tcPr>
          <w:p w14:paraId="5316288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L1 average minimum diameter length of trabecular, µm</w:t>
            </w:r>
          </w:p>
        </w:tc>
        <w:tc>
          <w:tcPr>
            <w:tcW w:w="1137" w:type="pct"/>
            <w:noWrap/>
            <w:vAlign w:val="center"/>
          </w:tcPr>
          <w:p w14:paraId="141D69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14.81±6.60</w:t>
            </w:r>
          </w:p>
        </w:tc>
        <w:tc>
          <w:tcPr>
            <w:tcW w:w="1091" w:type="pct"/>
            <w:vAlign w:val="center"/>
          </w:tcPr>
          <w:p w14:paraId="4767545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17.94±6.48</w:t>
            </w:r>
          </w:p>
        </w:tc>
        <w:tc>
          <w:tcPr>
            <w:tcW w:w="425" w:type="pct"/>
          </w:tcPr>
          <w:p w14:paraId="621C3D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0.031*</w:t>
            </w:r>
          </w:p>
        </w:tc>
      </w:tr>
      <w:tr w14:paraId="3DE7457E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347" w:type="pct"/>
            <w:tcBorders>
              <w:bottom w:val="single" w:color="auto" w:sz="12" w:space="0"/>
            </w:tcBorders>
            <w:noWrap/>
          </w:tcPr>
          <w:p w14:paraId="7780097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L1 trabecular volume, µm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7" w:type="pct"/>
            <w:tcBorders>
              <w:bottom w:val="single" w:color="auto" w:sz="12" w:space="0"/>
            </w:tcBorders>
            <w:noWrap/>
            <w:vAlign w:val="center"/>
          </w:tcPr>
          <w:p w14:paraId="05F7237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16858.70±5879.00</w:t>
            </w:r>
          </w:p>
        </w:tc>
        <w:tc>
          <w:tcPr>
            <w:tcW w:w="1091" w:type="pct"/>
            <w:tcBorders>
              <w:bottom w:val="single" w:color="auto" w:sz="12" w:space="0"/>
            </w:tcBorders>
            <w:vAlign w:val="center"/>
          </w:tcPr>
          <w:p w14:paraId="7518905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14871.38±9211.28</w:t>
            </w:r>
          </w:p>
        </w:tc>
        <w:tc>
          <w:tcPr>
            <w:tcW w:w="425" w:type="pct"/>
            <w:tcBorders>
              <w:bottom w:val="single" w:color="auto" w:sz="12" w:space="0"/>
            </w:tcBorders>
          </w:tcPr>
          <w:p w14:paraId="4A65C94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0.227</w:t>
            </w:r>
          </w:p>
        </w:tc>
      </w:tr>
    </w:tbl>
    <w:p w14:paraId="6C61BC0D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Abbreviations: hemoglobin: HGB; glycated hemoglobin: HbA1C; hypersensitive C-reactive protein: hCRP; high density lipoprotein: HDL; low density lipoprotein: LDL; triglyceride: TG; total cholesterol: TC; free fatty acid: FFA; glucose: GLU. Statistical significance was defined as *</w:t>
      </w:r>
      <w:r>
        <w:rPr>
          <w:rFonts w:ascii="Times New Roman" w:hAnsi="Times New Roman" w:cs="Times New Roman"/>
          <w:i/>
          <w:iCs/>
          <w:sz w:val="16"/>
          <w:szCs w:val="16"/>
        </w:rPr>
        <w:t>P</w:t>
      </w:r>
      <w:r>
        <w:rPr>
          <w:rFonts w:ascii="Times New Roman" w:hAnsi="Times New Roman" w:cs="Times New Roman"/>
          <w:sz w:val="16"/>
          <w:szCs w:val="16"/>
        </w:rPr>
        <w:t xml:space="preserve"> &lt; 0.05. </w:t>
      </w:r>
    </w:p>
    <w:p w14:paraId="7C783149">
      <w:pPr>
        <w:pStyle w:val="2"/>
        <w:shd w:val="clear" w:color="auto" w:fill="FFFFFF"/>
        <w:wordWrap w:val="0"/>
        <w:spacing w:line="480" w:lineRule="auto"/>
        <w:rPr>
          <w:rFonts w:ascii="Times New Roman" w:hAnsi="Times New Roman" w:cs="Times New Roman"/>
          <w:b/>
          <w:bCs/>
          <w:sz w:val="16"/>
          <w:szCs w:val="16"/>
        </w:rPr>
      </w:pPr>
    </w:p>
    <w:p w14:paraId="2A07B362">
      <w:pPr>
        <w:pStyle w:val="2"/>
        <w:shd w:val="clear" w:color="auto" w:fill="FFFFFF"/>
        <w:spacing w:line="48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  <w:t xml:space="preserve">Table S3 </w:t>
      </w:r>
      <w:r>
        <w:rPr>
          <w:rFonts w:ascii="Times New Roman" w:hAnsi="Times New Roman" w:cs="Times New Roman"/>
          <w:sz w:val="16"/>
          <w:szCs w:val="16"/>
        </w:rPr>
        <w:t>Clinical and vertebral structural data in non-fractured and fractured groups in the age group of &gt;70 years old</w:t>
      </w:r>
    </w:p>
    <w:tbl>
      <w:tblPr>
        <w:tblStyle w:val="3"/>
        <w:tblW w:w="4998" w:type="pct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55"/>
        <w:gridCol w:w="2050"/>
        <w:gridCol w:w="1864"/>
        <w:gridCol w:w="750"/>
      </w:tblGrid>
      <w:tr w14:paraId="672AA61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" w:hRule="atLeast"/>
          <w:jc w:val="center"/>
        </w:trPr>
        <w:tc>
          <w:tcPr>
            <w:tcW w:w="2263" w:type="pct"/>
            <w:vMerge w:val="restart"/>
            <w:tcBorders>
              <w:top w:val="single" w:color="auto" w:sz="12" w:space="0"/>
            </w:tcBorders>
          </w:tcPr>
          <w:p w14:paraId="047985CE">
            <w:pPr>
              <w:spacing w:line="480" w:lineRule="auto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pacing w:val="15"/>
                <w:sz w:val="16"/>
                <w:szCs w:val="16"/>
              </w:rPr>
              <w:t>Clinical data</w:t>
            </w:r>
          </w:p>
        </w:tc>
        <w:tc>
          <w:tcPr>
            <w:tcW w:w="2737" w:type="pct"/>
            <w:gridSpan w:val="3"/>
            <w:tcBorders>
              <w:top w:val="single" w:color="auto" w:sz="12" w:space="0"/>
              <w:bottom w:val="single" w:color="auto" w:sz="12" w:space="0"/>
            </w:tcBorders>
          </w:tcPr>
          <w:p w14:paraId="450EE316">
            <w:pPr>
              <w:spacing w:line="480" w:lineRule="auto"/>
              <w:jc w:val="center"/>
              <w:rPr>
                <w:rFonts w:ascii="Times New Roman" w:hAnsi="Times New Roman" w:cs="Times New Roman"/>
                <w:i/>
                <w:iCs/>
                <w:spacing w:val="15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pacing w:val="15"/>
                <w:sz w:val="16"/>
                <w:szCs w:val="16"/>
              </w:rPr>
              <w:t>&gt;70 years (n=61)</w:t>
            </w:r>
          </w:p>
        </w:tc>
      </w:tr>
      <w:tr w14:paraId="6A49FAA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" w:hRule="atLeast"/>
          <w:jc w:val="center"/>
        </w:trPr>
        <w:tc>
          <w:tcPr>
            <w:tcW w:w="2263" w:type="pct"/>
            <w:vMerge w:val="continue"/>
            <w:tcBorders>
              <w:bottom w:val="single" w:color="auto" w:sz="12" w:space="0"/>
            </w:tcBorders>
          </w:tcPr>
          <w:p w14:paraId="6A33D903">
            <w:pPr>
              <w:spacing w:line="480" w:lineRule="auto"/>
              <w:jc w:val="left"/>
              <w:rPr>
                <w:rFonts w:ascii="Times New Roman" w:hAnsi="Times New Roman" w:cs="Times New Roman"/>
                <w:spacing w:val="15"/>
                <w:sz w:val="16"/>
                <w:szCs w:val="16"/>
              </w:rPr>
            </w:pPr>
          </w:p>
        </w:tc>
        <w:tc>
          <w:tcPr>
            <w:tcW w:w="1203" w:type="pct"/>
            <w:tcBorders>
              <w:top w:val="single" w:color="auto" w:sz="12" w:space="0"/>
              <w:bottom w:val="single" w:color="auto" w:sz="12" w:space="0"/>
            </w:tcBorders>
          </w:tcPr>
          <w:p w14:paraId="62193B8D">
            <w:pPr>
              <w:spacing w:line="480" w:lineRule="auto"/>
              <w:jc w:val="left"/>
              <w:rPr>
                <w:rFonts w:ascii="Times New Roman" w:hAnsi="Times New Roman" w:cs="Times New Roman"/>
                <w:spacing w:val="15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pacing w:val="15"/>
                <w:sz w:val="16"/>
                <w:szCs w:val="16"/>
              </w:rPr>
              <w:t>Non-fractured (n=37)</w:t>
            </w:r>
          </w:p>
        </w:tc>
        <w:tc>
          <w:tcPr>
            <w:tcW w:w="1094" w:type="pct"/>
            <w:tcBorders>
              <w:top w:val="single" w:color="auto" w:sz="12" w:space="0"/>
              <w:bottom w:val="single" w:color="auto" w:sz="12" w:space="0"/>
            </w:tcBorders>
          </w:tcPr>
          <w:p w14:paraId="7D0E8CE6">
            <w:pPr>
              <w:spacing w:line="480" w:lineRule="auto"/>
              <w:jc w:val="left"/>
              <w:rPr>
                <w:rFonts w:ascii="Times New Roman" w:hAnsi="Times New Roman" w:cs="Times New Roman"/>
                <w:spacing w:val="15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pacing w:val="15"/>
                <w:sz w:val="16"/>
                <w:szCs w:val="16"/>
              </w:rPr>
              <w:t>Fractured (n=24)</w:t>
            </w:r>
          </w:p>
        </w:tc>
        <w:tc>
          <w:tcPr>
            <w:tcW w:w="439" w:type="pct"/>
            <w:tcBorders>
              <w:bottom w:val="single" w:color="auto" w:sz="12" w:space="0"/>
            </w:tcBorders>
          </w:tcPr>
          <w:p w14:paraId="32405D59">
            <w:pPr>
              <w:spacing w:line="480" w:lineRule="auto"/>
              <w:jc w:val="left"/>
              <w:rPr>
                <w:rFonts w:ascii="Times New Roman" w:hAnsi="Times New Roman" w:cs="Times New Roman"/>
                <w:i/>
                <w:iCs/>
                <w:spacing w:val="15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pacing w:val="15"/>
                <w:sz w:val="16"/>
                <w:szCs w:val="16"/>
              </w:rPr>
              <w:t>P</w:t>
            </w:r>
          </w:p>
        </w:tc>
      </w:tr>
      <w:tr w14:paraId="46B92CDE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  <w:jc w:val="center"/>
        </w:trPr>
        <w:tc>
          <w:tcPr>
            <w:tcW w:w="2263" w:type="pct"/>
            <w:tcBorders>
              <w:top w:val="single" w:color="auto" w:sz="12" w:space="0"/>
            </w:tcBorders>
            <w:noWrap/>
          </w:tcPr>
          <w:p w14:paraId="33225C1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Age, years</w:t>
            </w:r>
          </w:p>
        </w:tc>
        <w:tc>
          <w:tcPr>
            <w:tcW w:w="1203" w:type="pct"/>
            <w:tcBorders>
              <w:top w:val="single" w:color="auto" w:sz="12" w:space="0"/>
            </w:tcBorders>
          </w:tcPr>
          <w:p w14:paraId="4832F2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76.19±4.21</w:t>
            </w:r>
          </w:p>
        </w:tc>
        <w:tc>
          <w:tcPr>
            <w:tcW w:w="1094" w:type="pct"/>
            <w:tcBorders>
              <w:top w:val="single" w:color="auto" w:sz="12" w:space="0"/>
            </w:tcBorders>
          </w:tcPr>
          <w:p w14:paraId="6583BD8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77.67±5.47</w:t>
            </w:r>
          </w:p>
        </w:tc>
        <w:tc>
          <w:tcPr>
            <w:tcW w:w="439" w:type="pct"/>
            <w:tcBorders>
              <w:top w:val="single" w:color="auto" w:sz="12" w:space="0"/>
            </w:tcBorders>
          </w:tcPr>
          <w:p w14:paraId="0A0A43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0.239</w:t>
            </w:r>
          </w:p>
        </w:tc>
      </w:tr>
      <w:tr w14:paraId="22A2360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263" w:type="pct"/>
            <w:noWrap/>
          </w:tcPr>
          <w:p w14:paraId="48FB20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Male, n(%)</w:t>
            </w:r>
          </w:p>
        </w:tc>
        <w:tc>
          <w:tcPr>
            <w:tcW w:w="1203" w:type="pct"/>
          </w:tcPr>
          <w:p w14:paraId="651FB47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 (54)</w:t>
            </w:r>
          </w:p>
        </w:tc>
        <w:tc>
          <w:tcPr>
            <w:tcW w:w="1094" w:type="pct"/>
          </w:tcPr>
          <w:p w14:paraId="0C5B8D0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 (67)</w:t>
            </w:r>
          </w:p>
        </w:tc>
        <w:tc>
          <w:tcPr>
            <w:tcW w:w="439" w:type="pct"/>
          </w:tcPr>
          <w:p w14:paraId="2F3F18A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0.476</w:t>
            </w:r>
          </w:p>
        </w:tc>
      </w:tr>
      <w:tr w14:paraId="3AFAFAB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263" w:type="pct"/>
            <w:noWrap/>
          </w:tcPr>
          <w:p w14:paraId="43FEB50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HGB, g/L</w:t>
            </w:r>
          </w:p>
        </w:tc>
        <w:tc>
          <w:tcPr>
            <w:tcW w:w="1203" w:type="pct"/>
          </w:tcPr>
          <w:p w14:paraId="1D74BB1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118.68±28.34</w:t>
            </w:r>
          </w:p>
        </w:tc>
        <w:tc>
          <w:tcPr>
            <w:tcW w:w="1094" w:type="pct"/>
          </w:tcPr>
          <w:p w14:paraId="223B50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114.88±21.09</w:t>
            </w:r>
          </w:p>
        </w:tc>
        <w:tc>
          <w:tcPr>
            <w:tcW w:w="439" w:type="pct"/>
          </w:tcPr>
          <w:p w14:paraId="588680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0.576</w:t>
            </w:r>
          </w:p>
        </w:tc>
      </w:tr>
      <w:tr w14:paraId="4F7DF0F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263" w:type="pct"/>
            <w:noWrap/>
          </w:tcPr>
          <w:p w14:paraId="4970519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HbA1C, mmol/L</w:t>
            </w:r>
          </w:p>
        </w:tc>
        <w:tc>
          <w:tcPr>
            <w:tcW w:w="1203" w:type="pct"/>
          </w:tcPr>
          <w:p w14:paraId="74F7AA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6.94±1.92</w:t>
            </w:r>
          </w:p>
        </w:tc>
        <w:tc>
          <w:tcPr>
            <w:tcW w:w="1094" w:type="pct"/>
          </w:tcPr>
          <w:p w14:paraId="5C523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7.35±1.88</w:t>
            </w:r>
          </w:p>
        </w:tc>
        <w:tc>
          <w:tcPr>
            <w:tcW w:w="439" w:type="pct"/>
          </w:tcPr>
          <w:p w14:paraId="5969EB8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0.409</w:t>
            </w:r>
          </w:p>
        </w:tc>
      </w:tr>
      <w:tr w14:paraId="3DE8681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263" w:type="pct"/>
            <w:noWrap/>
          </w:tcPr>
          <w:p w14:paraId="2D90FEE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HDL, mmol/L</w:t>
            </w:r>
          </w:p>
        </w:tc>
        <w:tc>
          <w:tcPr>
            <w:tcW w:w="1203" w:type="pct"/>
          </w:tcPr>
          <w:p w14:paraId="2E90BE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1.26±0.36</w:t>
            </w:r>
          </w:p>
        </w:tc>
        <w:tc>
          <w:tcPr>
            <w:tcW w:w="1094" w:type="pct"/>
          </w:tcPr>
          <w:p w14:paraId="01F5F1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1.20±0.22</w:t>
            </w:r>
          </w:p>
        </w:tc>
        <w:tc>
          <w:tcPr>
            <w:tcW w:w="439" w:type="pct"/>
          </w:tcPr>
          <w:p w14:paraId="533BF30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0.455</w:t>
            </w:r>
          </w:p>
        </w:tc>
      </w:tr>
      <w:tr w14:paraId="6CECE61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263" w:type="pct"/>
            <w:noWrap/>
          </w:tcPr>
          <w:p w14:paraId="17EDD2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LDL, mmol/L</w:t>
            </w:r>
          </w:p>
        </w:tc>
        <w:tc>
          <w:tcPr>
            <w:tcW w:w="1203" w:type="pct"/>
          </w:tcPr>
          <w:p w14:paraId="19A245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2.77±1.01</w:t>
            </w:r>
          </w:p>
        </w:tc>
        <w:tc>
          <w:tcPr>
            <w:tcW w:w="1094" w:type="pct"/>
          </w:tcPr>
          <w:p w14:paraId="01607E9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2.70±0.85</w:t>
            </w:r>
          </w:p>
        </w:tc>
        <w:tc>
          <w:tcPr>
            <w:tcW w:w="439" w:type="pct"/>
          </w:tcPr>
          <w:p w14:paraId="6DE45D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0.777</w:t>
            </w:r>
          </w:p>
        </w:tc>
      </w:tr>
      <w:tr w14:paraId="5A6A1C2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263" w:type="pct"/>
            <w:noWrap/>
          </w:tcPr>
          <w:p w14:paraId="5742E76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TG, mmol/L</w:t>
            </w:r>
          </w:p>
        </w:tc>
        <w:tc>
          <w:tcPr>
            <w:tcW w:w="1203" w:type="pct"/>
          </w:tcPr>
          <w:p w14:paraId="3CB524E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1.57±1.77</w:t>
            </w:r>
          </w:p>
        </w:tc>
        <w:tc>
          <w:tcPr>
            <w:tcW w:w="1094" w:type="pct"/>
          </w:tcPr>
          <w:p w14:paraId="0C567A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1.52±1.45</w:t>
            </w:r>
          </w:p>
        </w:tc>
        <w:tc>
          <w:tcPr>
            <w:tcW w:w="439" w:type="pct"/>
          </w:tcPr>
          <w:p w14:paraId="6C9CE78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0.920</w:t>
            </w:r>
          </w:p>
        </w:tc>
      </w:tr>
      <w:tr w14:paraId="7DFC908E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263" w:type="pct"/>
            <w:noWrap/>
          </w:tcPr>
          <w:p w14:paraId="33C7BBC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TC, mmol/L</w:t>
            </w:r>
          </w:p>
        </w:tc>
        <w:tc>
          <w:tcPr>
            <w:tcW w:w="1203" w:type="pct"/>
          </w:tcPr>
          <w:p w14:paraId="107C45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4.38±1.06</w:t>
            </w:r>
          </w:p>
        </w:tc>
        <w:tc>
          <w:tcPr>
            <w:tcW w:w="1094" w:type="pct"/>
          </w:tcPr>
          <w:p w14:paraId="0A86B2D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4.42±1.19</w:t>
            </w:r>
          </w:p>
        </w:tc>
        <w:tc>
          <w:tcPr>
            <w:tcW w:w="439" w:type="pct"/>
          </w:tcPr>
          <w:p w14:paraId="6C8679D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0.892</w:t>
            </w:r>
          </w:p>
        </w:tc>
      </w:tr>
      <w:tr w14:paraId="2EF95271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263" w:type="pct"/>
            <w:noWrap/>
          </w:tcPr>
          <w:p w14:paraId="5D428F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FFA, mmol/L</w:t>
            </w:r>
          </w:p>
        </w:tc>
        <w:tc>
          <w:tcPr>
            <w:tcW w:w="1203" w:type="pct"/>
          </w:tcPr>
          <w:p w14:paraId="5D9AFF9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0.55±0.28</w:t>
            </w:r>
          </w:p>
        </w:tc>
        <w:tc>
          <w:tcPr>
            <w:tcW w:w="1094" w:type="pct"/>
          </w:tcPr>
          <w:p w14:paraId="1E4BB7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0.56±0.20</w:t>
            </w:r>
          </w:p>
        </w:tc>
        <w:tc>
          <w:tcPr>
            <w:tcW w:w="439" w:type="pct"/>
          </w:tcPr>
          <w:p w14:paraId="59D3D7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0.918</w:t>
            </w:r>
          </w:p>
        </w:tc>
      </w:tr>
      <w:tr w14:paraId="2005168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263" w:type="pct"/>
            <w:noWrap/>
          </w:tcPr>
          <w:p w14:paraId="2DDC7C1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GLU, mmol/L</w:t>
            </w:r>
          </w:p>
        </w:tc>
        <w:tc>
          <w:tcPr>
            <w:tcW w:w="1203" w:type="pct"/>
          </w:tcPr>
          <w:p w14:paraId="7E922DD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5.80±2.08</w:t>
            </w:r>
          </w:p>
        </w:tc>
        <w:tc>
          <w:tcPr>
            <w:tcW w:w="1094" w:type="pct"/>
          </w:tcPr>
          <w:p w14:paraId="48F477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6.36±2.21</w:t>
            </w:r>
          </w:p>
        </w:tc>
        <w:tc>
          <w:tcPr>
            <w:tcW w:w="439" w:type="pct"/>
          </w:tcPr>
          <w:p w14:paraId="658AFC7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0.317</w:t>
            </w:r>
          </w:p>
        </w:tc>
      </w:tr>
      <w:tr w14:paraId="0B74316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263" w:type="pct"/>
            <w:noWrap/>
          </w:tcPr>
          <w:p w14:paraId="7E3E586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hCRP, mg/L</w:t>
            </w:r>
          </w:p>
        </w:tc>
        <w:tc>
          <w:tcPr>
            <w:tcW w:w="1203" w:type="pct"/>
          </w:tcPr>
          <w:p w14:paraId="38D2C1C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4.64±7.98</w:t>
            </w:r>
          </w:p>
        </w:tc>
        <w:tc>
          <w:tcPr>
            <w:tcW w:w="1094" w:type="pct"/>
          </w:tcPr>
          <w:p w14:paraId="086015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8.26±20.67</w:t>
            </w:r>
          </w:p>
        </w:tc>
        <w:tc>
          <w:tcPr>
            <w:tcW w:w="439" w:type="pct"/>
          </w:tcPr>
          <w:p w14:paraId="6912A5E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0.340</w:t>
            </w:r>
          </w:p>
        </w:tc>
      </w:tr>
      <w:tr w14:paraId="0BBE500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263" w:type="pct"/>
            <w:noWrap/>
          </w:tcPr>
          <w:p w14:paraId="039891D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L1 cortical average area, mm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03" w:type="pct"/>
          </w:tcPr>
          <w:p w14:paraId="0F1EBE6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307.33±85.46</w:t>
            </w:r>
          </w:p>
        </w:tc>
        <w:tc>
          <w:tcPr>
            <w:tcW w:w="1094" w:type="pct"/>
          </w:tcPr>
          <w:p w14:paraId="297AD66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144.58±78.53</w:t>
            </w:r>
          </w:p>
        </w:tc>
        <w:tc>
          <w:tcPr>
            <w:tcW w:w="439" w:type="pct"/>
          </w:tcPr>
          <w:p w14:paraId="687FD94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&lt;0.001*</w:t>
            </w:r>
          </w:p>
        </w:tc>
      </w:tr>
      <w:tr w14:paraId="0FBE7ED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263" w:type="pct"/>
            <w:noWrap/>
          </w:tcPr>
          <w:p w14:paraId="1F1200D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L1 cortical average thickness, mm</w:t>
            </w:r>
          </w:p>
        </w:tc>
        <w:tc>
          <w:tcPr>
            <w:tcW w:w="1203" w:type="pct"/>
          </w:tcPr>
          <w:p w14:paraId="10B6936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2.79±0.56</w:t>
            </w:r>
          </w:p>
        </w:tc>
        <w:tc>
          <w:tcPr>
            <w:tcW w:w="1094" w:type="pct"/>
          </w:tcPr>
          <w:p w14:paraId="47413D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1.28±0.71</w:t>
            </w:r>
          </w:p>
        </w:tc>
        <w:tc>
          <w:tcPr>
            <w:tcW w:w="439" w:type="pct"/>
          </w:tcPr>
          <w:p w14:paraId="2CCEAC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&lt;0.001*</w:t>
            </w:r>
          </w:p>
        </w:tc>
      </w:tr>
      <w:tr w14:paraId="368B1D1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263" w:type="pct"/>
            <w:noWrap/>
          </w:tcPr>
          <w:p w14:paraId="1A15650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L1 cortical volume, mm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203" w:type="pct"/>
          </w:tcPr>
          <w:p w14:paraId="41D1DD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8755.09±2277.09</w:t>
            </w:r>
          </w:p>
        </w:tc>
        <w:tc>
          <w:tcPr>
            <w:tcW w:w="1094" w:type="pct"/>
          </w:tcPr>
          <w:p w14:paraId="2B1AA40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3456.92±2371.30</w:t>
            </w:r>
          </w:p>
        </w:tc>
        <w:tc>
          <w:tcPr>
            <w:tcW w:w="439" w:type="pct"/>
          </w:tcPr>
          <w:p w14:paraId="3812712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&lt;0.001*</w:t>
            </w:r>
          </w:p>
        </w:tc>
      </w:tr>
      <w:tr w14:paraId="2B22900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263" w:type="pct"/>
            <w:noWrap/>
          </w:tcPr>
          <w:p w14:paraId="11E7B8E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L1 average maximum diameter length of trabecular, µm</w:t>
            </w:r>
          </w:p>
        </w:tc>
        <w:tc>
          <w:tcPr>
            <w:tcW w:w="1203" w:type="pct"/>
          </w:tcPr>
          <w:p w14:paraId="01AC21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16.16±9.91</w:t>
            </w:r>
          </w:p>
        </w:tc>
        <w:tc>
          <w:tcPr>
            <w:tcW w:w="1094" w:type="pct"/>
          </w:tcPr>
          <w:p w14:paraId="439680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21.41±10.74</w:t>
            </w:r>
          </w:p>
        </w:tc>
        <w:tc>
          <w:tcPr>
            <w:tcW w:w="439" w:type="pct"/>
          </w:tcPr>
          <w:p w14:paraId="7FCB08E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0.055</w:t>
            </w:r>
          </w:p>
        </w:tc>
      </w:tr>
      <w:tr w14:paraId="23A36EA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263" w:type="pct"/>
            <w:noWrap/>
          </w:tcPr>
          <w:p w14:paraId="67FCB9F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L1 average minimum diameter length of trabecular, µm</w:t>
            </w:r>
          </w:p>
        </w:tc>
        <w:tc>
          <w:tcPr>
            <w:tcW w:w="1203" w:type="pct"/>
          </w:tcPr>
          <w:p w14:paraId="6576BC2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11.70±7.62</w:t>
            </w:r>
          </w:p>
        </w:tc>
        <w:tc>
          <w:tcPr>
            <w:tcW w:w="1094" w:type="pct"/>
          </w:tcPr>
          <w:p w14:paraId="171DF1D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13.42±8.02</w:t>
            </w:r>
          </w:p>
        </w:tc>
        <w:tc>
          <w:tcPr>
            <w:tcW w:w="439" w:type="pct"/>
          </w:tcPr>
          <w:p w14:paraId="72D2FF9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0.401</w:t>
            </w:r>
          </w:p>
        </w:tc>
      </w:tr>
      <w:tr w14:paraId="24947CB8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263" w:type="pct"/>
            <w:tcBorders>
              <w:bottom w:val="single" w:color="auto" w:sz="12" w:space="0"/>
            </w:tcBorders>
            <w:noWrap/>
          </w:tcPr>
          <w:p w14:paraId="4FD935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L1 trabecular volume, µm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203" w:type="pct"/>
            <w:tcBorders>
              <w:bottom w:val="single" w:color="auto" w:sz="12" w:space="0"/>
            </w:tcBorders>
          </w:tcPr>
          <w:p w14:paraId="5AE6E6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14896.90±7543.00</w:t>
            </w:r>
          </w:p>
        </w:tc>
        <w:tc>
          <w:tcPr>
            <w:tcW w:w="1094" w:type="pct"/>
            <w:tcBorders>
              <w:bottom w:val="single" w:color="auto" w:sz="12" w:space="0"/>
            </w:tcBorders>
          </w:tcPr>
          <w:p w14:paraId="6735704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21731.99±58146.72</w:t>
            </w:r>
          </w:p>
        </w:tc>
        <w:tc>
          <w:tcPr>
            <w:tcW w:w="439" w:type="pct"/>
            <w:tcBorders>
              <w:bottom w:val="single" w:color="auto" w:sz="12" w:space="0"/>
            </w:tcBorders>
          </w:tcPr>
          <w:p w14:paraId="08223D4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0.481</w:t>
            </w:r>
          </w:p>
        </w:tc>
      </w:tr>
    </w:tbl>
    <w:p w14:paraId="6F8168B8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Abbreviations: hemoglobin: HGB; glycated hemoglobin: HbA1C; hypersensitive C-reactive protein: hCRP; high density lipoprotein: HDL; low density lipoprotein: LDL; triglyceride: TG; total cholesterol: TC; free fatty acid: FFA; glucose: GLU. Statistical significance was defined as *</w:t>
      </w:r>
      <w:r>
        <w:rPr>
          <w:rFonts w:ascii="Times New Roman" w:hAnsi="Times New Roman" w:cs="Times New Roman"/>
          <w:i/>
          <w:iCs/>
          <w:sz w:val="16"/>
          <w:szCs w:val="16"/>
        </w:rPr>
        <w:t>P</w:t>
      </w:r>
      <w:r>
        <w:rPr>
          <w:rFonts w:ascii="Times New Roman" w:hAnsi="Times New Roman" w:cs="Times New Roman"/>
          <w:sz w:val="16"/>
          <w:szCs w:val="16"/>
        </w:rPr>
        <w:t xml:space="preserve"> &lt; 0.05. </w:t>
      </w:r>
      <w:bookmarkStart w:id="0" w:name="_GoBack"/>
      <w:bookmarkEnd w:id="0"/>
    </w:p>
    <w:p w14:paraId="529B5ECB">
      <w:pPr>
        <w:rPr>
          <w:rFonts w:ascii="Times New Roman" w:hAnsi="Times New Roman" w:cs="Times New Roman"/>
          <w:sz w:val="16"/>
          <w:szCs w:val="16"/>
        </w:rPr>
      </w:pPr>
    </w:p>
    <w:p w14:paraId="17BE73B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Table S4 Exploratory age-stratified discrimination of the final nomogram score in the overall cohort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1"/>
        <w:gridCol w:w="1661"/>
        <w:gridCol w:w="1661"/>
        <w:gridCol w:w="1661"/>
        <w:gridCol w:w="1661"/>
      </w:tblGrid>
      <w:tr w14:paraId="53C120C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1" w:type="dxa"/>
            <w:tcBorders>
              <w:top w:val="single" w:color="auto" w:sz="12" w:space="0"/>
              <w:bottom w:val="single" w:color="auto" w:sz="12" w:space="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06976D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Age group</w:t>
            </w:r>
          </w:p>
        </w:tc>
        <w:tc>
          <w:tcPr>
            <w:tcW w:w="1661" w:type="dxa"/>
            <w:tcBorders>
              <w:top w:val="single" w:color="auto" w:sz="12" w:space="0"/>
              <w:bottom w:val="single" w:color="auto" w:sz="12" w:space="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901D82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Total n</w:t>
            </w:r>
          </w:p>
        </w:tc>
        <w:tc>
          <w:tcPr>
            <w:tcW w:w="1661" w:type="dxa"/>
            <w:tcBorders>
              <w:top w:val="single" w:color="auto" w:sz="12" w:space="0"/>
              <w:bottom w:val="single" w:color="auto" w:sz="12" w:space="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6CDF7C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Non-fractured n</w:t>
            </w:r>
          </w:p>
        </w:tc>
        <w:tc>
          <w:tcPr>
            <w:tcW w:w="1661" w:type="dxa"/>
            <w:tcBorders>
              <w:top w:val="single" w:color="auto" w:sz="12" w:space="0"/>
              <w:bottom w:val="single" w:color="auto" w:sz="12" w:space="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6A885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Fractured n</w:t>
            </w:r>
          </w:p>
        </w:tc>
        <w:tc>
          <w:tcPr>
            <w:tcW w:w="1661" w:type="dxa"/>
            <w:tcBorders>
              <w:top w:val="single" w:color="auto" w:sz="12" w:space="0"/>
              <w:bottom w:val="single" w:color="auto" w:sz="12" w:space="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A13C6D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AUC (95% CI)</w:t>
            </w:r>
          </w:p>
        </w:tc>
      </w:tr>
      <w:tr w14:paraId="17C0FA0E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1" w:type="dxa"/>
            <w:tcBorders>
              <w:top w:val="single" w:color="auto" w:sz="12" w:space="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313E60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45-60 years</w:t>
            </w:r>
          </w:p>
        </w:tc>
        <w:tc>
          <w:tcPr>
            <w:tcW w:w="1661" w:type="dxa"/>
            <w:tcBorders>
              <w:top w:val="single" w:color="auto" w:sz="12" w:space="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D6CBC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151</w:t>
            </w:r>
          </w:p>
        </w:tc>
        <w:tc>
          <w:tcPr>
            <w:tcW w:w="1661" w:type="dxa"/>
            <w:tcBorders>
              <w:top w:val="single" w:color="auto" w:sz="12" w:space="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F8408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78</w:t>
            </w:r>
          </w:p>
        </w:tc>
        <w:tc>
          <w:tcPr>
            <w:tcW w:w="1661" w:type="dxa"/>
            <w:tcBorders>
              <w:top w:val="single" w:color="auto" w:sz="12" w:space="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759C8B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73</w:t>
            </w:r>
          </w:p>
        </w:tc>
        <w:tc>
          <w:tcPr>
            <w:tcW w:w="1661" w:type="dxa"/>
            <w:tcBorders>
              <w:top w:val="single" w:color="auto" w:sz="12" w:space="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A77248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0.885 (0.827-0.935)</w:t>
            </w:r>
          </w:p>
        </w:tc>
      </w:tr>
      <w:tr w14:paraId="46AE458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145A89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61-70 years</w:t>
            </w:r>
          </w:p>
        </w:tc>
        <w:tc>
          <w:tcPr>
            <w:tcW w:w="166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861FA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86</w:t>
            </w:r>
          </w:p>
        </w:tc>
        <w:tc>
          <w:tcPr>
            <w:tcW w:w="166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1D9C94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49</w:t>
            </w:r>
          </w:p>
        </w:tc>
        <w:tc>
          <w:tcPr>
            <w:tcW w:w="166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B0BCF9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  <w:tc>
          <w:tcPr>
            <w:tcW w:w="166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F276D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0.873 (0.792-0.943)</w:t>
            </w:r>
          </w:p>
        </w:tc>
      </w:tr>
      <w:tr w14:paraId="1FE6426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1" w:type="dxa"/>
            <w:tcBorders>
              <w:bottom w:val="single" w:color="auto" w:sz="12" w:space="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6ADECC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&gt;70 years</w:t>
            </w:r>
          </w:p>
        </w:tc>
        <w:tc>
          <w:tcPr>
            <w:tcW w:w="1661" w:type="dxa"/>
            <w:tcBorders>
              <w:bottom w:val="single" w:color="auto" w:sz="12" w:space="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961C3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61</w:t>
            </w:r>
          </w:p>
        </w:tc>
        <w:tc>
          <w:tcPr>
            <w:tcW w:w="1661" w:type="dxa"/>
            <w:tcBorders>
              <w:bottom w:val="single" w:color="auto" w:sz="12" w:space="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68EF4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  <w:tc>
          <w:tcPr>
            <w:tcW w:w="1661" w:type="dxa"/>
            <w:tcBorders>
              <w:bottom w:val="single" w:color="auto" w:sz="12" w:space="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54BCE9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1661" w:type="dxa"/>
            <w:tcBorders>
              <w:bottom w:val="single" w:color="auto" w:sz="12" w:space="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840FA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0.935 (0.840-0.995)</w:t>
            </w:r>
          </w:p>
        </w:tc>
      </w:tr>
    </w:tbl>
    <w:p w14:paraId="5F8EB5D2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Note: Age-stratified discrimination was calculated exploratorily using the final nomogram score in the overall cohort. These subgroup estimates should be interpreted cautiously because of limited stratum-specific sample sizes.</w:t>
      </w:r>
    </w:p>
    <w:p w14:paraId="00E226EA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Abbreviations: area under the curve: AUC; confidence interval: CI.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ED4DA4"/>
    <w:rsid w:val="001C63BB"/>
    <w:rsid w:val="00386F86"/>
    <w:rsid w:val="00815817"/>
    <w:rsid w:val="2DA655F0"/>
    <w:rsid w:val="50700FA9"/>
    <w:rsid w:val="59BF5970"/>
    <w:rsid w:val="5BED4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semiHidden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610</Words>
  <Characters>3943</Characters>
  <Lines>32</Lines>
  <Paragraphs>9</Paragraphs>
  <TotalTime>4</TotalTime>
  <ScaleCrop>false</ScaleCrop>
  <LinksUpToDate>false</LinksUpToDate>
  <CharactersWithSpaces>4308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2025-11-26T09:09:00Z</dcterms:created>
  <dc:creator>苑筱晴</dc:creator>
  <cp:lastModifiedBy>姚倩倩</cp:lastModifiedBy>
  <dcterms:modified xsi:type="dcterms:W3CDTF">2026-03-28T08:41:30Z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2D3DAFFF71674A5FA2BCB30553D06E3C_11</vt:lpwstr>
  </property>
  <property fmtid="{D5CDD505-2E9C-101B-9397-08002B2CF9AE}" pid="4" name="KSOTemplateDocerSaveRecord">
    <vt:lpwstr>eyJoZGlkIjoiNzFhNGNjNjM4ZTZhN2ViYzYyNjQwZWYzMDdhMDViYjgiLCJ1c2VySWQiOiIzMDM5NTMxMzEifQ==</vt:lpwstr>
  </property>
</Properties>
</file>