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C2DC15" w14:textId="563B444E" w:rsidR="00FE531E" w:rsidRPr="004056F4" w:rsidRDefault="00FE531E" w:rsidP="00086EA6">
      <w:pPr>
        <w:spacing w:line="360" w:lineRule="auto"/>
        <w:jc w:val="both"/>
        <w:rPr>
          <w:rFonts w:ascii="Times New Roman" w:hAnsi="Times New Roman" w:cs="Times New Roman"/>
          <w:szCs w:val="22"/>
        </w:rPr>
      </w:pPr>
      <w:r w:rsidRPr="004056F4">
        <w:rPr>
          <w:rFonts w:ascii="Times New Roman" w:hAnsi="Times New Roman" w:cs="Times New Roman"/>
          <w:noProof/>
          <w:szCs w:val="22"/>
        </w:rPr>
        <w:drawing>
          <wp:inline distT="0" distB="0" distL="0" distR="0" wp14:anchorId="3AB8424C" wp14:editId="788857FB">
            <wp:extent cx="5274310" cy="3084830"/>
            <wp:effectExtent l="0" t="0" r="2540" b="1270"/>
            <wp:docPr id="17" name="图片 16" descr="图表&#10;&#10;AI 生成的内容可能不正确。">
              <a:extLst xmlns:a="http://schemas.openxmlformats.org/drawingml/2006/main">
                <a:ext uri="{FF2B5EF4-FFF2-40B4-BE49-F238E27FC236}">
                  <a16:creationId xmlns:a16="http://schemas.microsoft.com/office/drawing/2014/main" id="{0EE0BAA7-8703-2AA8-4DEC-0CC75EC1792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6" descr="图表&#10;&#10;AI 生成的内容可能不正确。">
                      <a:extLst>
                        <a:ext uri="{FF2B5EF4-FFF2-40B4-BE49-F238E27FC236}">
                          <a16:creationId xmlns:a16="http://schemas.microsoft.com/office/drawing/2014/main" id="{0EE0BAA7-8703-2AA8-4DEC-0CC75EC1792B}"/>
                        </a:ext>
                      </a:extLst>
                    </pic:cNvPr>
                    <pic:cNvPicPr>
                      <a:picLocks noChangeAspect="1"/>
                    </pic:cNvPicPr>
                  </pic:nvPicPr>
                  <pic:blipFill>
                    <a:blip r:embed="rId6"/>
                    <a:stretch>
                      <a:fillRect/>
                    </a:stretch>
                  </pic:blipFill>
                  <pic:spPr>
                    <a:xfrm>
                      <a:off x="0" y="0"/>
                      <a:ext cx="5274310" cy="3084830"/>
                    </a:xfrm>
                    <a:prstGeom prst="rect">
                      <a:avLst/>
                    </a:prstGeom>
                  </pic:spPr>
                </pic:pic>
              </a:graphicData>
            </a:graphic>
          </wp:inline>
        </w:drawing>
      </w:r>
    </w:p>
    <w:p w14:paraId="33DDBB8E" w14:textId="563D0CEC" w:rsidR="00FE531E" w:rsidRPr="004056F4" w:rsidRDefault="004056F4" w:rsidP="00086EA6">
      <w:pPr>
        <w:spacing w:line="360" w:lineRule="auto"/>
        <w:jc w:val="both"/>
        <w:rPr>
          <w:rFonts w:ascii="Times New Roman" w:hAnsi="Times New Roman" w:cs="Times New Roman"/>
          <w:szCs w:val="22"/>
        </w:rPr>
      </w:pPr>
      <w:r w:rsidRPr="004056F4">
        <w:rPr>
          <w:rFonts w:ascii="Times New Roman" w:hAnsi="Times New Roman" w:cs="Times New Roman"/>
          <w:b/>
          <w:bCs/>
          <w:szCs w:val="22"/>
        </w:rPr>
        <w:t>Figure S1.</w:t>
      </w:r>
      <w:r w:rsidRPr="004056F4">
        <w:rPr>
          <w:rFonts w:ascii="Times New Roman" w:hAnsi="Times New Roman" w:cs="Times New Roman"/>
          <w:szCs w:val="22"/>
        </w:rPr>
        <w:t xml:space="preserve"> Energy-dispersive X-ray spectroscopy (EDS) analysis was performed at an accelerating voltage of 200 kV. The results show that the material is mainly composed of N, O, Si, Cl, and Se. The characteristic peaks correspond to N K (0.392 keV), O K (0.525 keV), Si K (1.739 keV), Cl K (2.617 keV), and Se L (1.379 keV). Among them, O, Si, and Se are the predominant elements in the composite system, confirming the presence of the MSN (</w:t>
      </w:r>
      <w:proofErr w:type="spellStart"/>
      <w:r w:rsidRPr="004056F4">
        <w:rPr>
          <w:rFonts w:ascii="Times New Roman" w:hAnsi="Times New Roman" w:cs="Times New Roman"/>
          <w:szCs w:val="22"/>
        </w:rPr>
        <w:t>SiO</w:t>
      </w:r>
      <w:proofErr w:type="spellEnd"/>
      <w:r w:rsidRPr="004056F4">
        <w:rPr>
          <w:rFonts w:ascii="Times New Roman" w:hAnsi="Times New Roman" w:cs="Times New Roman"/>
          <w:szCs w:val="22"/>
        </w:rPr>
        <w:t>₂) carrier and the doped Se element.</w:t>
      </w:r>
    </w:p>
    <w:p w14:paraId="79816C67" w14:textId="77777777" w:rsidR="00FE531E" w:rsidRPr="004056F4" w:rsidRDefault="00FE531E" w:rsidP="00086EA6">
      <w:pPr>
        <w:spacing w:line="360" w:lineRule="auto"/>
        <w:jc w:val="both"/>
        <w:rPr>
          <w:rFonts w:ascii="Times New Roman" w:hAnsi="Times New Roman" w:cs="Times New Roman"/>
          <w:szCs w:val="22"/>
        </w:rPr>
      </w:pPr>
    </w:p>
    <w:p w14:paraId="341906D6" w14:textId="77777777" w:rsidR="00FE531E" w:rsidRPr="004056F4" w:rsidRDefault="00FE531E" w:rsidP="00086EA6">
      <w:pPr>
        <w:spacing w:line="360" w:lineRule="auto"/>
        <w:jc w:val="both"/>
        <w:rPr>
          <w:rFonts w:ascii="Times New Roman" w:hAnsi="Times New Roman" w:cs="Times New Roman"/>
          <w:szCs w:val="22"/>
        </w:rPr>
      </w:pPr>
    </w:p>
    <w:p w14:paraId="6549E8DF" w14:textId="07E2BF88" w:rsidR="00FE531E" w:rsidRPr="004056F4" w:rsidRDefault="00FE531E" w:rsidP="00086EA6">
      <w:pPr>
        <w:widowControl/>
        <w:spacing w:line="360" w:lineRule="auto"/>
        <w:jc w:val="both"/>
        <w:rPr>
          <w:rFonts w:ascii="Times New Roman" w:hAnsi="Times New Roman" w:cs="Times New Roman"/>
          <w:szCs w:val="22"/>
        </w:rPr>
      </w:pPr>
      <w:r w:rsidRPr="004056F4">
        <w:rPr>
          <w:rFonts w:ascii="Times New Roman" w:hAnsi="Times New Roman" w:cs="Times New Roman"/>
          <w:szCs w:val="22"/>
        </w:rPr>
        <w:br w:type="page"/>
      </w:r>
    </w:p>
    <w:p w14:paraId="736A030B" w14:textId="45F4BA94" w:rsidR="00FE531E" w:rsidRPr="004056F4" w:rsidRDefault="00182967" w:rsidP="00086EA6">
      <w:pPr>
        <w:spacing w:line="360" w:lineRule="auto"/>
        <w:jc w:val="both"/>
        <w:rPr>
          <w:rFonts w:ascii="Times New Roman" w:hAnsi="Times New Roman" w:cs="Times New Roman"/>
          <w:szCs w:val="22"/>
        </w:rPr>
      </w:pPr>
      <w:r w:rsidRPr="004056F4">
        <w:rPr>
          <w:rFonts w:ascii="Times New Roman" w:hAnsi="Times New Roman" w:cs="Times New Roman"/>
          <w:noProof/>
          <w:szCs w:val="22"/>
        </w:rPr>
        <w:lastRenderedPageBreak/>
        <w:drawing>
          <wp:inline distT="0" distB="0" distL="0" distR="0" wp14:anchorId="29E7CDE9" wp14:editId="4432FAE3">
            <wp:extent cx="5274310" cy="2057400"/>
            <wp:effectExtent l="0" t="0" r="2540" b="0"/>
            <wp:docPr id="1295032828" name="图片 4" descr="图表, 条形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5032828" name="图片 4" descr="图表, 条形图&#10;&#10;AI 生成的内容可能不正确。"/>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4310" cy="2057400"/>
                    </a:xfrm>
                    <a:prstGeom prst="rect">
                      <a:avLst/>
                    </a:prstGeom>
                    <a:noFill/>
                    <a:ln>
                      <a:noFill/>
                    </a:ln>
                  </pic:spPr>
                </pic:pic>
              </a:graphicData>
            </a:graphic>
          </wp:inline>
        </w:drawing>
      </w:r>
    </w:p>
    <w:p w14:paraId="6CB4564B" w14:textId="395E9044" w:rsidR="00E15006" w:rsidRPr="004056F4" w:rsidRDefault="004056F4" w:rsidP="00086EA6">
      <w:pPr>
        <w:spacing w:line="360" w:lineRule="auto"/>
        <w:jc w:val="both"/>
        <w:rPr>
          <w:rFonts w:ascii="Times New Roman" w:hAnsi="Times New Roman" w:cs="Times New Roman"/>
          <w:szCs w:val="22"/>
        </w:rPr>
      </w:pPr>
      <w:r w:rsidRPr="004056F4">
        <w:rPr>
          <w:rFonts w:ascii="Times New Roman" w:hAnsi="Times New Roman" w:cs="Times New Roman"/>
          <w:b/>
          <w:bCs/>
          <w:szCs w:val="22"/>
        </w:rPr>
        <w:t>Figure S2.</w:t>
      </w:r>
      <w:r w:rsidRPr="004056F4">
        <w:rPr>
          <w:rFonts w:ascii="Times New Roman" w:hAnsi="Times New Roman" w:cs="Times New Roman"/>
          <w:szCs w:val="22"/>
        </w:rPr>
        <w:t xml:space="preserve"> Cell viability after treatment with different concentrations of </w:t>
      </w:r>
      <w:proofErr w:type="spellStart"/>
      <w:r w:rsidRPr="004056F4">
        <w:rPr>
          <w:rFonts w:ascii="Times New Roman" w:hAnsi="Times New Roman" w:cs="Times New Roman"/>
          <w:szCs w:val="22"/>
        </w:rPr>
        <w:t>BAC@Se-MSNs</w:t>
      </w:r>
      <w:proofErr w:type="spellEnd"/>
      <w:r w:rsidRPr="004056F4">
        <w:rPr>
          <w:rFonts w:ascii="Times New Roman" w:hAnsi="Times New Roman" w:cs="Times New Roman"/>
          <w:szCs w:val="22"/>
        </w:rPr>
        <w:t>/PF127.</w:t>
      </w:r>
      <w:r w:rsidRPr="004056F4">
        <w:rPr>
          <w:rFonts w:ascii="Times New Roman" w:hAnsi="Times New Roman" w:cs="Times New Roman"/>
          <w:szCs w:val="22"/>
        </w:rPr>
        <w:br/>
        <w:t xml:space="preserve">Cell viability was assessed by the CCK-8 assay after 24 h exposure to </w:t>
      </w:r>
      <w:proofErr w:type="spellStart"/>
      <w:r w:rsidRPr="004056F4">
        <w:rPr>
          <w:rFonts w:ascii="Times New Roman" w:hAnsi="Times New Roman" w:cs="Times New Roman"/>
          <w:szCs w:val="22"/>
        </w:rPr>
        <w:t>BAC@Se-MSNs</w:t>
      </w:r>
      <w:proofErr w:type="spellEnd"/>
      <w:r w:rsidRPr="004056F4">
        <w:rPr>
          <w:rFonts w:ascii="Times New Roman" w:hAnsi="Times New Roman" w:cs="Times New Roman"/>
          <w:szCs w:val="22"/>
        </w:rPr>
        <w:t xml:space="preserve">/PF127 at concentrations of 5, 10, 20, and 40 </w:t>
      </w:r>
      <w:proofErr w:type="spellStart"/>
      <w:r w:rsidRPr="004056F4">
        <w:rPr>
          <w:rFonts w:ascii="Times New Roman" w:hAnsi="Times New Roman" w:cs="Times New Roman"/>
          <w:szCs w:val="22"/>
        </w:rPr>
        <w:t>μg</w:t>
      </w:r>
      <w:proofErr w:type="spellEnd"/>
      <w:r w:rsidRPr="004056F4">
        <w:rPr>
          <w:rFonts w:ascii="Times New Roman" w:hAnsi="Times New Roman" w:cs="Times New Roman"/>
          <w:szCs w:val="22"/>
        </w:rPr>
        <w:t>/</w:t>
      </w:r>
      <w:proofErr w:type="spellStart"/>
      <w:r w:rsidRPr="004056F4">
        <w:rPr>
          <w:rFonts w:ascii="Times New Roman" w:hAnsi="Times New Roman" w:cs="Times New Roman"/>
          <w:szCs w:val="22"/>
        </w:rPr>
        <w:t>mL.</w:t>
      </w:r>
      <w:proofErr w:type="spellEnd"/>
      <w:r w:rsidRPr="004056F4">
        <w:rPr>
          <w:rFonts w:ascii="Times New Roman" w:hAnsi="Times New Roman" w:cs="Times New Roman"/>
          <w:szCs w:val="22"/>
        </w:rPr>
        <w:t xml:space="preserve"> The results showed no significant difference in cell viability between the treated groups and the control group (ns, P &gt; 0.05), indicating good cytocompatibility of the composite material.</w:t>
      </w:r>
    </w:p>
    <w:p w14:paraId="37A61DD5" w14:textId="77777777" w:rsidR="00E15006" w:rsidRPr="004056F4" w:rsidRDefault="00E15006" w:rsidP="00086EA6">
      <w:pPr>
        <w:spacing w:line="360" w:lineRule="auto"/>
        <w:jc w:val="both"/>
        <w:rPr>
          <w:rFonts w:ascii="Times New Roman" w:hAnsi="Times New Roman" w:cs="Times New Roman"/>
          <w:szCs w:val="22"/>
        </w:rPr>
      </w:pPr>
    </w:p>
    <w:p w14:paraId="7A9232F8" w14:textId="77777777" w:rsidR="00E15006" w:rsidRPr="004056F4" w:rsidRDefault="00E15006" w:rsidP="00086EA6">
      <w:pPr>
        <w:spacing w:line="360" w:lineRule="auto"/>
        <w:jc w:val="both"/>
        <w:rPr>
          <w:rFonts w:ascii="Times New Roman" w:hAnsi="Times New Roman" w:cs="Times New Roman"/>
          <w:szCs w:val="22"/>
        </w:rPr>
      </w:pPr>
    </w:p>
    <w:p w14:paraId="19CC43D3" w14:textId="77777777" w:rsidR="00E15006" w:rsidRPr="004056F4" w:rsidRDefault="00E15006" w:rsidP="00086EA6">
      <w:pPr>
        <w:spacing w:line="360" w:lineRule="auto"/>
        <w:jc w:val="both"/>
        <w:rPr>
          <w:rFonts w:ascii="Times New Roman" w:hAnsi="Times New Roman" w:cs="Times New Roman"/>
          <w:szCs w:val="22"/>
        </w:rPr>
      </w:pPr>
    </w:p>
    <w:p w14:paraId="1904B9A7" w14:textId="77777777" w:rsidR="00E15006" w:rsidRPr="004056F4" w:rsidRDefault="00E15006" w:rsidP="00086EA6">
      <w:pPr>
        <w:spacing w:line="360" w:lineRule="auto"/>
        <w:jc w:val="both"/>
        <w:rPr>
          <w:rFonts w:ascii="Times New Roman" w:hAnsi="Times New Roman" w:cs="Times New Roman"/>
          <w:szCs w:val="22"/>
        </w:rPr>
      </w:pPr>
    </w:p>
    <w:p w14:paraId="3DE5FF7D" w14:textId="3B8728D1" w:rsidR="00E15006" w:rsidRPr="004056F4" w:rsidRDefault="00E15006" w:rsidP="00086EA6">
      <w:pPr>
        <w:widowControl/>
        <w:spacing w:line="360" w:lineRule="auto"/>
        <w:jc w:val="both"/>
        <w:rPr>
          <w:rFonts w:ascii="Times New Roman" w:hAnsi="Times New Roman" w:cs="Times New Roman"/>
          <w:szCs w:val="22"/>
        </w:rPr>
      </w:pPr>
      <w:r w:rsidRPr="004056F4">
        <w:rPr>
          <w:rFonts w:ascii="Times New Roman" w:hAnsi="Times New Roman" w:cs="Times New Roman"/>
          <w:szCs w:val="22"/>
        </w:rPr>
        <w:br w:type="page"/>
      </w:r>
    </w:p>
    <w:p w14:paraId="4B359B90" w14:textId="311273EE" w:rsidR="00E15006" w:rsidRPr="004056F4" w:rsidRDefault="00C85FA7" w:rsidP="00086EA6">
      <w:pPr>
        <w:spacing w:line="360" w:lineRule="auto"/>
        <w:jc w:val="both"/>
        <w:rPr>
          <w:rFonts w:ascii="Times New Roman" w:hAnsi="Times New Roman" w:cs="Times New Roman"/>
          <w:szCs w:val="22"/>
        </w:rPr>
      </w:pPr>
      <w:r w:rsidRPr="004056F4">
        <w:rPr>
          <w:rFonts w:ascii="Times New Roman" w:hAnsi="Times New Roman" w:cs="Times New Roman"/>
          <w:noProof/>
          <w:szCs w:val="22"/>
        </w:rPr>
        <w:lastRenderedPageBreak/>
        <w:drawing>
          <wp:inline distT="0" distB="0" distL="0" distR="0" wp14:anchorId="50516D8E" wp14:editId="36973FA7">
            <wp:extent cx="5274310" cy="2463800"/>
            <wp:effectExtent l="0" t="0" r="2540" b="0"/>
            <wp:docPr id="747860399" name="图片 1" descr="图表&#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860399" name="图片 1" descr="图表&#10;&#10;AI 生成的内容可能不正确。"/>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74310" cy="2463800"/>
                    </a:xfrm>
                    <a:prstGeom prst="rect">
                      <a:avLst/>
                    </a:prstGeom>
                    <a:noFill/>
                    <a:ln>
                      <a:noFill/>
                    </a:ln>
                  </pic:spPr>
                </pic:pic>
              </a:graphicData>
            </a:graphic>
          </wp:inline>
        </w:drawing>
      </w:r>
    </w:p>
    <w:p w14:paraId="3530472B" w14:textId="2764894F" w:rsidR="00E27E2A" w:rsidRPr="004056F4" w:rsidRDefault="004056F4" w:rsidP="00086EA6">
      <w:pPr>
        <w:spacing w:line="360" w:lineRule="auto"/>
        <w:jc w:val="both"/>
        <w:rPr>
          <w:rFonts w:ascii="Times New Roman" w:hAnsi="Times New Roman" w:cs="Times New Roman"/>
          <w:szCs w:val="22"/>
        </w:rPr>
      </w:pPr>
      <w:r w:rsidRPr="004056F4">
        <w:rPr>
          <w:rFonts w:ascii="Times New Roman" w:hAnsi="Times New Roman" w:cs="Times New Roman"/>
          <w:b/>
          <w:bCs/>
          <w:szCs w:val="22"/>
        </w:rPr>
        <w:t>Figure S3.</w:t>
      </w:r>
      <w:r w:rsidRPr="004056F4">
        <w:rPr>
          <w:rFonts w:ascii="Times New Roman" w:hAnsi="Times New Roman" w:cs="Times New Roman"/>
          <w:szCs w:val="22"/>
        </w:rPr>
        <w:t xml:space="preserve"> Body weight change curves of mice in each group.</w:t>
      </w:r>
      <w:r w:rsidRPr="004056F4">
        <w:rPr>
          <w:rFonts w:ascii="Times New Roman" w:hAnsi="Times New Roman" w:cs="Times New Roman"/>
          <w:szCs w:val="22"/>
        </w:rPr>
        <w:br/>
        <w:t xml:space="preserve">Postoperative body weight changes were recorded from day 0 to day 14 for different treatment groups. Compared with the control group, mice treated with BAC/PF127, Se-MSNs/PF127, and </w:t>
      </w:r>
      <w:proofErr w:type="spellStart"/>
      <w:r w:rsidRPr="004056F4">
        <w:rPr>
          <w:rFonts w:ascii="Times New Roman" w:hAnsi="Times New Roman" w:cs="Times New Roman"/>
          <w:szCs w:val="22"/>
        </w:rPr>
        <w:t>BAC@Se-MSNs</w:t>
      </w:r>
      <w:proofErr w:type="spellEnd"/>
      <w:r w:rsidRPr="004056F4">
        <w:rPr>
          <w:rFonts w:ascii="Times New Roman" w:hAnsi="Times New Roman" w:cs="Times New Roman"/>
          <w:szCs w:val="22"/>
        </w:rPr>
        <w:t xml:space="preserve">/PF127 exhibited faster body weight recovery, with the </w:t>
      </w:r>
      <w:proofErr w:type="spellStart"/>
      <w:r w:rsidRPr="004056F4">
        <w:rPr>
          <w:rFonts w:ascii="Times New Roman" w:hAnsi="Times New Roman" w:cs="Times New Roman"/>
          <w:szCs w:val="22"/>
        </w:rPr>
        <w:t>BAC@Se-MSNs</w:t>
      </w:r>
      <w:proofErr w:type="spellEnd"/>
      <w:r w:rsidRPr="004056F4">
        <w:rPr>
          <w:rFonts w:ascii="Times New Roman" w:hAnsi="Times New Roman" w:cs="Times New Roman"/>
          <w:szCs w:val="22"/>
        </w:rPr>
        <w:t>/PF127 group showing the highest recovery ratio on day 14 (n = 5, mean ± SD).</w:t>
      </w:r>
    </w:p>
    <w:p w14:paraId="2AC14AA4" w14:textId="77777777" w:rsidR="00E27E2A" w:rsidRPr="004056F4" w:rsidRDefault="00E27E2A" w:rsidP="00086EA6">
      <w:pPr>
        <w:spacing w:line="360" w:lineRule="auto"/>
        <w:jc w:val="both"/>
        <w:rPr>
          <w:rFonts w:ascii="Times New Roman" w:hAnsi="Times New Roman" w:cs="Times New Roman"/>
          <w:szCs w:val="22"/>
        </w:rPr>
      </w:pPr>
    </w:p>
    <w:p w14:paraId="7F1806C2" w14:textId="57C83E35" w:rsidR="00E27E2A" w:rsidRPr="004056F4" w:rsidRDefault="00E27E2A" w:rsidP="00086EA6">
      <w:pPr>
        <w:widowControl/>
        <w:spacing w:line="360" w:lineRule="auto"/>
        <w:jc w:val="both"/>
        <w:rPr>
          <w:rFonts w:ascii="Times New Roman" w:hAnsi="Times New Roman" w:cs="Times New Roman"/>
          <w:szCs w:val="22"/>
        </w:rPr>
      </w:pPr>
      <w:r w:rsidRPr="004056F4">
        <w:rPr>
          <w:rFonts w:ascii="Times New Roman" w:hAnsi="Times New Roman" w:cs="Times New Roman"/>
          <w:szCs w:val="22"/>
        </w:rPr>
        <w:br w:type="page"/>
      </w:r>
    </w:p>
    <w:p w14:paraId="3807494D" w14:textId="2E90A385" w:rsidR="00E27E2A" w:rsidRPr="004056F4" w:rsidRDefault="00C85FA7" w:rsidP="00086EA6">
      <w:pPr>
        <w:spacing w:line="360" w:lineRule="auto"/>
        <w:jc w:val="both"/>
        <w:rPr>
          <w:rFonts w:ascii="Times New Roman" w:hAnsi="Times New Roman" w:cs="Times New Roman"/>
          <w:szCs w:val="22"/>
        </w:rPr>
      </w:pPr>
      <w:r w:rsidRPr="004056F4">
        <w:rPr>
          <w:rFonts w:ascii="Times New Roman" w:hAnsi="Times New Roman" w:cs="Times New Roman"/>
          <w:noProof/>
          <w:szCs w:val="22"/>
        </w:rPr>
        <w:lastRenderedPageBreak/>
        <w:drawing>
          <wp:inline distT="0" distB="0" distL="0" distR="0" wp14:anchorId="2E1715BC" wp14:editId="5085C304">
            <wp:extent cx="5274310" cy="2148840"/>
            <wp:effectExtent l="0" t="0" r="2540" b="3810"/>
            <wp:docPr id="1475830026" name="图片 2" descr="图表, 条形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830026" name="图片 2" descr="图表, 条形图&#10;&#10;AI 生成的内容可能不正确。"/>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74310" cy="2148840"/>
                    </a:xfrm>
                    <a:prstGeom prst="rect">
                      <a:avLst/>
                    </a:prstGeom>
                    <a:noFill/>
                    <a:ln>
                      <a:noFill/>
                    </a:ln>
                  </pic:spPr>
                </pic:pic>
              </a:graphicData>
            </a:graphic>
          </wp:inline>
        </w:drawing>
      </w:r>
    </w:p>
    <w:p w14:paraId="57776386" w14:textId="19629B57" w:rsidR="00E27E2A" w:rsidRPr="004056F4" w:rsidRDefault="004056F4" w:rsidP="00086EA6">
      <w:pPr>
        <w:spacing w:line="360" w:lineRule="auto"/>
        <w:jc w:val="both"/>
        <w:rPr>
          <w:rFonts w:ascii="Times New Roman" w:hAnsi="Times New Roman" w:cs="Times New Roman"/>
          <w:szCs w:val="22"/>
        </w:rPr>
      </w:pPr>
      <w:r w:rsidRPr="004056F4">
        <w:rPr>
          <w:rFonts w:ascii="Times New Roman" w:hAnsi="Times New Roman" w:cs="Times New Roman"/>
          <w:b/>
          <w:bCs/>
          <w:szCs w:val="22"/>
        </w:rPr>
        <w:t>Figure S4.</w:t>
      </w:r>
      <w:r w:rsidRPr="004056F4">
        <w:rPr>
          <w:rFonts w:ascii="Times New Roman" w:hAnsi="Times New Roman" w:cs="Times New Roman"/>
          <w:szCs w:val="22"/>
        </w:rPr>
        <w:t xml:space="preserve"> Mouse Grimace Scale (MGS) scores of different treatment groups over time.</w:t>
      </w:r>
      <w:r w:rsidRPr="004056F4">
        <w:rPr>
          <w:rFonts w:ascii="Times New Roman" w:hAnsi="Times New Roman" w:cs="Times New Roman"/>
          <w:szCs w:val="22"/>
        </w:rPr>
        <w:br/>
        <w:t xml:space="preserve">Bar graphs show the MGS scores (mean ± SD, n = 5) for the Control, PF127, BAC/PF127, Se-MSNs/PF127, and </w:t>
      </w:r>
      <w:proofErr w:type="spellStart"/>
      <w:r w:rsidRPr="004056F4">
        <w:rPr>
          <w:rFonts w:ascii="Times New Roman" w:hAnsi="Times New Roman" w:cs="Times New Roman"/>
          <w:szCs w:val="22"/>
        </w:rPr>
        <w:t>BAC@Se-MSNs</w:t>
      </w:r>
      <w:proofErr w:type="spellEnd"/>
      <w:r w:rsidRPr="004056F4">
        <w:rPr>
          <w:rFonts w:ascii="Times New Roman" w:hAnsi="Times New Roman" w:cs="Times New Roman"/>
          <w:szCs w:val="22"/>
        </w:rPr>
        <w:t xml:space="preserve">/PF127 groups on days 0, 1, 2, and 3. The </w:t>
      </w:r>
      <w:proofErr w:type="spellStart"/>
      <w:r w:rsidRPr="004056F4">
        <w:rPr>
          <w:rFonts w:ascii="Times New Roman" w:hAnsi="Times New Roman" w:cs="Times New Roman"/>
          <w:szCs w:val="22"/>
        </w:rPr>
        <w:t>BAC@Se-MSNs</w:t>
      </w:r>
      <w:proofErr w:type="spellEnd"/>
      <w:r w:rsidRPr="004056F4">
        <w:rPr>
          <w:rFonts w:ascii="Times New Roman" w:hAnsi="Times New Roman" w:cs="Times New Roman"/>
          <w:szCs w:val="22"/>
        </w:rPr>
        <w:t>/PF127 treatment led to a significant reduction in MGS scores over time (*P &lt; 0.05).</w:t>
      </w:r>
    </w:p>
    <w:p w14:paraId="0AABA98C" w14:textId="77777777" w:rsidR="00E27E2A" w:rsidRPr="004056F4" w:rsidRDefault="00E27E2A" w:rsidP="00086EA6">
      <w:pPr>
        <w:spacing w:line="360" w:lineRule="auto"/>
        <w:jc w:val="both"/>
        <w:rPr>
          <w:rFonts w:ascii="Times New Roman" w:hAnsi="Times New Roman" w:cs="Times New Roman"/>
          <w:szCs w:val="22"/>
        </w:rPr>
      </w:pPr>
    </w:p>
    <w:p w14:paraId="2B012D0B" w14:textId="77777777" w:rsidR="00E27E2A" w:rsidRPr="004056F4" w:rsidRDefault="00E27E2A" w:rsidP="00086EA6">
      <w:pPr>
        <w:spacing w:line="360" w:lineRule="auto"/>
        <w:jc w:val="both"/>
        <w:rPr>
          <w:rFonts w:ascii="Times New Roman" w:hAnsi="Times New Roman" w:cs="Times New Roman"/>
          <w:szCs w:val="22"/>
        </w:rPr>
      </w:pPr>
    </w:p>
    <w:p w14:paraId="4959B378" w14:textId="77777777" w:rsidR="00E27E2A" w:rsidRPr="004056F4" w:rsidRDefault="00E27E2A" w:rsidP="00086EA6">
      <w:pPr>
        <w:spacing w:line="360" w:lineRule="auto"/>
        <w:jc w:val="both"/>
        <w:rPr>
          <w:rFonts w:ascii="Times New Roman" w:hAnsi="Times New Roman" w:cs="Times New Roman"/>
          <w:szCs w:val="22"/>
        </w:rPr>
      </w:pPr>
    </w:p>
    <w:p w14:paraId="66556210" w14:textId="77777777" w:rsidR="00E27E2A" w:rsidRPr="004056F4" w:rsidRDefault="00E27E2A" w:rsidP="00086EA6">
      <w:pPr>
        <w:spacing w:line="360" w:lineRule="auto"/>
        <w:jc w:val="both"/>
        <w:rPr>
          <w:rFonts w:ascii="Times New Roman" w:hAnsi="Times New Roman" w:cs="Times New Roman"/>
          <w:szCs w:val="22"/>
        </w:rPr>
      </w:pPr>
    </w:p>
    <w:p w14:paraId="377E3E86" w14:textId="77777777" w:rsidR="00E27E2A" w:rsidRPr="004056F4" w:rsidRDefault="00E27E2A" w:rsidP="00086EA6">
      <w:pPr>
        <w:spacing w:line="360" w:lineRule="auto"/>
        <w:jc w:val="both"/>
        <w:rPr>
          <w:rFonts w:ascii="Times New Roman" w:hAnsi="Times New Roman" w:cs="Times New Roman"/>
          <w:szCs w:val="22"/>
        </w:rPr>
      </w:pPr>
    </w:p>
    <w:p w14:paraId="61E55D43" w14:textId="77777777" w:rsidR="00E27E2A" w:rsidRPr="004056F4" w:rsidRDefault="00E27E2A" w:rsidP="00086EA6">
      <w:pPr>
        <w:spacing w:line="360" w:lineRule="auto"/>
        <w:jc w:val="both"/>
        <w:rPr>
          <w:rFonts w:ascii="Times New Roman" w:hAnsi="Times New Roman" w:cs="Times New Roman"/>
          <w:szCs w:val="22"/>
        </w:rPr>
      </w:pPr>
    </w:p>
    <w:p w14:paraId="2F7A1F10" w14:textId="6405AC77" w:rsidR="00E15006" w:rsidRPr="004056F4" w:rsidRDefault="00FE531E" w:rsidP="00086EA6">
      <w:pPr>
        <w:widowControl/>
        <w:spacing w:line="360" w:lineRule="auto"/>
        <w:jc w:val="both"/>
        <w:rPr>
          <w:rFonts w:ascii="Times New Roman" w:hAnsi="Times New Roman" w:cs="Times New Roman"/>
          <w:szCs w:val="22"/>
        </w:rPr>
      </w:pPr>
      <w:r w:rsidRPr="004056F4">
        <w:rPr>
          <w:rFonts w:ascii="Times New Roman" w:hAnsi="Times New Roman" w:cs="Times New Roman"/>
          <w:szCs w:val="22"/>
        </w:rPr>
        <w:br w:type="page"/>
      </w:r>
      <w:r w:rsidR="00E15006" w:rsidRPr="004056F4">
        <w:rPr>
          <w:rFonts w:ascii="Times New Roman" w:hAnsi="Times New Roman" w:cs="Times New Roman"/>
          <w:szCs w:val="22"/>
        </w:rPr>
        <w:lastRenderedPageBreak/>
        <w:t xml:space="preserve"> </w:t>
      </w:r>
      <w:r w:rsidR="00F63C77" w:rsidRPr="004056F4">
        <w:rPr>
          <w:rFonts w:ascii="Times New Roman" w:hAnsi="Times New Roman" w:cs="Times New Roman"/>
          <w:noProof/>
          <w:szCs w:val="22"/>
        </w:rPr>
        <w:drawing>
          <wp:inline distT="0" distB="0" distL="0" distR="0" wp14:anchorId="21647F58" wp14:editId="01959826">
            <wp:extent cx="5274310" cy="5253355"/>
            <wp:effectExtent l="0" t="0" r="2540" b="4445"/>
            <wp:docPr id="1643484730" name="图片 7" descr="图片包含 图表&#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3484730" name="图片 7" descr="图片包含 图表&#10;&#10;AI 生成的内容可能不正确。"/>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74310" cy="5253355"/>
                    </a:xfrm>
                    <a:prstGeom prst="rect">
                      <a:avLst/>
                    </a:prstGeom>
                    <a:noFill/>
                    <a:ln>
                      <a:noFill/>
                    </a:ln>
                  </pic:spPr>
                </pic:pic>
              </a:graphicData>
            </a:graphic>
          </wp:inline>
        </w:drawing>
      </w:r>
    </w:p>
    <w:p w14:paraId="12CDE446" w14:textId="77471512" w:rsidR="00777F3A" w:rsidRPr="004056F4" w:rsidRDefault="004056F4" w:rsidP="00A61D98">
      <w:pPr>
        <w:spacing w:line="360" w:lineRule="auto"/>
        <w:jc w:val="both"/>
        <w:rPr>
          <w:rFonts w:ascii="Times New Roman" w:hAnsi="Times New Roman" w:cs="Times New Roman"/>
          <w:szCs w:val="22"/>
        </w:rPr>
      </w:pPr>
      <w:r w:rsidRPr="004056F4">
        <w:rPr>
          <w:rFonts w:ascii="Times New Roman" w:hAnsi="Times New Roman" w:cs="Times New Roman"/>
          <w:b/>
          <w:bCs/>
          <w:szCs w:val="22"/>
        </w:rPr>
        <w:t>Figure S5.</w:t>
      </w:r>
      <w:r w:rsidRPr="004056F4">
        <w:rPr>
          <w:rFonts w:ascii="Times New Roman" w:hAnsi="Times New Roman" w:cs="Times New Roman"/>
          <w:szCs w:val="22"/>
        </w:rPr>
        <w:t xml:space="preserve"> Hematological and serum biochemical analysis of mice from different treatment groups.</w:t>
      </w:r>
      <w:r w:rsidRPr="004056F4">
        <w:rPr>
          <w:rFonts w:ascii="Times New Roman" w:hAnsi="Times New Roman" w:cs="Times New Roman"/>
          <w:szCs w:val="22"/>
        </w:rPr>
        <w:br/>
        <w:t xml:space="preserve">Parameters including white blood cells (WBC), red blood cells (RBC), hemoglobin (HGB), hematocrit (HCT), mean corpuscular volume (MCV), mean corpuscular hemoglobin (MCH), mean corpuscular hemoglobin concentration (MCHC), platelet count (PLT), red blood cell distribution width (RDW-SD), mean platelet volume (MPV), alkaline phosphatase (ALP), alanine aminotransferase (ALT), aspartate aminotransferase (AST), creatinine (CREZ), and urea (UREA) were measured. No significant differences were observed between the </w:t>
      </w:r>
      <w:proofErr w:type="spellStart"/>
      <w:r w:rsidRPr="004056F4">
        <w:rPr>
          <w:rFonts w:ascii="Times New Roman" w:hAnsi="Times New Roman" w:cs="Times New Roman"/>
          <w:szCs w:val="22"/>
        </w:rPr>
        <w:t>BAC@Se-MSNs</w:t>
      </w:r>
      <w:proofErr w:type="spellEnd"/>
      <w:r w:rsidRPr="004056F4">
        <w:rPr>
          <w:rFonts w:ascii="Times New Roman" w:hAnsi="Times New Roman" w:cs="Times New Roman"/>
          <w:szCs w:val="22"/>
        </w:rPr>
        <w:t>/PF127 group and the control group, indicating good in vivo safety of the hydrogel (n = 5, mean ± SD).</w:t>
      </w:r>
    </w:p>
    <w:p w14:paraId="47168EAA" w14:textId="78BFBC3E" w:rsidR="00777F3A" w:rsidRPr="004056F4" w:rsidRDefault="00F63C77" w:rsidP="00086EA6">
      <w:pPr>
        <w:spacing w:line="360" w:lineRule="auto"/>
        <w:jc w:val="both"/>
        <w:rPr>
          <w:rFonts w:ascii="Times New Roman" w:hAnsi="Times New Roman" w:cs="Times New Roman"/>
          <w:szCs w:val="22"/>
        </w:rPr>
      </w:pPr>
      <w:r w:rsidRPr="004056F4">
        <w:rPr>
          <w:rFonts w:ascii="Times New Roman" w:hAnsi="Times New Roman" w:cs="Times New Roman"/>
          <w:noProof/>
          <w:szCs w:val="22"/>
        </w:rPr>
        <w:lastRenderedPageBreak/>
        <w:drawing>
          <wp:inline distT="0" distB="0" distL="0" distR="0" wp14:anchorId="07CE4835" wp14:editId="5B55B1DF">
            <wp:extent cx="5274310" cy="2750820"/>
            <wp:effectExtent l="0" t="0" r="2540" b="0"/>
            <wp:docPr id="480326199" name="图片 5" descr="图片包含 图示&#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326199" name="图片 5" descr="图片包含 图示&#10;&#10;AI 生成的内容可能不正确。"/>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74310" cy="2750820"/>
                    </a:xfrm>
                    <a:prstGeom prst="rect">
                      <a:avLst/>
                    </a:prstGeom>
                    <a:noFill/>
                    <a:ln>
                      <a:noFill/>
                    </a:ln>
                  </pic:spPr>
                </pic:pic>
              </a:graphicData>
            </a:graphic>
          </wp:inline>
        </w:drawing>
      </w:r>
    </w:p>
    <w:p w14:paraId="4D1CF61E" w14:textId="2B56B1B9" w:rsidR="00777F3A" w:rsidRPr="004056F4" w:rsidRDefault="004056F4" w:rsidP="00086EA6">
      <w:pPr>
        <w:spacing w:line="360" w:lineRule="auto"/>
        <w:jc w:val="both"/>
        <w:rPr>
          <w:rFonts w:ascii="Times New Roman" w:hAnsi="Times New Roman" w:cs="Times New Roman"/>
          <w:szCs w:val="22"/>
        </w:rPr>
      </w:pPr>
      <w:r w:rsidRPr="004056F4">
        <w:rPr>
          <w:rFonts w:ascii="Times New Roman" w:hAnsi="Times New Roman" w:cs="Times New Roman"/>
          <w:b/>
          <w:bCs/>
          <w:szCs w:val="22"/>
        </w:rPr>
        <w:t>Figure S6.</w:t>
      </w:r>
      <w:r w:rsidRPr="004056F4">
        <w:rPr>
          <w:rFonts w:ascii="Times New Roman" w:hAnsi="Times New Roman" w:cs="Times New Roman"/>
          <w:szCs w:val="22"/>
        </w:rPr>
        <w:t xml:space="preserve"> In vivo biosafety evaluation of </w:t>
      </w:r>
      <w:proofErr w:type="spellStart"/>
      <w:r w:rsidRPr="004056F4">
        <w:rPr>
          <w:rFonts w:ascii="Times New Roman" w:hAnsi="Times New Roman" w:cs="Times New Roman"/>
          <w:szCs w:val="22"/>
        </w:rPr>
        <w:t>BAC@Se-MSNs</w:t>
      </w:r>
      <w:proofErr w:type="spellEnd"/>
      <w:r w:rsidRPr="004056F4">
        <w:rPr>
          <w:rFonts w:ascii="Times New Roman" w:hAnsi="Times New Roman" w:cs="Times New Roman"/>
          <w:szCs w:val="22"/>
        </w:rPr>
        <w:t>/PF127 hydrogel.</w:t>
      </w:r>
      <w:r w:rsidRPr="004056F4">
        <w:rPr>
          <w:rFonts w:ascii="Times New Roman" w:hAnsi="Times New Roman" w:cs="Times New Roman"/>
          <w:szCs w:val="22"/>
        </w:rPr>
        <w:br/>
        <w:t xml:space="preserve">H&amp;E-stained images of major organs (heart, liver, spleen, lung, and kidney) are shown (scale bar = 50 </w:t>
      </w:r>
      <w:proofErr w:type="spellStart"/>
      <w:r w:rsidRPr="004056F4">
        <w:rPr>
          <w:rFonts w:ascii="Times New Roman" w:hAnsi="Times New Roman" w:cs="Times New Roman"/>
          <w:szCs w:val="22"/>
        </w:rPr>
        <w:t>μm</w:t>
      </w:r>
      <w:proofErr w:type="spellEnd"/>
      <w:r w:rsidRPr="004056F4">
        <w:rPr>
          <w:rFonts w:ascii="Times New Roman" w:hAnsi="Times New Roman" w:cs="Times New Roman"/>
          <w:szCs w:val="22"/>
        </w:rPr>
        <w:t>). All groups exhibited intact tissue architecture without signs of inflammation or necrosis, indicating good in vivo biocompatibility.</w:t>
      </w:r>
    </w:p>
    <w:p w14:paraId="7C8AAF30" w14:textId="77777777" w:rsidR="00777F3A" w:rsidRPr="004056F4" w:rsidRDefault="00777F3A" w:rsidP="00086EA6">
      <w:pPr>
        <w:spacing w:line="360" w:lineRule="auto"/>
        <w:jc w:val="both"/>
        <w:rPr>
          <w:rFonts w:ascii="Times New Roman" w:hAnsi="Times New Roman" w:cs="Times New Roman"/>
          <w:szCs w:val="22"/>
        </w:rPr>
      </w:pPr>
    </w:p>
    <w:p w14:paraId="2E61931E" w14:textId="77777777" w:rsidR="00777F3A" w:rsidRPr="004056F4" w:rsidRDefault="00777F3A" w:rsidP="00086EA6">
      <w:pPr>
        <w:spacing w:line="360" w:lineRule="auto"/>
        <w:jc w:val="both"/>
        <w:rPr>
          <w:rFonts w:ascii="Times New Roman" w:hAnsi="Times New Roman" w:cs="Times New Roman"/>
          <w:szCs w:val="22"/>
        </w:rPr>
      </w:pPr>
    </w:p>
    <w:p w14:paraId="24C0864D" w14:textId="77777777" w:rsidR="00777F3A" w:rsidRPr="004056F4" w:rsidRDefault="00777F3A" w:rsidP="00086EA6">
      <w:pPr>
        <w:spacing w:line="360" w:lineRule="auto"/>
        <w:jc w:val="both"/>
        <w:rPr>
          <w:rFonts w:ascii="Times New Roman" w:hAnsi="Times New Roman" w:cs="Times New Roman"/>
          <w:szCs w:val="22"/>
        </w:rPr>
      </w:pPr>
    </w:p>
    <w:sectPr w:rsidR="00777F3A" w:rsidRPr="004056F4">
      <w:footerReference w:type="even" r:id="rId12"/>
      <w:footerReference w:type="first" r:id="rId13"/>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E5B05C" w14:textId="77777777" w:rsidR="006B1271" w:rsidRDefault="006B1271" w:rsidP="00182967">
      <w:pPr>
        <w:spacing w:after="0" w:line="240" w:lineRule="auto"/>
      </w:pPr>
      <w:r>
        <w:separator/>
      </w:r>
    </w:p>
  </w:endnote>
  <w:endnote w:type="continuationSeparator" w:id="0">
    <w:p w14:paraId="63895BBA" w14:textId="77777777" w:rsidR="006B1271" w:rsidRDefault="006B1271" w:rsidP="001829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Rockwell">
    <w:panose1 w:val="02060603020205020403"/>
    <w:charset w:val="00"/>
    <w:family w:val="roman"/>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060C12" w14:textId="0C82528C" w:rsidR="00994D98" w:rsidRDefault="00994D98">
    <w:pPr>
      <w:pStyle w:val="Footer"/>
    </w:pPr>
    <w:r>
      <w:rPr>
        <w:noProof/>
      </w:rPr>
      <mc:AlternateContent>
        <mc:Choice Requires="wps">
          <w:drawing>
            <wp:anchor distT="0" distB="0" distL="0" distR="0" simplePos="0" relativeHeight="251659264" behindDoc="0" locked="0" layoutInCell="1" allowOverlap="1" wp14:anchorId="7EA575C9" wp14:editId="17F975E7">
              <wp:simplePos x="635" y="635"/>
              <wp:positionH relativeFrom="page">
                <wp:align>left</wp:align>
              </wp:positionH>
              <wp:positionV relativeFrom="page">
                <wp:align>bottom</wp:align>
              </wp:positionV>
              <wp:extent cx="2085975" cy="346075"/>
              <wp:effectExtent l="0" t="0" r="9525" b="0"/>
              <wp:wrapNone/>
              <wp:docPr id="1636340077" name="Text Box 2" descr="Information Classification: 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085975" cy="346075"/>
                      </a:xfrm>
                      <a:prstGeom prst="rect">
                        <a:avLst/>
                      </a:prstGeom>
                      <a:noFill/>
                      <a:ln>
                        <a:noFill/>
                      </a:ln>
                    </wps:spPr>
                    <wps:txbx>
                      <w:txbxContent>
                        <w:p w14:paraId="5C2B1E62" w14:textId="7D398C5C" w:rsidR="00994D98" w:rsidRPr="00994D98" w:rsidRDefault="00994D98" w:rsidP="00994D98">
                          <w:pPr>
                            <w:spacing w:after="0"/>
                            <w:rPr>
                              <w:rFonts w:ascii="Rockwell" w:eastAsia="Rockwell" w:hAnsi="Rockwell" w:cs="Rockwell"/>
                              <w:noProof/>
                              <w:color w:val="0078D7"/>
                              <w:sz w:val="18"/>
                              <w:szCs w:val="18"/>
                            </w:rPr>
                          </w:pPr>
                          <w:r w:rsidRPr="00994D98">
                            <w:rPr>
                              <w:rFonts w:ascii="Rockwell" w:eastAsia="Rockwell" w:hAnsi="Rockwell" w:cs="Rockwell"/>
                              <w:noProof/>
                              <w:color w:val="0078D7"/>
                              <w:sz w:val="18"/>
                              <w:szCs w:val="18"/>
                            </w:rPr>
                            <w:t>Information Classification: General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7EA575C9" id="_x0000_t202" coordsize="21600,21600" o:spt="202" path="m,l,21600r21600,l21600,xe">
              <v:stroke joinstyle="miter"/>
              <v:path gradientshapeok="t" o:connecttype="rect"/>
            </v:shapetype>
            <v:shape id="Text Box 2" o:spid="_x0000_s1026" type="#_x0000_t202" alt="Information Classification: General" style="position:absolute;margin-left:0;margin-top:0;width:164.25pt;height:27.25pt;z-index:251659264;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" filled="f" stroked="f">
              <v:fill o:detectmouseclick="t"/>
              <v:textbox style="mso-fit-shape-to-text:t" inset="20pt,0,0,15pt">
                <w:txbxContent>
                  <w:p w14:paraId="5C2B1E62" w14:textId="7D398C5C" w:rsidR="00994D98" w:rsidRPr="00994D98" w:rsidRDefault="00994D98" w:rsidP="00994D98">
                    <w:pPr>
                      <w:spacing w:after="0"/>
                      <w:rPr>
                        <w:rFonts w:ascii="Rockwell" w:eastAsia="Rockwell" w:hAnsi="Rockwell" w:cs="Rockwell"/>
                        <w:noProof/>
                        <w:color w:val="0078D7"/>
                        <w:sz w:val="18"/>
                        <w:szCs w:val="18"/>
                      </w:rPr>
                    </w:pPr>
                    <w:r w:rsidRPr="00994D98">
                      <w:rPr>
                        <w:rFonts w:ascii="Rockwell" w:eastAsia="Rockwell" w:hAnsi="Rockwell" w:cs="Rockwell"/>
                        <w:noProof/>
                        <w:color w:val="0078D7"/>
                        <w:sz w:val="18"/>
                        <w:szCs w:val="18"/>
                      </w:rPr>
                      <w:t>Information Classification: General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589F87" w14:textId="7DF63BC5" w:rsidR="00994D98" w:rsidRDefault="00994D98">
    <w:pPr>
      <w:pStyle w:val="Footer"/>
    </w:pPr>
    <w:r>
      <w:rPr>
        <w:noProof/>
      </w:rPr>
      <mc:AlternateContent>
        <mc:Choice Requires="wps">
          <w:drawing>
            <wp:anchor distT="0" distB="0" distL="0" distR="0" simplePos="0" relativeHeight="251658240" behindDoc="0" locked="0" layoutInCell="1" allowOverlap="1" wp14:anchorId="6A5FDFB6" wp14:editId="11C7EEB6">
              <wp:simplePos x="635" y="635"/>
              <wp:positionH relativeFrom="page">
                <wp:align>left</wp:align>
              </wp:positionH>
              <wp:positionV relativeFrom="page">
                <wp:align>bottom</wp:align>
              </wp:positionV>
              <wp:extent cx="2085975" cy="346075"/>
              <wp:effectExtent l="0" t="0" r="9525" b="0"/>
              <wp:wrapNone/>
              <wp:docPr id="1270957744" name="Text Box 1" descr="Information Classification: 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085975" cy="346075"/>
                      </a:xfrm>
                      <a:prstGeom prst="rect">
                        <a:avLst/>
                      </a:prstGeom>
                      <a:noFill/>
                      <a:ln>
                        <a:noFill/>
                      </a:ln>
                    </wps:spPr>
                    <wps:txbx>
                      <w:txbxContent>
                        <w:p w14:paraId="196EB667" w14:textId="47585FFD" w:rsidR="00994D98" w:rsidRPr="00994D98" w:rsidRDefault="00994D98" w:rsidP="00994D98">
                          <w:pPr>
                            <w:spacing w:after="0"/>
                            <w:rPr>
                              <w:rFonts w:ascii="Rockwell" w:eastAsia="Rockwell" w:hAnsi="Rockwell" w:cs="Rockwell"/>
                              <w:noProof/>
                              <w:color w:val="0078D7"/>
                              <w:sz w:val="18"/>
                              <w:szCs w:val="18"/>
                            </w:rPr>
                          </w:pPr>
                          <w:r w:rsidRPr="00994D98">
                            <w:rPr>
                              <w:rFonts w:ascii="Rockwell" w:eastAsia="Rockwell" w:hAnsi="Rockwell" w:cs="Rockwell"/>
                              <w:noProof/>
                              <w:color w:val="0078D7"/>
                              <w:sz w:val="18"/>
                              <w:szCs w:val="18"/>
                            </w:rPr>
                            <w:t>Information Classification: General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6A5FDFB6" id="_x0000_t202" coordsize="21600,21600" o:spt="202" path="m,l,21600r21600,l21600,xe">
              <v:stroke joinstyle="miter"/>
              <v:path gradientshapeok="t" o:connecttype="rect"/>
            </v:shapetype>
            <v:shape id="Text Box 1" o:spid="_x0000_s1027" type="#_x0000_t202" alt="Information Classification: General" style="position:absolute;margin-left:0;margin-top:0;width:164.25pt;height:27.25pt;z-index:251658240;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" filled="f" stroked="f">
              <v:fill o:detectmouseclick="t"/>
              <v:textbox style="mso-fit-shape-to-text:t" inset="20pt,0,0,15pt">
                <w:txbxContent>
                  <w:p w14:paraId="196EB667" w14:textId="47585FFD" w:rsidR="00994D98" w:rsidRPr="00994D98" w:rsidRDefault="00994D98" w:rsidP="00994D98">
                    <w:pPr>
                      <w:spacing w:after="0"/>
                      <w:rPr>
                        <w:rFonts w:ascii="Rockwell" w:eastAsia="Rockwell" w:hAnsi="Rockwell" w:cs="Rockwell"/>
                        <w:noProof/>
                        <w:color w:val="0078D7"/>
                        <w:sz w:val="18"/>
                        <w:szCs w:val="18"/>
                      </w:rPr>
                    </w:pPr>
                    <w:r w:rsidRPr="00994D98">
                      <w:rPr>
                        <w:rFonts w:ascii="Rockwell" w:eastAsia="Rockwell" w:hAnsi="Rockwell" w:cs="Rockwell"/>
                        <w:noProof/>
                        <w:color w:val="0078D7"/>
                        <w:sz w:val="18"/>
                        <w:szCs w:val="18"/>
                      </w:rPr>
                      <w:t>Information Classification: General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376B66" w14:textId="77777777" w:rsidR="006B1271" w:rsidRDefault="006B1271" w:rsidP="00182967">
      <w:pPr>
        <w:spacing w:after="0" w:line="240" w:lineRule="auto"/>
      </w:pPr>
      <w:r>
        <w:separator/>
      </w:r>
    </w:p>
  </w:footnote>
  <w:footnote w:type="continuationSeparator" w:id="0">
    <w:p w14:paraId="3BE9A95C" w14:textId="77777777" w:rsidR="006B1271" w:rsidRDefault="006B1271" w:rsidP="0018296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5AB0"/>
    <w:rsid w:val="00006A9E"/>
    <w:rsid w:val="00086EA6"/>
    <w:rsid w:val="000D41F7"/>
    <w:rsid w:val="001027E4"/>
    <w:rsid w:val="00182967"/>
    <w:rsid w:val="001869E3"/>
    <w:rsid w:val="001B70D4"/>
    <w:rsid w:val="00210654"/>
    <w:rsid w:val="00326DFD"/>
    <w:rsid w:val="004056F4"/>
    <w:rsid w:val="004F280B"/>
    <w:rsid w:val="0055731D"/>
    <w:rsid w:val="00581A4B"/>
    <w:rsid w:val="006B1271"/>
    <w:rsid w:val="00762917"/>
    <w:rsid w:val="00777F3A"/>
    <w:rsid w:val="007C7E8D"/>
    <w:rsid w:val="00994D98"/>
    <w:rsid w:val="009A111B"/>
    <w:rsid w:val="00A61D98"/>
    <w:rsid w:val="00C82AAF"/>
    <w:rsid w:val="00C85FA7"/>
    <w:rsid w:val="00D60FAA"/>
    <w:rsid w:val="00E15006"/>
    <w:rsid w:val="00E27E2A"/>
    <w:rsid w:val="00E610FF"/>
    <w:rsid w:val="00F55AB0"/>
    <w:rsid w:val="00F63C77"/>
    <w:rsid w:val="00FB7D16"/>
    <w:rsid w:val="00FD0A5E"/>
    <w:rsid w:val="00FE531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8E10F66"/>
  <w15:chartTrackingRefBased/>
  <w15:docId w15:val="{1B8E1EB1-6F74-488A-86D3-9CB5551919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4"/>
        <w:lang w:val="en-US"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pPr>
  </w:style>
  <w:style w:type="paragraph" w:styleId="Heading1">
    <w:name w:val="heading 1"/>
    <w:basedOn w:val="Normal"/>
    <w:next w:val="Normal"/>
    <w:link w:val="Heading1Char"/>
    <w:uiPriority w:val="9"/>
    <w:qFormat/>
    <w:rsid w:val="00F55AB0"/>
    <w:pPr>
      <w:keepNext/>
      <w:keepLines/>
      <w:spacing w:before="480" w:after="80"/>
      <w:outlineLvl w:val="0"/>
    </w:pPr>
    <w:rPr>
      <w:rFonts w:asciiTheme="majorHAnsi" w:eastAsiaTheme="majorEastAsia" w:hAnsiTheme="majorHAnsi" w:cstheme="majorBidi"/>
      <w:color w:val="0F4761" w:themeColor="accent1" w:themeShade="BF"/>
      <w:sz w:val="48"/>
      <w:szCs w:val="48"/>
    </w:rPr>
  </w:style>
  <w:style w:type="paragraph" w:styleId="Heading2">
    <w:name w:val="heading 2"/>
    <w:basedOn w:val="Normal"/>
    <w:next w:val="Normal"/>
    <w:link w:val="Heading2Char"/>
    <w:uiPriority w:val="9"/>
    <w:semiHidden/>
    <w:unhideWhenUsed/>
    <w:qFormat/>
    <w:rsid w:val="00F55AB0"/>
    <w:pPr>
      <w:keepNext/>
      <w:keepLines/>
      <w:spacing w:before="160" w:after="80"/>
      <w:outlineLvl w:val="1"/>
    </w:pPr>
    <w:rPr>
      <w:rFonts w:asciiTheme="majorHAnsi" w:eastAsiaTheme="majorEastAsia" w:hAnsiTheme="majorHAnsi" w:cstheme="majorBidi"/>
      <w:color w:val="0F4761" w:themeColor="accent1" w:themeShade="BF"/>
      <w:sz w:val="40"/>
      <w:szCs w:val="40"/>
    </w:rPr>
  </w:style>
  <w:style w:type="paragraph" w:styleId="Heading3">
    <w:name w:val="heading 3"/>
    <w:basedOn w:val="Normal"/>
    <w:next w:val="Normal"/>
    <w:link w:val="Heading3Char"/>
    <w:uiPriority w:val="9"/>
    <w:semiHidden/>
    <w:unhideWhenUsed/>
    <w:qFormat/>
    <w:rsid w:val="00F55AB0"/>
    <w:pPr>
      <w:keepNext/>
      <w:keepLines/>
      <w:spacing w:before="160" w:after="80"/>
      <w:outlineLvl w:val="2"/>
    </w:pPr>
    <w:rPr>
      <w:rFonts w:asciiTheme="majorHAnsi" w:eastAsiaTheme="majorEastAsia" w:hAnsiTheme="majorHAnsi" w:cstheme="majorBidi"/>
      <w:color w:val="0F4761" w:themeColor="accent1" w:themeShade="BF"/>
      <w:sz w:val="32"/>
      <w:szCs w:val="32"/>
    </w:rPr>
  </w:style>
  <w:style w:type="paragraph" w:styleId="Heading4">
    <w:name w:val="heading 4"/>
    <w:basedOn w:val="Normal"/>
    <w:next w:val="Normal"/>
    <w:link w:val="Heading4Char"/>
    <w:uiPriority w:val="9"/>
    <w:semiHidden/>
    <w:unhideWhenUsed/>
    <w:qFormat/>
    <w:rsid w:val="00F55AB0"/>
    <w:pPr>
      <w:keepNext/>
      <w:keepLines/>
      <w:spacing w:before="80" w:after="40"/>
      <w:outlineLvl w:val="3"/>
    </w:pPr>
    <w:rPr>
      <w:rFonts w:cstheme="majorBidi"/>
      <w:color w:val="0F4761" w:themeColor="accent1" w:themeShade="BF"/>
      <w:sz w:val="28"/>
      <w:szCs w:val="28"/>
    </w:rPr>
  </w:style>
  <w:style w:type="paragraph" w:styleId="Heading5">
    <w:name w:val="heading 5"/>
    <w:basedOn w:val="Normal"/>
    <w:next w:val="Normal"/>
    <w:link w:val="Heading5Char"/>
    <w:uiPriority w:val="9"/>
    <w:semiHidden/>
    <w:unhideWhenUsed/>
    <w:qFormat/>
    <w:rsid w:val="00F55AB0"/>
    <w:pPr>
      <w:keepNext/>
      <w:keepLines/>
      <w:spacing w:before="80" w:after="40"/>
      <w:outlineLvl w:val="4"/>
    </w:pPr>
    <w:rPr>
      <w:rFonts w:cstheme="majorBidi"/>
      <w:color w:val="0F4761" w:themeColor="accent1" w:themeShade="BF"/>
      <w:sz w:val="24"/>
    </w:rPr>
  </w:style>
  <w:style w:type="paragraph" w:styleId="Heading6">
    <w:name w:val="heading 6"/>
    <w:basedOn w:val="Normal"/>
    <w:next w:val="Normal"/>
    <w:link w:val="Heading6Char"/>
    <w:uiPriority w:val="9"/>
    <w:semiHidden/>
    <w:unhideWhenUsed/>
    <w:qFormat/>
    <w:rsid w:val="00F55AB0"/>
    <w:pPr>
      <w:keepNext/>
      <w:keepLines/>
      <w:spacing w:before="40" w:after="0"/>
      <w:outlineLvl w:val="5"/>
    </w:pPr>
    <w:rPr>
      <w:rFonts w:cstheme="majorBidi"/>
      <w:b/>
      <w:bCs/>
      <w:color w:val="0F4761" w:themeColor="accent1" w:themeShade="BF"/>
    </w:rPr>
  </w:style>
  <w:style w:type="paragraph" w:styleId="Heading7">
    <w:name w:val="heading 7"/>
    <w:basedOn w:val="Normal"/>
    <w:next w:val="Normal"/>
    <w:link w:val="Heading7Char"/>
    <w:uiPriority w:val="9"/>
    <w:semiHidden/>
    <w:unhideWhenUsed/>
    <w:qFormat/>
    <w:rsid w:val="00F55AB0"/>
    <w:pPr>
      <w:keepNext/>
      <w:keepLines/>
      <w:spacing w:before="40" w:after="0"/>
      <w:outlineLvl w:val="6"/>
    </w:pPr>
    <w:rPr>
      <w:rFonts w:cstheme="majorBidi"/>
      <w:b/>
      <w:bCs/>
      <w:color w:val="595959" w:themeColor="text1" w:themeTint="A6"/>
    </w:rPr>
  </w:style>
  <w:style w:type="paragraph" w:styleId="Heading8">
    <w:name w:val="heading 8"/>
    <w:basedOn w:val="Normal"/>
    <w:next w:val="Normal"/>
    <w:link w:val="Heading8Char"/>
    <w:uiPriority w:val="9"/>
    <w:semiHidden/>
    <w:unhideWhenUsed/>
    <w:qFormat/>
    <w:rsid w:val="00F55AB0"/>
    <w:pPr>
      <w:keepNext/>
      <w:keepLines/>
      <w:spacing w:after="0"/>
      <w:outlineLvl w:val="7"/>
    </w:pPr>
    <w:rPr>
      <w:rFonts w:cstheme="majorBidi"/>
      <w:color w:val="595959" w:themeColor="text1" w:themeTint="A6"/>
    </w:rPr>
  </w:style>
  <w:style w:type="paragraph" w:styleId="Heading9">
    <w:name w:val="heading 9"/>
    <w:basedOn w:val="Normal"/>
    <w:next w:val="Normal"/>
    <w:link w:val="Heading9Char"/>
    <w:uiPriority w:val="9"/>
    <w:semiHidden/>
    <w:unhideWhenUsed/>
    <w:qFormat/>
    <w:rsid w:val="00F55AB0"/>
    <w:pPr>
      <w:keepNext/>
      <w:keepLines/>
      <w:spacing w:after="0"/>
      <w:outlineLvl w:val="8"/>
    </w:pPr>
    <w:rPr>
      <w:rFonts w:eastAsiaTheme="majorEastAsia" w:cstheme="majorBidi"/>
      <w:color w:val="595959" w:themeColor="text1" w:themeTint="A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55AB0"/>
    <w:rPr>
      <w:rFonts w:asciiTheme="majorHAnsi" w:eastAsiaTheme="majorEastAsia" w:hAnsiTheme="majorHAnsi" w:cstheme="majorBidi"/>
      <w:color w:val="0F4761" w:themeColor="accent1" w:themeShade="BF"/>
      <w:sz w:val="48"/>
      <w:szCs w:val="48"/>
    </w:rPr>
  </w:style>
  <w:style w:type="character" w:customStyle="1" w:styleId="Heading2Char">
    <w:name w:val="Heading 2 Char"/>
    <w:basedOn w:val="DefaultParagraphFont"/>
    <w:link w:val="Heading2"/>
    <w:uiPriority w:val="9"/>
    <w:semiHidden/>
    <w:rsid w:val="00F55AB0"/>
    <w:rPr>
      <w:rFonts w:asciiTheme="majorHAnsi" w:eastAsiaTheme="majorEastAsia" w:hAnsiTheme="majorHAnsi" w:cstheme="majorBidi"/>
      <w:color w:val="0F4761" w:themeColor="accent1" w:themeShade="BF"/>
      <w:sz w:val="40"/>
      <w:szCs w:val="40"/>
    </w:rPr>
  </w:style>
  <w:style w:type="character" w:customStyle="1" w:styleId="Heading3Char">
    <w:name w:val="Heading 3 Char"/>
    <w:basedOn w:val="DefaultParagraphFont"/>
    <w:link w:val="Heading3"/>
    <w:uiPriority w:val="9"/>
    <w:semiHidden/>
    <w:rsid w:val="00F55AB0"/>
    <w:rPr>
      <w:rFonts w:asciiTheme="majorHAnsi" w:eastAsiaTheme="majorEastAsia" w:hAnsiTheme="majorHAnsi" w:cstheme="majorBidi"/>
      <w:color w:val="0F4761" w:themeColor="accent1" w:themeShade="BF"/>
      <w:sz w:val="32"/>
      <w:szCs w:val="32"/>
    </w:rPr>
  </w:style>
  <w:style w:type="character" w:customStyle="1" w:styleId="Heading4Char">
    <w:name w:val="Heading 4 Char"/>
    <w:basedOn w:val="DefaultParagraphFont"/>
    <w:link w:val="Heading4"/>
    <w:uiPriority w:val="9"/>
    <w:semiHidden/>
    <w:rsid w:val="00F55AB0"/>
    <w:rPr>
      <w:rFonts w:cstheme="majorBidi"/>
      <w:color w:val="0F4761" w:themeColor="accent1" w:themeShade="BF"/>
      <w:sz w:val="28"/>
      <w:szCs w:val="28"/>
    </w:rPr>
  </w:style>
  <w:style w:type="character" w:customStyle="1" w:styleId="Heading5Char">
    <w:name w:val="Heading 5 Char"/>
    <w:basedOn w:val="DefaultParagraphFont"/>
    <w:link w:val="Heading5"/>
    <w:uiPriority w:val="9"/>
    <w:semiHidden/>
    <w:rsid w:val="00F55AB0"/>
    <w:rPr>
      <w:rFonts w:cstheme="majorBidi"/>
      <w:color w:val="0F4761" w:themeColor="accent1" w:themeShade="BF"/>
      <w:sz w:val="24"/>
    </w:rPr>
  </w:style>
  <w:style w:type="character" w:customStyle="1" w:styleId="Heading6Char">
    <w:name w:val="Heading 6 Char"/>
    <w:basedOn w:val="DefaultParagraphFont"/>
    <w:link w:val="Heading6"/>
    <w:uiPriority w:val="9"/>
    <w:semiHidden/>
    <w:rsid w:val="00F55AB0"/>
    <w:rPr>
      <w:rFonts w:cstheme="majorBidi"/>
      <w:b/>
      <w:bCs/>
      <w:color w:val="0F4761" w:themeColor="accent1" w:themeShade="BF"/>
    </w:rPr>
  </w:style>
  <w:style w:type="character" w:customStyle="1" w:styleId="Heading7Char">
    <w:name w:val="Heading 7 Char"/>
    <w:basedOn w:val="DefaultParagraphFont"/>
    <w:link w:val="Heading7"/>
    <w:uiPriority w:val="9"/>
    <w:semiHidden/>
    <w:rsid w:val="00F55AB0"/>
    <w:rPr>
      <w:rFonts w:cstheme="majorBidi"/>
      <w:b/>
      <w:bCs/>
      <w:color w:val="595959" w:themeColor="text1" w:themeTint="A6"/>
    </w:rPr>
  </w:style>
  <w:style w:type="character" w:customStyle="1" w:styleId="Heading8Char">
    <w:name w:val="Heading 8 Char"/>
    <w:basedOn w:val="DefaultParagraphFont"/>
    <w:link w:val="Heading8"/>
    <w:uiPriority w:val="9"/>
    <w:semiHidden/>
    <w:rsid w:val="00F55AB0"/>
    <w:rPr>
      <w:rFonts w:cstheme="majorBidi"/>
      <w:color w:val="595959" w:themeColor="text1" w:themeTint="A6"/>
    </w:rPr>
  </w:style>
  <w:style w:type="character" w:customStyle="1" w:styleId="Heading9Char">
    <w:name w:val="Heading 9 Char"/>
    <w:basedOn w:val="DefaultParagraphFont"/>
    <w:link w:val="Heading9"/>
    <w:uiPriority w:val="9"/>
    <w:semiHidden/>
    <w:rsid w:val="00F55AB0"/>
    <w:rPr>
      <w:rFonts w:eastAsiaTheme="majorEastAsia" w:cstheme="majorBidi"/>
      <w:color w:val="595959" w:themeColor="text1" w:themeTint="A6"/>
    </w:rPr>
  </w:style>
  <w:style w:type="paragraph" w:styleId="Title">
    <w:name w:val="Title"/>
    <w:basedOn w:val="Normal"/>
    <w:next w:val="Normal"/>
    <w:link w:val="TitleChar"/>
    <w:uiPriority w:val="10"/>
    <w:qFormat/>
    <w:rsid w:val="00F55AB0"/>
    <w:pPr>
      <w:spacing w:after="80" w:line="240" w:lineRule="auto"/>
      <w:contextualSpacing/>
      <w:jc w:val="center"/>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55AB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55AB0"/>
    <w:pPr>
      <w:numPr>
        <w:ilvl w:val="1"/>
      </w:numPr>
      <w:jc w:val="center"/>
    </w:pPr>
    <w:rPr>
      <w:rFonts w:asciiTheme="majorHAnsi" w:eastAsiaTheme="majorEastAsia" w:hAnsiTheme="maj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55AB0"/>
    <w:rPr>
      <w:rFonts w:asciiTheme="majorHAnsi" w:eastAsiaTheme="majorEastAsia" w:hAnsiTheme="majorHAnsi" w:cstheme="majorBidi"/>
      <w:color w:val="595959" w:themeColor="text1" w:themeTint="A6"/>
      <w:spacing w:val="15"/>
      <w:sz w:val="28"/>
      <w:szCs w:val="28"/>
    </w:rPr>
  </w:style>
  <w:style w:type="paragraph" w:styleId="Quote">
    <w:name w:val="Quote"/>
    <w:basedOn w:val="Normal"/>
    <w:next w:val="Normal"/>
    <w:link w:val="QuoteChar"/>
    <w:uiPriority w:val="29"/>
    <w:qFormat/>
    <w:rsid w:val="00F55AB0"/>
    <w:pPr>
      <w:spacing w:before="160"/>
      <w:jc w:val="center"/>
    </w:pPr>
    <w:rPr>
      <w:i/>
      <w:iCs/>
      <w:color w:val="404040" w:themeColor="text1" w:themeTint="BF"/>
    </w:rPr>
  </w:style>
  <w:style w:type="character" w:customStyle="1" w:styleId="QuoteChar">
    <w:name w:val="Quote Char"/>
    <w:basedOn w:val="DefaultParagraphFont"/>
    <w:link w:val="Quote"/>
    <w:uiPriority w:val="29"/>
    <w:rsid w:val="00F55AB0"/>
    <w:rPr>
      <w:i/>
      <w:iCs/>
      <w:color w:val="404040" w:themeColor="text1" w:themeTint="BF"/>
    </w:rPr>
  </w:style>
  <w:style w:type="paragraph" w:styleId="ListParagraph">
    <w:name w:val="List Paragraph"/>
    <w:basedOn w:val="Normal"/>
    <w:uiPriority w:val="34"/>
    <w:qFormat/>
    <w:rsid w:val="00F55AB0"/>
    <w:pPr>
      <w:ind w:left="720"/>
      <w:contextualSpacing/>
    </w:pPr>
  </w:style>
  <w:style w:type="character" w:styleId="IntenseEmphasis">
    <w:name w:val="Intense Emphasis"/>
    <w:basedOn w:val="DefaultParagraphFont"/>
    <w:uiPriority w:val="21"/>
    <w:qFormat/>
    <w:rsid w:val="00F55AB0"/>
    <w:rPr>
      <w:i/>
      <w:iCs/>
      <w:color w:val="0F4761" w:themeColor="accent1" w:themeShade="BF"/>
    </w:rPr>
  </w:style>
  <w:style w:type="paragraph" w:styleId="IntenseQuote">
    <w:name w:val="Intense Quote"/>
    <w:basedOn w:val="Normal"/>
    <w:next w:val="Normal"/>
    <w:link w:val="IntenseQuoteChar"/>
    <w:uiPriority w:val="30"/>
    <w:qFormat/>
    <w:rsid w:val="00F55AB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55AB0"/>
    <w:rPr>
      <w:i/>
      <w:iCs/>
      <w:color w:val="0F4761" w:themeColor="accent1" w:themeShade="BF"/>
    </w:rPr>
  </w:style>
  <w:style w:type="character" w:styleId="IntenseReference">
    <w:name w:val="Intense Reference"/>
    <w:basedOn w:val="DefaultParagraphFont"/>
    <w:uiPriority w:val="32"/>
    <w:qFormat/>
    <w:rsid w:val="00F55AB0"/>
    <w:rPr>
      <w:b/>
      <w:bCs/>
      <w:smallCaps/>
      <w:color w:val="0F4761" w:themeColor="accent1" w:themeShade="BF"/>
      <w:spacing w:val="5"/>
    </w:rPr>
  </w:style>
  <w:style w:type="paragraph" w:styleId="Header">
    <w:name w:val="header"/>
    <w:basedOn w:val="Normal"/>
    <w:link w:val="HeaderChar"/>
    <w:uiPriority w:val="99"/>
    <w:unhideWhenUsed/>
    <w:rsid w:val="00182967"/>
    <w:pPr>
      <w:tabs>
        <w:tab w:val="center" w:pos="4153"/>
        <w:tab w:val="right" w:pos="8306"/>
      </w:tabs>
      <w:snapToGrid w:val="0"/>
      <w:spacing w:line="240" w:lineRule="auto"/>
      <w:jc w:val="center"/>
    </w:pPr>
    <w:rPr>
      <w:sz w:val="18"/>
      <w:szCs w:val="18"/>
    </w:rPr>
  </w:style>
  <w:style w:type="character" w:customStyle="1" w:styleId="HeaderChar">
    <w:name w:val="Header Char"/>
    <w:basedOn w:val="DefaultParagraphFont"/>
    <w:link w:val="Header"/>
    <w:uiPriority w:val="99"/>
    <w:rsid w:val="00182967"/>
    <w:rPr>
      <w:sz w:val="18"/>
      <w:szCs w:val="18"/>
    </w:rPr>
  </w:style>
  <w:style w:type="paragraph" w:styleId="Footer">
    <w:name w:val="footer"/>
    <w:basedOn w:val="Normal"/>
    <w:link w:val="FooterChar"/>
    <w:uiPriority w:val="99"/>
    <w:unhideWhenUsed/>
    <w:rsid w:val="00182967"/>
    <w:pPr>
      <w:tabs>
        <w:tab w:val="center" w:pos="4153"/>
        <w:tab w:val="right" w:pos="8306"/>
      </w:tabs>
      <w:snapToGrid w:val="0"/>
      <w:spacing w:line="240" w:lineRule="auto"/>
    </w:pPr>
    <w:rPr>
      <w:sz w:val="18"/>
      <w:szCs w:val="18"/>
    </w:rPr>
  </w:style>
  <w:style w:type="character" w:customStyle="1" w:styleId="FooterChar">
    <w:name w:val="Footer Char"/>
    <w:basedOn w:val="DefaultParagraphFont"/>
    <w:link w:val="Footer"/>
    <w:uiPriority w:val="99"/>
    <w:rsid w:val="00182967"/>
    <w:rPr>
      <w:sz w:val="18"/>
      <w:szCs w:val="18"/>
    </w:rPr>
  </w:style>
  <w:style w:type="paragraph" w:styleId="NormalWeb">
    <w:name w:val="Normal (Web)"/>
    <w:basedOn w:val="Normal"/>
    <w:uiPriority w:val="99"/>
    <w:semiHidden/>
    <w:unhideWhenUsed/>
    <w:rsid w:val="001027E4"/>
    <w:rPr>
      <w:rFonts w:ascii="Times New Roman" w:hAnsi="Times New Roman" w:cs="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403</Words>
  <Characters>2300</Characters>
  <Application>Microsoft Office Word</Application>
  <DocSecurity>0</DocSecurity>
  <Lines>19</Lines>
  <Paragraphs>5</Paragraphs>
  <ScaleCrop>false</ScaleCrop>
  <Company/>
  <LinksUpToDate>false</LinksUpToDate>
  <CharactersWithSpaces>2698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Yuchang Wang</dc:creator>
  <cp:keywords/>
  <dc:description/>
  <cp:lastModifiedBy>Renee Gordon</cp:lastModifiedBy>
  <cp:revision>3</cp:revision>
  <dcterms:created xsi:type="dcterms:W3CDTF">2026-05-01T00:10:00Z</dcterms:created>
  <dcterms:modified xsi:type="dcterms:W3CDTF">2026-05-01T00:10:00Z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ab737ecb-0b9c-4e47-ad9b-4698d9df7d4b</vt:lpwstr>
  </property>
  <property fmtid="{D5CDD505-2E9C-101B-9397-08002B2CF9AE}" pid="3" name="ClassificationContentMarkingFooterShapeIds">
    <vt:lpwstr>4bc146b0,6188916d,4d76685a</vt:lpwstr>
  </property>
  <property fmtid="{D5CDD505-2E9C-101B-9397-08002B2CF9AE}" pid="4" name="ClassificationContentMarkingFooterFontProps">
    <vt:lpwstr>#0078d7,9,Rockwell</vt:lpwstr>
  </property>
  <property fmtid="{D5CDD505-2E9C-101B-9397-08002B2CF9AE}" pid="5" name="ClassificationContentMarkingFooterText">
    <vt:lpwstr>Information Classification: General</vt:lpwstr>
  </property>
  <property fmtid="{D5CDD505-2E9C-101B-9397-08002B2CF9AE}" pid="6" name="MSIP_Label_2bbab825-a111-45e4-86a1-18cee0005896_Enabled">
    <vt:lpwstr>true</vt:lpwstr>
  </property>
  <property fmtid="{D5CDD505-2E9C-101B-9397-08002B2CF9AE}" pid="7" name="MSIP_Label_2bbab825-a111-45e4-86a1-18cee0005896_SetDate">
    <vt:lpwstr>2026-05-01T00:10:24Z</vt:lpwstr>
  </property>
  <property fmtid="{D5CDD505-2E9C-101B-9397-08002B2CF9AE}" pid="8" name="MSIP_Label_2bbab825-a111-45e4-86a1-18cee0005896_Method">
    <vt:lpwstr>Standard</vt:lpwstr>
  </property>
  <property fmtid="{D5CDD505-2E9C-101B-9397-08002B2CF9AE}" pid="9" name="MSIP_Label_2bbab825-a111-45e4-86a1-18cee0005896_Name">
    <vt:lpwstr>2bbab825-a111-45e4-86a1-18cee0005896</vt:lpwstr>
  </property>
  <property fmtid="{D5CDD505-2E9C-101B-9397-08002B2CF9AE}" pid="10" name="MSIP_Label_2bbab825-a111-45e4-86a1-18cee0005896_SiteId">
    <vt:lpwstr>2567d566-604c-408a-8a60-55d0dc9d9d6b</vt:lpwstr>
  </property>
  <property fmtid="{D5CDD505-2E9C-101B-9397-08002B2CF9AE}" pid="11" name="MSIP_Label_2bbab825-a111-45e4-86a1-18cee0005896_ActionId">
    <vt:lpwstr>af50013a-f0cf-48a7-aa87-cd72e8463fb8</vt:lpwstr>
  </property>
  <property fmtid="{D5CDD505-2E9C-101B-9397-08002B2CF9AE}" pid="12" name="MSIP_Label_2bbab825-a111-45e4-86a1-18cee0005896_ContentBits">
    <vt:lpwstr>2</vt:lpwstr>
  </property>
  <property fmtid="{D5CDD505-2E9C-101B-9397-08002B2CF9AE}" pid="13" name="MSIP_Label_2bbab825-a111-45e4-86a1-18cee0005896_Tag">
    <vt:lpwstr>10, 3, 0, 1</vt:lpwstr>
  </property>
</Properties>
</file>