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AD" w:rsidRDefault="006B73AD"/>
    <w:p w:rsidR="00432C4F" w:rsidRPr="00715047" w:rsidRDefault="00A542E7" w:rsidP="00715047">
      <w:pPr>
        <w:pStyle w:val="NormalWeb"/>
        <w:ind w:left="36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95pt;height:307.4pt">
            <v:imagedata r:id="rId5" o:title="Supplementary Figure 1600"/>
          </v:shape>
        </w:pict>
      </w:r>
    </w:p>
    <w:p w:rsidR="00E6688C" w:rsidRPr="00432C4F" w:rsidRDefault="00717556" w:rsidP="0071755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2C4F">
        <w:rPr>
          <w:rStyle w:val="Heading2Char"/>
          <w:rFonts w:ascii="Arial" w:hAnsi="Arial" w:cs="Arial"/>
          <w:b/>
          <w:color w:val="000000" w:themeColor="text1"/>
          <w:sz w:val="20"/>
          <w:szCs w:val="24"/>
        </w:rPr>
        <w:t xml:space="preserve">Supplementary Figure 1. </w:t>
      </w:r>
      <w:proofErr w:type="spellStart"/>
      <w:r w:rsidRPr="00432C4F">
        <w:rPr>
          <w:rStyle w:val="Heading2Char"/>
          <w:rFonts w:ascii="Arial" w:hAnsi="Arial" w:cs="Arial"/>
          <w:b/>
          <w:color w:val="000000" w:themeColor="text1"/>
          <w:sz w:val="20"/>
          <w:szCs w:val="24"/>
        </w:rPr>
        <w:t>Immunophenotypic</w:t>
      </w:r>
      <w:proofErr w:type="spellEnd"/>
      <w:r w:rsidRPr="00432C4F">
        <w:rPr>
          <w:rStyle w:val="Heading2Char"/>
          <w:rFonts w:ascii="Arial" w:hAnsi="Arial" w:cs="Arial"/>
          <w:b/>
          <w:color w:val="000000" w:themeColor="text1"/>
          <w:sz w:val="20"/>
          <w:szCs w:val="24"/>
        </w:rPr>
        <w:t xml:space="preserve"> analysis of CIK cells from healthy donor 1 PBMCs.</w:t>
      </w:r>
      <w:r w:rsidRPr="00432C4F">
        <w:rPr>
          <w:rFonts w:ascii="Arial" w:hAnsi="Arial" w:cs="Arial"/>
          <w:b/>
          <w:color w:val="000000" w:themeColor="text1"/>
          <w:sz w:val="20"/>
          <w:szCs w:val="24"/>
        </w:rPr>
        <w:t xml:space="preserve"> </w:t>
      </w:r>
      <w:r w:rsidRPr="00432C4F">
        <w:rPr>
          <w:rFonts w:ascii="Arial" w:hAnsi="Arial" w:cs="Arial"/>
          <w:color w:val="000000" w:themeColor="text1"/>
          <w:sz w:val="20"/>
          <w:szCs w:val="24"/>
        </w:rPr>
        <w:t>The percentages of T (CD3</w:t>
      </w:r>
      <w:r w:rsidRPr="00432C4F">
        <w:rPr>
          <w:rFonts w:ascii="Arial" w:hAnsi="Arial" w:cs="Arial"/>
          <w:color w:val="000000" w:themeColor="text1"/>
          <w:sz w:val="20"/>
          <w:szCs w:val="24"/>
          <w:vertAlign w:val="superscript"/>
        </w:rPr>
        <w:t>+</w:t>
      </w:r>
      <w:r w:rsidRPr="00432C4F">
        <w:rPr>
          <w:rFonts w:ascii="Arial" w:hAnsi="Arial" w:cs="Arial"/>
          <w:color w:val="000000" w:themeColor="text1"/>
          <w:sz w:val="20"/>
          <w:szCs w:val="24"/>
        </w:rPr>
        <w:t>CD8</w:t>
      </w:r>
      <w:r w:rsidRPr="00432C4F">
        <w:rPr>
          <w:rFonts w:ascii="Arial" w:hAnsi="Arial" w:cs="Arial"/>
          <w:color w:val="000000" w:themeColor="text1"/>
          <w:sz w:val="20"/>
          <w:szCs w:val="24"/>
          <w:vertAlign w:val="superscript"/>
        </w:rPr>
        <w:t>+</w:t>
      </w:r>
      <w:r w:rsidRPr="00432C4F">
        <w:rPr>
          <w:rFonts w:ascii="Arial" w:hAnsi="Arial" w:cs="Arial"/>
          <w:color w:val="000000" w:themeColor="text1"/>
          <w:sz w:val="20"/>
          <w:szCs w:val="24"/>
        </w:rPr>
        <w:t>), NK (CD3</w:t>
      </w:r>
      <w:r w:rsidRPr="00432C4F">
        <w:rPr>
          <w:rFonts w:ascii="Arial" w:hAnsi="Arial" w:cs="Arial"/>
          <w:color w:val="000000" w:themeColor="text1"/>
          <w:sz w:val="20"/>
          <w:szCs w:val="24"/>
          <w:vertAlign w:val="superscript"/>
        </w:rPr>
        <w:t>-</w:t>
      </w:r>
      <w:r w:rsidRPr="00432C4F">
        <w:rPr>
          <w:rFonts w:ascii="Arial" w:hAnsi="Arial" w:cs="Arial"/>
          <w:color w:val="000000" w:themeColor="text1"/>
          <w:sz w:val="20"/>
          <w:szCs w:val="24"/>
        </w:rPr>
        <w:t>CD56</w:t>
      </w:r>
      <w:r w:rsidRPr="00432C4F">
        <w:rPr>
          <w:rFonts w:ascii="Arial" w:hAnsi="Arial" w:cs="Arial"/>
          <w:color w:val="000000" w:themeColor="text1"/>
          <w:sz w:val="20"/>
          <w:szCs w:val="24"/>
          <w:vertAlign w:val="superscript"/>
        </w:rPr>
        <w:t>+</w:t>
      </w:r>
      <w:r w:rsidRPr="00432C4F">
        <w:rPr>
          <w:rFonts w:ascii="Arial" w:hAnsi="Arial" w:cs="Arial"/>
          <w:color w:val="000000" w:themeColor="text1"/>
          <w:sz w:val="20"/>
          <w:szCs w:val="24"/>
        </w:rPr>
        <w:t>) and NKT (CD3</w:t>
      </w:r>
      <w:r w:rsidRPr="00432C4F">
        <w:rPr>
          <w:rFonts w:ascii="Arial" w:hAnsi="Arial" w:cs="Arial"/>
          <w:color w:val="000000" w:themeColor="text1"/>
          <w:sz w:val="20"/>
          <w:szCs w:val="24"/>
          <w:vertAlign w:val="superscript"/>
        </w:rPr>
        <w:t>+</w:t>
      </w:r>
      <w:r w:rsidRPr="00432C4F">
        <w:rPr>
          <w:rFonts w:ascii="Arial" w:hAnsi="Arial" w:cs="Arial"/>
          <w:color w:val="000000" w:themeColor="text1"/>
          <w:sz w:val="20"/>
          <w:szCs w:val="24"/>
        </w:rPr>
        <w:t>CD56</w:t>
      </w:r>
      <w:r w:rsidRPr="00432C4F">
        <w:rPr>
          <w:rFonts w:ascii="Arial" w:hAnsi="Arial" w:cs="Arial"/>
          <w:color w:val="000000" w:themeColor="text1"/>
          <w:sz w:val="20"/>
          <w:szCs w:val="24"/>
          <w:vertAlign w:val="superscript"/>
        </w:rPr>
        <w:t>+</w:t>
      </w:r>
      <w:r w:rsidRPr="00432C4F">
        <w:rPr>
          <w:rFonts w:ascii="Arial" w:hAnsi="Arial" w:cs="Arial"/>
          <w:color w:val="000000" w:themeColor="text1"/>
          <w:sz w:val="20"/>
          <w:szCs w:val="24"/>
        </w:rPr>
        <w:t>) cells were determined by flow cytometry, with results expressed as mean ± SD (n = 3). (A) Representative phenotype analysis of PBMCs on Day 0. (B) Representative phenotype analysis of the CIK cell population after culture.</w:t>
      </w:r>
      <w:r w:rsidR="00E6688C" w:rsidRPr="00432C4F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E6688C" w:rsidRDefault="00A542E7" w:rsidP="00317064">
      <w:pPr>
        <w:jc w:val="center"/>
      </w:pPr>
      <w:r>
        <w:lastRenderedPageBreak/>
        <w:pict>
          <v:shape id="_x0000_i1026" type="#_x0000_t75" style="width:417.05pt;height:401.55pt">
            <v:imagedata r:id="rId6" o:title="Supplementary Figure 2"/>
          </v:shape>
        </w:pict>
      </w:r>
    </w:p>
    <w:p w:rsidR="00E6688C" w:rsidRDefault="00E6688C" w:rsidP="00E6688C">
      <w:pPr>
        <w:jc w:val="both"/>
        <w:rPr>
          <w:rFonts w:ascii="Arial" w:hAnsi="Arial" w:cs="Arial"/>
          <w:sz w:val="24"/>
          <w:szCs w:val="24"/>
        </w:rPr>
      </w:pPr>
      <w:r w:rsidRPr="00317064">
        <w:rPr>
          <w:rFonts w:ascii="Arial" w:hAnsi="Arial" w:cs="Arial"/>
          <w:b/>
          <w:sz w:val="20"/>
          <w:szCs w:val="24"/>
        </w:rPr>
        <w:t xml:space="preserve">Supplementary Figure 2. Membranes labelled with highly expressed markers in the </w:t>
      </w:r>
      <w:proofErr w:type="spellStart"/>
      <w:r w:rsidRPr="00317064">
        <w:rPr>
          <w:rFonts w:ascii="Arial" w:hAnsi="Arial" w:cs="Arial"/>
          <w:b/>
          <w:sz w:val="20"/>
          <w:szCs w:val="24"/>
        </w:rPr>
        <w:t>coculture</w:t>
      </w:r>
      <w:proofErr w:type="spellEnd"/>
      <w:r w:rsidRPr="00317064">
        <w:rPr>
          <w:rFonts w:ascii="Arial" w:hAnsi="Arial" w:cs="Arial"/>
          <w:b/>
          <w:sz w:val="20"/>
          <w:szCs w:val="24"/>
        </w:rPr>
        <w:t xml:space="preserve"> of CIK cells and HCT-15 cells at </w:t>
      </w:r>
      <w:proofErr w:type="gramStart"/>
      <w:r w:rsidRPr="00317064">
        <w:rPr>
          <w:rFonts w:ascii="Arial" w:hAnsi="Arial" w:cs="Arial"/>
          <w:b/>
          <w:sz w:val="20"/>
          <w:szCs w:val="24"/>
        </w:rPr>
        <w:t>E:T</w:t>
      </w:r>
      <w:proofErr w:type="gramEnd"/>
      <w:r w:rsidRPr="00317064">
        <w:rPr>
          <w:rFonts w:ascii="Arial" w:hAnsi="Arial" w:cs="Arial"/>
          <w:b/>
          <w:sz w:val="20"/>
          <w:szCs w:val="24"/>
        </w:rPr>
        <w:t xml:space="preserve"> ratios of (A) 1:1 and (B) 10:1.</w:t>
      </w:r>
      <w:r w:rsidRPr="00317064">
        <w:rPr>
          <w:rFonts w:ascii="Arial" w:hAnsi="Arial" w:cs="Arial"/>
          <w:sz w:val="20"/>
          <w:szCs w:val="24"/>
        </w:rPr>
        <w:t xml:space="preserve"> The </w:t>
      </w:r>
      <w:proofErr w:type="spellStart"/>
      <w:r w:rsidRPr="00317064">
        <w:rPr>
          <w:rFonts w:ascii="Arial" w:hAnsi="Arial" w:cs="Arial"/>
          <w:sz w:val="20"/>
          <w:szCs w:val="24"/>
        </w:rPr>
        <w:t>analytes</w:t>
      </w:r>
      <w:proofErr w:type="spellEnd"/>
      <w:r w:rsidRPr="00317064">
        <w:rPr>
          <w:rFonts w:ascii="Arial" w:hAnsi="Arial" w:cs="Arial"/>
          <w:sz w:val="20"/>
          <w:szCs w:val="24"/>
        </w:rPr>
        <w:t xml:space="preserve"> coordinates and mean spot pixel density were tabulated in Supplementary Table 1.</w:t>
      </w:r>
      <w:r w:rsidRPr="00317064">
        <w:rPr>
          <w:rFonts w:ascii="Arial" w:hAnsi="Arial" w:cs="Arial"/>
          <w:sz w:val="24"/>
          <w:szCs w:val="24"/>
        </w:rPr>
        <w:br w:type="page"/>
      </w:r>
    </w:p>
    <w:p w:rsidR="00A542E7" w:rsidRDefault="00A542E7" w:rsidP="00E6688C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w:lastRenderedPageBreak/>
        <w:drawing>
          <wp:inline distT="0" distB="0" distL="0" distR="0">
            <wp:extent cx="5219065" cy="3671570"/>
            <wp:effectExtent l="0" t="0" r="635" b="5080"/>
            <wp:docPr id="1" name="Picture 1" descr="Supplementary 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pplementary Fig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2E7" w:rsidRPr="00317064" w:rsidRDefault="00A542E7" w:rsidP="00E668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0"/>
        </w:rPr>
        <w:t>Supplementary Figure 3</w:t>
      </w:r>
      <w:r w:rsidRPr="00317064">
        <w:rPr>
          <w:rFonts w:ascii="Arial" w:hAnsi="Arial" w:cs="Arial"/>
          <w:b/>
          <w:color w:val="000000" w:themeColor="text1"/>
          <w:sz w:val="20"/>
        </w:rPr>
        <w:t xml:space="preserve">. </w:t>
      </w:r>
      <w:proofErr w:type="spellStart"/>
      <w:r w:rsidRPr="00317064">
        <w:rPr>
          <w:rFonts w:ascii="Arial" w:hAnsi="Arial" w:cs="Arial"/>
          <w:b/>
          <w:color w:val="000000" w:themeColor="text1"/>
          <w:sz w:val="20"/>
        </w:rPr>
        <w:t>Antitumour</w:t>
      </w:r>
      <w:proofErr w:type="spellEnd"/>
      <w:r w:rsidRPr="00317064">
        <w:rPr>
          <w:rFonts w:ascii="Arial" w:hAnsi="Arial" w:cs="Arial"/>
          <w:b/>
          <w:color w:val="000000" w:themeColor="text1"/>
          <w:sz w:val="20"/>
        </w:rPr>
        <w:t xml:space="preserve"> activity of CIK cells against HCT-15 cells.</w:t>
      </w:r>
      <w:r w:rsidRPr="00317064">
        <w:rPr>
          <w:rFonts w:ascii="Arial" w:hAnsi="Arial" w:cs="Arial"/>
          <w:color w:val="000000" w:themeColor="text1"/>
          <w:sz w:val="20"/>
        </w:rPr>
        <w:t xml:space="preserve"> CIK cells, particularly CD3</w:t>
      </w:r>
      <w:r w:rsidRPr="00317064">
        <w:rPr>
          <w:rFonts w:ascii="Arial" w:hAnsi="Arial" w:cs="Arial"/>
          <w:color w:val="000000" w:themeColor="text1"/>
          <w:sz w:val="20"/>
          <w:vertAlign w:val="superscript"/>
        </w:rPr>
        <w:t>+</w:t>
      </w:r>
      <w:r w:rsidRPr="00317064">
        <w:rPr>
          <w:rFonts w:ascii="Arial" w:hAnsi="Arial" w:cs="Arial"/>
          <w:color w:val="000000" w:themeColor="text1"/>
          <w:sz w:val="20"/>
        </w:rPr>
        <w:t>CD56</w:t>
      </w:r>
      <w:r w:rsidRPr="00317064">
        <w:rPr>
          <w:rFonts w:ascii="Arial" w:hAnsi="Arial" w:cs="Arial"/>
          <w:color w:val="000000" w:themeColor="text1"/>
          <w:sz w:val="20"/>
          <w:vertAlign w:val="superscript"/>
        </w:rPr>
        <w:t>+</w:t>
      </w:r>
      <w:r w:rsidRPr="00317064">
        <w:rPr>
          <w:rFonts w:ascii="Arial" w:hAnsi="Arial" w:cs="Arial"/>
          <w:color w:val="000000" w:themeColor="text1"/>
          <w:sz w:val="20"/>
        </w:rPr>
        <w:t xml:space="preserve"> NKT cells, recognise tumour cells via MHC restricted (TCR-MHC) and unrestricted pathways (NKG2D-NKG2DL and DNAM1-LFA1). Upon tumour stimulation, they release pro-inflammatory cytokines such as IFN-γ to create an </w:t>
      </w:r>
      <w:proofErr w:type="spellStart"/>
      <w:r w:rsidRPr="00317064">
        <w:rPr>
          <w:rFonts w:ascii="Arial" w:hAnsi="Arial" w:cs="Arial"/>
          <w:color w:val="000000" w:themeColor="text1"/>
          <w:sz w:val="20"/>
        </w:rPr>
        <w:t>antitumour</w:t>
      </w:r>
      <w:proofErr w:type="spellEnd"/>
      <w:r w:rsidRPr="00317064">
        <w:rPr>
          <w:rFonts w:ascii="Arial" w:hAnsi="Arial" w:cs="Arial"/>
          <w:color w:val="000000" w:themeColor="text1"/>
          <w:sz w:val="20"/>
        </w:rPr>
        <w:t xml:space="preserve"> microenvironment, </w:t>
      </w:r>
      <w:proofErr w:type="spellStart"/>
      <w:r w:rsidRPr="00317064">
        <w:rPr>
          <w:rFonts w:ascii="Arial" w:hAnsi="Arial" w:cs="Arial"/>
          <w:color w:val="000000" w:themeColor="text1"/>
          <w:sz w:val="20"/>
        </w:rPr>
        <w:t>granzyme</w:t>
      </w:r>
      <w:proofErr w:type="spellEnd"/>
      <w:r w:rsidRPr="00317064">
        <w:rPr>
          <w:rFonts w:ascii="Arial" w:hAnsi="Arial" w:cs="Arial"/>
          <w:color w:val="000000" w:themeColor="text1"/>
          <w:sz w:val="20"/>
        </w:rPr>
        <w:t xml:space="preserve"> B to induce cytotoxicity, and express </w:t>
      </w:r>
      <w:proofErr w:type="spellStart"/>
      <w:r w:rsidRPr="00317064">
        <w:rPr>
          <w:rFonts w:ascii="Arial" w:hAnsi="Arial" w:cs="Arial"/>
          <w:color w:val="000000" w:themeColor="text1"/>
          <w:sz w:val="20"/>
        </w:rPr>
        <w:t>FasL</w:t>
      </w:r>
      <w:proofErr w:type="spellEnd"/>
      <w:r w:rsidRPr="00317064">
        <w:rPr>
          <w:rFonts w:ascii="Arial" w:hAnsi="Arial" w:cs="Arial"/>
          <w:color w:val="000000" w:themeColor="text1"/>
          <w:sz w:val="20"/>
        </w:rPr>
        <w:t xml:space="preserve"> to trigger tumour cell death. CIK cells also secrete IL-2 to enhance CTL activation and proliferation, while chemokines such as MIP1α, MIP-1β, CCL5, CXCL9, and CXCL10 recruit additional immune effector cells to the tumour, boosting T and NK cell cytotoxicity. Activation of CIK cells also upregulates EMMPRIN, which binds to its ligand </w:t>
      </w:r>
      <w:proofErr w:type="spellStart"/>
      <w:r w:rsidRPr="00317064">
        <w:rPr>
          <w:rFonts w:ascii="Arial" w:hAnsi="Arial" w:cs="Arial"/>
          <w:color w:val="000000" w:themeColor="text1"/>
          <w:sz w:val="20"/>
        </w:rPr>
        <w:t>CypB</w:t>
      </w:r>
      <w:proofErr w:type="spellEnd"/>
      <w:r w:rsidRPr="00317064">
        <w:rPr>
          <w:rFonts w:ascii="Arial" w:hAnsi="Arial" w:cs="Arial"/>
          <w:color w:val="000000" w:themeColor="text1"/>
          <w:sz w:val="20"/>
        </w:rPr>
        <w:t xml:space="preserve">, promoting T cell proliferation and adhesion through endothelial adhesion molecules such as intercellular adhesion molecule 1 (ICAM-1), which are essential for immune synapse formation. Increased IL-5 production stimulates eosinophil production, enhancing T cell activation, while downregulation of TIM-3 enhances Th1 immune responses by inhibiting </w:t>
      </w:r>
      <w:proofErr w:type="spellStart"/>
      <w:r w:rsidRPr="00317064">
        <w:rPr>
          <w:rFonts w:ascii="Arial" w:hAnsi="Arial" w:cs="Arial"/>
          <w:color w:val="000000" w:themeColor="text1"/>
          <w:sz w:val="20"/>
        </w:rPr>
        <w:t>Treg</w:t>
      </w:r>
      <w:proofErr w:type="spellEnd"/>
      <w:r w:rsidRPr="00317064">
        <w:rPr>
          <w:rFonts w:ascii="Arial" w:hAnsi="Arial" w:cs="Arial"/>
          <w:color w:val="000000" w:themeColor="text1"/>
          <w:sz w:val="20"/>
        </w:rPr>
        <w:t xml:space="preserve"> suppressive activity and reducing T cell exhaustion.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EB1CE3">
        <w:rPr>
          <w:rFonts w:ascii="Arial" w:hAnsi="Arial" w:cs="Arial"/>
          <w:b/>
          <w:sz w:val="20"/>
        </w:rPr>
        <w:t>Notes:</w:t>
      </w:r>
      <w:r w:rsidRPr="00EB1CE3">
        <w:rPr>
          <w:rFonts w:ascii="Arial" w:hAnsi="Arial" w:cs="Arial"/>
          <w:sz w:val="20"/>
        </w:rPr>
        <w:t xml:space="preserve"> ↑, increased expression, secretion, or activation; ↓, decreased expression or inhibition; →, activation or interaction.</w:t>
      </w:r>
    </w:p>
    <w:p w:rsidR="00E628E6" w:rsidRDefault="00A542E7" w:rsidP="00317064">
      <w:pPr>
        <w:jc w:val="center"/>
      </w:pPr>
      <w:r>
        <w:rPr>
          <w:noProof/>
          <w:lang w:eastAsia="en-AU"/>
        </w:rPr>
        <w:lastRenderedPageBreak/>
        <w:pict>
          <v:shape id="_x0000_i1027" type="#_x0000_t75" style="width:422.6pt;height:271.4pt">
            <v:imagedata r:id="rId8" o:title="Supplementary Figure 3"/>
          </v:shape>
        </w:pict>
      </w:r>
    </w:p>
    <w:p w:rsidR="00E628E6" w:rsidRPr="00EB1CE3" w:rsidRDefault="00A542E7" w:rsidP="00EB1CE3">
      <w:pPr>
        <w:pStyle w:val="Heading3"/>
        <w:spacing w:before="0"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</w:rPr>
        <w:t>Supplementary Figure 4</w:t>
      </w:r>
      <w:r w:rsidR="00E628E6" w:rsidRPr="00317064">
        <w:rPr>
          <w:rFonts w:ascii="Arial" w:hAnsi="Arial" w:cs="Arial"/>
          <w:b/>
          <w:color w:val="000000" w:themeColor="text1"/>
          <w:sz w:val="20"/>
        </w:rPr>
        <w:t xml:space="preserve">. Mechanisms of action of cytokines contributing to cancer progression in HCT-15 cells. </w:t>
      </w:r>
      <w:r w:rsidR="00E628E6" w:rsidRPr="00317064">
        <w:rPr>
          <w:rFonts w:ascii="Arial" w:hAnsi="Arial" w:cs="Arial"/>
          <w:color w:val="000000" w:themeColor="text1"/>
          <w:sz w:val="20"/>
        </w:rPr>
        <w:t xml:space="preserve">HCT-15 cells upregulated several key cytokines and inhibitory co-stimulatory molecules, promoting tumour progression and immune evasion. For instance, tumour-derived CCL5 upregulates VEGF and </w:t>
      </w:r>
      <w:proofErr w:type="spellStart"/>
      <w:r w:rsidR="00E628E6" w:rsidRPr="00317064">
        <w:rPr>
          <w:rFonts w:ascii="Arial" w:hAnsi="Arial" w:cs="Arial"/>
          <w:color w:val="000000" w:themeColor="text1"/>
          <w:sz w:val="20"/>
        </w:rPr>
        <w:t>angiogenin</w:t>
      </w:r>
      <w:proofErr w:type="spellEnd"/>
      <w:r w:rsidR="00E628E6" w:rsidRPr="00317064">
        <w:rPr>
          <w:rFonts w:ascii="Arial" w:hAnsi="Arial" w:cs="Arial"/>
          <w:color w:val="000000" w:themeColor="text1"/>
          <w:sz w:val="20"/>
        </w:rPr>
        <w:t xml:space="preserve"> to stimulate angiogenesis, while DKK1 activates the PI3K/</w:t>
      </w:r>
      <w:proofErr w:type="spellStart"/>
      <w:r w:rsidR="00E628E6" w:rsidRPr="00317064">
        <w:rPr>
          <w:rFonts w:ascii="Arial" w:hAnsi="Arial" w:cs="Arial"/>
          <w:color w:val="000000" w:themeColor="text1"/>
          <w:sz w:val="20"/>
        </w:rPr>
        <w:t>Akt</w:t>
      </w:r>
      <w:proofErr w:type="spellEnd"/>
      <w:r w:rsidR="00E628E6" w:rsidRPr="00317064">
        <w:rPr>
          <w:rFonts w:ascii="Arial" w:hAnsi="Arial" w:cs="Arial"/>
          <w:color w:val="000000" w:themeColor="text1"/>
          <w:sz w:val="20"/>
        </w:rPr>
        <w:t xml:space="preserve"> pathway to upregulate VEGFR2, enhancing angiogenesis, cell survival, and proliferation. The </w:t>
      </w:r>
      <w:proofErr w:type="spellStart"/>
      <w:r w:rsidR="00E628E6" w:rsidRPr="00317064">
        <w:rPr>
          <w:rFonts w:ascii="Arial" w:hAnsi="Arial" w:cs="Arial"/>
          <w:color w:val="000000" w:themeColor="text1"/>
          <w:sz w:val="20"/>
        </w:rPr>
        <w:t>uPA</w:t>
      </w:r>
      <w:proofErr w:type="spellEnd"/>
      <w:r w:rsidR="00E628E6" w:rsidRPr="00317064">
        <w:rPr>
          <w:rFonts w:ascii="Arial" w:hAnsi="Arial" w:cs="Arial"/>
          <w:color w:val="000000" w:themeColor="text1"/>
          <w:sz w:val="20"/>
        </w:rPr>
        <w:t>/</w:t>
      </w:r>
      <w:proofErr w:type="spellStart"/>
      <w:r w:rsidR="00E628E6" w:rsidRPr="00317064">
        <w:rPr>
          <w:rFonts w:ascii="Arial" w:hAnsi="Arial" w:cs="Arial"/>
          <w:color w:val="000000" w:themeColor="text1"/>
          <w:sz w:val="20"/>
        </w:rPr>
        <w:t>uPAR</w:t>
      </w:r>
      <w:proofErr w:type="spellEnd"/>
      <w:r w:rsidR="00E628E6" w:rsidRPr="00317064">
        <w:rPr>
          <w:rFonts w:ascii="Arial" w:hAnsi="Arial" w:cs="Arial"/>
          <w:color w:val="000000" w:themeColor="text1"/>
          <w:sz w:val="20"/>
        </w:rPr>
        <w:t xml:space="preserve"> complex increases plasmin production, leading to extracellular matrix (ECM) degradation and facilitating tumour invasion. SERPINE E1 exhibits a protective role against tumour dissemination by inhibiting </w:t>
      </w:r>
      <w:proofErr w:type="spellStart"/>
      <w:r w:rsidR="00E628E6" w:rsidRPr="00317064">
        <w:rPr>
          <w:rFonts w:ascii="Arial" w:hAnsi="Arial" w:cs="Arial"/>
          <w:color w:val="000000" w:themeColor="text1"/>
          <w:sz w:val="20"/>
        </w:rPr>
        <w:t>uPA</w:t>
      </w:r>
      <w:proofErr w:type="spellEnd"/>
      <w:r w:rsidR="00E628E6" w:rsidRPr="00317064">
        <w:rPr>
          <w:rFonts w:ascii="Arial" w:hAnsi="Arial" w:cs="Arial"/>
          <w:color w:val="000000" w:themeColor="text1"/>
          <w:sz w:val="20"/>
        </w:rPr>
        <w:t>/</w:t>
      </w:r>
      <w:proofErr w:type="spellStart"/>
      <w:r w:rsidR="00E628E6" w:rsidRPr="00317064">
        <w:rPr>
          <w:rFonts w:ascii="Arial" w:hAnsi="Arial" w:cs="Arial"/>
          <w:color w:val="000000" w:themeColor="text1"/>
          <w:sz w:val="20"/>
        </w:rPr>
        <w:t>uPAR</w:t>
      </w:r>
      <w:proofErr w:type="spellEnd"/>
      <w:r w:rsidR="00E628E6" w:rsidRPr="00317064">
        <w:rPr>
          <w:rFonts w:ascii="Arial" w:hAnsi="Arial" w:cs="Arial"/>
          <w:color w:val="000000" w:themeColor="text1"/>
          <w:sz w:val="20"/>
        </w:rPr>
        <w:t xml:space="preserve"> activity, but its overexpression can enhance tumour cell migration and invasion. Additionally, TSP-1 signalling through CD47 reduces CTL activation and cytotoxicity by inhibiting IL-2 and immune effector molecules release. High TIM-3 expression in the tumour microenvironment (TME) is associated with reduced cytotoxicity and T cell dysfunction, aiding immune evasion. Aberrant VCAM-1 expression </w:t>
      </w:r>
      <w:proofErr w:type="gramStart"/>
      <w:r w:rsidR="00E628E6" w:rsidRPr="00317064">
        <w:rPr>
          <w:rFonts w:ascii="Arial" w:hAnsi="Arial" w:cs="Arial"/>
          <w:color w:val="000000" w:themeColor="text1"/>
          <w:sz w:val="20"/>
        </w:rPr>
        <w:t>recruits</w:t>
      </w:r>
      <w:proofErr w:type="gramEnd"/>
      <w:r w:rsidR="00E628E6" w:rsidRPr="00317064">
        <w:rPr>
          <w:rFonts w:ascii="Arial" w:hAnsi="Arial" w:cs="Arial"/>
          <w:color w:val="000000" w:themeColor="text1"/>
          <w:sz w:val="20"/>
        </w:rPr>
        <w:t xml:space="preserve"> tumour-associated macrophages (TAMs), promoting invasion and metastasis through EMT and enhancing cell survival via PI3K/</w:t>
      </w:r>
      <w:proofErr w:type="spellStart"/>
      <w:r w:rsidR="00E628E6" w:rsidRPr="00317064">
        <w:rPr>
          <w:rFonts w:ascii="Arial" w:hAnsi="Arial" w:cs="Arial"/>
          <w:color w:val="000000" w:themeColor="text1"/>
          <w:sz w:val="20"/>
        </w:rPr>
        <w:t>Akt</w:t>
      </w:r>
      <w:proofErr w:type="spellEnd"/>
      <w:r w:rsidR="00E628E6" w:rsidRPr="00317064">
        <w:rPr>
          <w:rFonts w:ascii="Arial" w:hAnsi="Arial" w:cs="Arial"/>
          <w:color w:val="000000" w:themeColor="text1"/>
          <w:sz w:val="20"/>
        </w:rPr>
        <w:t xml:space="preserve"> signalling. Oncogenic signals such as hypoxia can induce RBP-4 expression, which upregulates </w:t>
      </w:r>
      <w:proofErr w:type="spellStart"/>
      <w:r w:rsidR="00E628E6" w:rsidRPr="00317064">
        <w:rPr>
          <w:rFonts w:ascii="Arial" w:hAnsi="Arial" w:cs="Arial"/>
          <w:color w:val="000000" w:themeColor="text1"/>
          <w:sz w:val="20"/>
        </w:rPr>
        <w:t>angiogenic</w:t>
      </w:r>
      <w:proofErr w:type="spellEnd"/>
      <w:r w:rsidR="00E628E6" w:rsidRPr="00317064">
        <w:rPr>
          <w:rFonts w:ascii="Arial" w:hAnsi="Arial" w:cs="Arial"/>
          <w:color w:val="000000" w:themeColor="text1"/>
          <w:sz w:val="20"/>
        </w:rPr>
        <w:t xml:space="preserve"> factors through the JAK/STAT3 pathway, driving tumour initiation and progression. Elevated IGFBP-2 promotes STAT3 activity in HCT-15 cells, upregulating </w:t>
      </w:r>
      <w:proofErr w:type="spellStart"/>
      <w:r w:rsidR="00E628E6" w:rsidRPr="00317064">
        <w:rPr>
          <w:rFonts w:ascii="Arial" w:hAnsi="Arial" w:cs="Arial"/>
          <w:color w:val="000000" w:themeColor="text1"/>
          <w:sz w:val="20"/>
        </w:rPr>
        <w:t>indoleamine</w:t>
      </w:r>
      <w:proofErr w:type="spellEnd"/>
      <w:r w:rsidR="00E628E6" w:rsidRPr="00317064">
        <w:rPr>
          <w:rFonts w:ascii="Arial" w:hAnsi="Arial" w:cs="Arial"/>
          <w:color w:val="000000" w:themeColor="text1"/>
          <w:sz w:val="20"/>
        </w:rPr>
        <w:t xml:space="preserve"> 2,3 dioxygenase (IDO) and cyclooxygenase-2 (COX-2), key drivers of immunosuppression that allow the tumour cells to evade immune surveillance.</w:t>
      </w:r>
      <w:r w:rsidR="00E628E6" w:rsidRPr="00317064">
        <w:rPr>
          <w:rFonts w:ascii="Arial" w:hAnsi="Arial" w:cs="Arial"/>
          <w:color w:val="000000" w:themeColor="text1"/>
        </w:rPr>
        <w:t xml:space="preserve">  </w:t>
      </w:r>
      <w:r w:rsidR="00EB1CE3" w:rsidRPr="00EB1CE3">
        <w:rPr>
          <w:rFonts w:ascii="Arial" w:hAnsi="Arial" w:cs="Arial"/>
          <w:b/>
          <w:color w:val="000000" w:themeColor="text1"/>
          <w:sz w:val="20"/>
        </w:rPr>
        <w:t>Notes:</w:t>
      </w:r>
      <w:r w:rsidR="00EB1CE3" w:rsidRPr="00EB1CE3">
        <w:rPr>
          <w:rFonts w:ascii="Arial" w:hAnsi="Arial" w:cs="Arial"/>
          <w:color w:val="000000" w:themeColor="text1"/>
          <w:sz w:val="20"/>
        </w:rPr>
        <w:t xml:space="preserve"> ↑, increased expression or activation; ↓, decreased expression or inhibition; →, activation or induction; </w:t>
      </w:r>
      <w:r w:rsidR="00EB1CE3" w:rsidRPr="00EB1CE3">
        <w:rPr>
          <w:rFonts w:ascii="Cambria Math" w:hAnsi="Cambria Math" w:cs="Cambria Math"/>
          <w:color w:val="000000" w:themeColor="text1"/>
          <w:sz w:val="20"/>
        </w:rPr>
        <w:t>⊣</w:t>
      </w:r>
      <w:r w:rsidR="00EB1CE3" w:rsidRPr="00EB1CE3">
        <w:rPr>
          <w:rFonts w:ascii="Arial" w:hAnsi="Arial" w:cs="Arial"/>
          <w:color w:val="000000" w:themeColor="text1"/>
          <w:sz w:val="20"/>
        </w:rPr>
        <w:t>, inhibition.</w:t>
      </w:r>
    </w:p>
    <w:p w:rsidR="00E628E6" w:rsidRPr="006B73AD" w:rsidRDefault="00E628E6" w:rsidP="00EB1CE3">
      <w:pPr>
        <w:jc w:val="both"/>
        <w:rPr>
          <w:rFonts w:ascii="Arial" w:hAnsi="Arial" w:cs="Arial"/>
          <w:sz w:val="18"/>
          <w:lang w:val="en-GB"/>
        </w:rPr>
      </w:pPr>
      <w:bookmarkStart w:id="0" w:name="_GoBack"/>
      <w:bookmarkEnd w:id="0"/>
    </w:p>
    <w:p w:rsidR="006B73AD" w:rsidRDefault="006B73AD" w:rsidP="00E6688C">
      <w:pPr>
        <w:jc w:val="both"/>
        <w:rPr>
          <w:rFonts w:ascii="Times New Roman" w:hAnsi="Times New Roman" w:cs="Times New Roman"/>
          <w:sz w:val="24"/>
          <w:szCs w:val="24"/>
        </w:rPr>
        <w:sectPr w:rsidR="006B73A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B73AD" w:rsidRPr="008864D5" w:rsidRDefault="006B73AD" w:rsidP="006B73AD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864D5">
        <w:rPr>
          <w:rFonts w:ascii="Times New Roman" w:hAnsi="Times New Roman" w:cs="Times New Roman"/>
          <w:b/>
          <w:sz w:val="24"/>
        </w:rPr>
        <w:lastRenderedPageBreak/>
        <w:t xml:space="preserve">Supplementary Table 1. </w:t>
      </w:r>
      <w:r w:rsidRPr="008864D5">
        <w:rPr>
          <w:rFonts w:ascii="Times New Roman" w:hAnsi="Times New Roman" w:cs="Times New Roman"/>
          <w:sz w:val="24"/>
        </w:rPr>
        <w:t xml:space="preserve">Average pixel density of the cytokines, chemokines, growth factors and other soluble proteins in the supernatant of CIK cells only, HCT-15 cells only, and their co-cultures at </w:t>
      </w:r>
      <w:proofErr w:type="gramStart"/>
      <w:r w:rsidRPr="008864D5">
        <w:rPr>
          <w:rFonts w:ascii="Times New Roman" w:hAnsi="Times New Roman" w:cs="Times New Roman"/>
          <w:sz w:val="24"/>
        </w:rPr>
        <w:t>E:T</w:t>
      </w:r>
      <w:proofErr w:type="gramEnd"/>
      <w:r w:rsidRPr="008864D5">
        <w:rPr>
          <w:rFonts w:ascii="Times New Roman" w:hAnsi="Times New Roman" w:cs="Times New Roman"/>
          <w:sz w:val="24"/>
        </w:rPr>
        <w:t xml:space="preserve"> ratios of 1:1 and 10:1.</w:t>
      </w:r>
      <w:r w:rsidRPr="008864D5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14"/>
        <w:gridCol w:w="1949"/>
        <w:gridCol w:w="1949"/>
        <w:gridCol w:w="2276"/>
        <w:gridCol w:w="2276"/>
      </w:tblGrid>
      <w:tr w:rsidR="006B73AD" w:rsidRPr="00877478" w:rsidTr="006B73AD">
        <w:trPr>
          <w:trHeight w:val="412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53B55">
              <w:rPr>
                <w:rFonts w:ascii="Times New Roman" w:hAnsi="Times New Roman" w:cs="Times New Roman"/>
                <w:b/>
                <w:bCs/>
                <w:sz w:val="24"/>
              </w:rPr>
              <w:t>No.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3B55">
              <w:rPr>
                <w:rFonts w:ascii="Times New Roman" w:hAnsi="Times New Roman" w:cs="Times New Roman"/>
                <w:b/>
                <w:sz w:val="24"/>
              </w:rPr>
              <w:t>Type</w:t>
            </w:r>
          </w:p>
        </w:tc>
        <w:tc>
          <w:tcPr>
            <w:tcW w:w="8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73AD" w:rsidRPr="00C53B55" w:rsidRDefault="006B73AD" w:rsidP="006B73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3B55">
              <w:rPr>
                <w:rFonts w:ascii="Times New Roman" w:hAnsi="Times New Roman" w:cs="Times New Roman"/>
                <w:b/>
                <w:sz w:val="24"/>
              </w:rPr>
              <w:t>Average pixel density</w:t>
            </w:r>
          </w:p>
        </w:tc>
      </w:tr>
      <w:tr w:rsidR="006B73AD" w:rsidRPr="00877478" w:rsidTr="006B73AD">
        <w:trPr>
          <w:trHeight w:val="395"/>
        </w:trPr>
        <w:tc>
          <w:tcPr>
            <w:tcW w:w="1418" w:type="dxa"/>
            <w:vMerge/>
            <w:tcBorders>
              <w:bottom w:val="single" w:sz="4" w:space="0" w:color="auto"/>
            </w:tcBorders>
            <w:noWrap/>
          </w:tcPr>
          <w:p w:rsidR="006B73AD" w:rsidRPr="00C53B55" w:rsidRDefault="006B73AD" w:rsidP="006B7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814" w:type="dxa"/>
            <w:vMerge/>
            <w:tcBorders>
              <w:bottom w:val="single" w:sz="4" w:space="0" w:color="auto"/>
            </w:tcBorders>
            <w:noWrap/>
          </w:tcPr>
          <w:p w:rsidR="006B73AD" w:rsidRPr="00C53B55" w:rsidRDefault="006B73AD" w:rsidP="006B73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6B73AD" w:rsidRPr="00C53B55" w:rsidRDefault="006B73AD" w:rsidP="006B73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3B55">
              <w:rPr>
                <w:rFonts w:ascii="Times New Roman" w:hAnsi="Times New Roman" w:cs="Times New Roman"/>
                <w:b/>
                <w:sz w:val="24"/>
              </w:rPr>
              <w:t xml:space="preserve">CIK cells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6B73AD" w:rsidRPr="00C53B55" w:rsidRDefault="006B73AD" w:rsidP="006B73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3B55">
              <w:rPr>
                <w:rFonts w:ascii="Times New Roman" w:hAnsi="Times New Roman" w:cs="Times New Roman"/>
                <w:b/>
                <w:sz w:val="24"/>
              </w:rPr>
              <w:t xml:space="preserve">HCT-15 cells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6B73AD" w:rsidRPr="00C53B55" w:rsidRDefault="006B73AD" w:rsidP="006B73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E:T </w:t>
            </w:r>
            <w:r w:rsidRPr="00C53B55">
              <w:rPr>
                <w:rFonts w:ascii="Times New Roman" w:hAnsi="Times New Roman" w:cs="Times New Roman"/>
                <w:b/>
                <w:sz w:val="24"/>
              </w:rPr>
              <w:t>1:1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6B73AD" w:rsidRPr="00C53B55" w:rsidRDefault="006B73AD" w:rsidP="006B73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E:T </w:t>
            </w:r>
            <w:r w:rsidRPr="00C53B55">
              <w:rPr>
                <w:rFonts w:ascii="Times New Roman" w:hAnsi="Times New Roman" w:cs="Times New Roman"/>
                <w:b/>
                <w:sz w:val="24"/>
              </w:rPr>
              <w:t>10:1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A1, A2</w:t>
            </w:r>
          </w:p>
        </w:tc>
        <w:tc>
          <w:tcPr>
            <w:tcW w:w="4814" w:type="dxa"/>
            <w:tcBorders>
              <w:top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Reference Spots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1,346,604.50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1,468,895.00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1,248,816.50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1,335,350.00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A3, A4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Adiponectin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(Acrp30)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2,624,334.50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2,684,312.50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2,548,873.00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2,422,601.00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A5, A6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Apolipoprotein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A-I (ApoA1)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1,053,975.00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954,393.00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839,337.50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698,020.50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A7, A8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Angiogenin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499,753.50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444,262.00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352,457.00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288,341.50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A9, A10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Angiopoietin-1 (Ang-1)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20,310.00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13,665.00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12,163.50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13,299.50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A11, A12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Angiopoietin-2 (Ang-2)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34,629.50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49,088.00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21,642.50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20,359.00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A13, A14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B-cell activating factor (BAFF)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20,441.00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26,202.00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28,198.50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22,717.50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A15,A16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Brain-derived neurotrophic factor (BDNF)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26,041.50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80,858.50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104,741.50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48,433.50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A17, A18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Complement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Component C5/C5a (C5/C5a)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372,919.50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318,481.00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266,436.50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277,005.00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A19, A20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CD14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38,273.00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57,359.00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39,006.50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30,954.00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A21, A22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CD30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146,660.50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75,580.00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78,393.00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106,667.00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A23,A24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Reference Spots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1,031,822.50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812,844.50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959,443.50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1,060,001.50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B3, B4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CD40 Ligand (CD40L)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174,104.50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195,160.00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130,794.50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127,646.50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B5, B6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Chitinase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3-like 1 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(CHI3L1)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256,327.50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165,297.00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117,974.00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102,609.50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B7, B8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Complement Factor D (CFD)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135,326.50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84,607.50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66,638.50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55,092.50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B9, B10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C-Reactive Protein (CRP)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66,989.50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38,247.50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32,037.50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24,442.50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B11, B12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Cripto-1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14,847.00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9,755.50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38,571.50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6,367.00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B13, B14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Cystatin C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36,210.00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68,776.00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59,247.50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30,509.50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B15,B16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Dickkopf</w:t>
            </w:r>
            <w:proofErr w:type="spellEnd"/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WNT signaling pathway inhibitor 1 (Dkk-1)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44,094.50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1,147,429.50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1,291,783.50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589,743.00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B17, B18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Dipeptidyl peptidase-4 (DPPIV)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203,082.50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152,650.00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124,975.50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135,622.50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B19, B20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Epidermal growth factor (EGF)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36,669.50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93,575.50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81,871.50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47,697.00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B21, B22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Extracellular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Matrix Metalloproteinase Inducer (EMMPRIN) (CD147)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248,673.50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214,548.50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285,512.50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307,169.50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C3, C4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Epithelial neutrophil-activating peptide 78 (ENA-78) (CXCL5)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45,309.50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207,621.50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146,771.00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95,783.50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C5, C6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Endoglin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(CD105)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90,015.50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54,280.50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36,924.50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44,529.00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C7, C8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Fas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Ligand (CD95L)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302,104.50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165,126.50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148,850.50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219,148.00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C9, C10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Fibroblast growth factors (FGF)-basic (FGF-2)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66,634.00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63,678.00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18,338.50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24,650.50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C11, C12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FGF-7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22,422.50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13,461.00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7,491.50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12,268.00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C13, C14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FGF-19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97,179.50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97,514.00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55,738.50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41,744.00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C15,C16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Fms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-related tyrosine kinase 3 (Flt-3) ligand (FLT3LG)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218,192.50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171,982.50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158,807.00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151,632.00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C17, C18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Granulocyte colony-stimulating factor (G-CSF)(CSF3)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21,176.50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51,400.00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52,792.00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30,663.00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C19, C20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Growth</w:t>
            </w:r>
            <w:proofErr w:type="spellEnd"/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differentiation factor 15 (GDF-15)(MIC-1)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46,460.50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1,120,349.00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1,066,868.50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340,576.00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C21, C22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Granulocyte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macrophage colony-stimulating factor (GM-CSF)(CSF2)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469,625.50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214,112.50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204,182.00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249,383.50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D1, D2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Growth Regulated Oncogene Alpha (GROα) (CXCL1)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27,068.50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29,926.00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22,044.50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26,337.00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D3, D4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Growth Hormone (GH)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15,667.50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16,717.50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10,569.50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13,391.00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D5, D6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Hepatocyte growth factor (HGF)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28,225.00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26,562.50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21,145.50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27,860.50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D7, D8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Intercellular Adhesion Molecule 1 (ICAM-1)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80,473.00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69,571.00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66,779.50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102,838.50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D9, D10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Interferon-ү (IFN-ү)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104,957.00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59,101.50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62,338.00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44,287.50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D11, D12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Insulin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-like growth factor binding protein-2 (IGFBP-2)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135,740.00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179,519.50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145,702.00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63,458.00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D13, D14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Insulin-like growth factor binding protein-3 (IGFBP-3)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47,072.00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23,556.00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14,373.50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15,706.50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D15, D16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(IL)-1α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67,432.50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61,159.50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56,534.50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43,519.00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D17, D18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(IL)-1β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14,425.00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29,674.50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46,850.50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26,868.00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D19, D20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(IL)-1ra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41,544.50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55,197.00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67,172.00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55,926.50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D21, D22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(IL)-2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1,166,484.50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816,791.00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970,888.00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807,959.50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D23, D24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(IL)-3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62,316.50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36,232.00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45,224.50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29,267.50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E1, E2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(IL)-4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21,585.00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14,534.50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10,739.50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12,601.50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E3, E4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(IL)-5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430,153.50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230,607.00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192,906.00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289,099.50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E5, E6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(IL)-6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39,988.50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40,300.50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29,425.00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32,193.00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E7, E8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(IL)-8 (CXCL8)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938,971.50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708,966.00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636,509.50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701,435.00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E9, E10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(IL)-10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24,247.00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18,520.00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18,811.00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14,540.00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E11, E12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(IL)-11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29,088.00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28,651.50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32,050.50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15,886.50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E13, E14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(IL)-12 p70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14,349.50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12,453.00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11,682.50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11,067.50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E15, E16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(IL)-13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12,687.50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13,487.50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17,409.00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13,373.50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E17, E18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(IL)-15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13,817.00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35,748.00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42,424.50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51,206.00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E19, E20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(IL)-16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89,612.00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106,324.00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101,716.00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134,479.00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E21, E22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(IL)-17A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132,745.50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86,344.00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132,555.50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94,324.00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E23, E24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Interleukin (IL)-18 </w:t>
            </w:r>
            <w:proofErr w:type="spellStart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Bpa</w:t>
            </w:r>
            <w:proofErr w:type="spellEnd"/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112,801.50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51,886.00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79,741.00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88,217.00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F1, F2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(IL)-19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7,501.00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11,153.50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7,414.50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7,122.00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F3, F4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(IL)-22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32,148.50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54,823.00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15,642.50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21,517.00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F5, F6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(IL)-23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18,153.50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42,922.00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31,596.50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23,969.50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F7, F8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(IL)-24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42,234.00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36,737.00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33,175.00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33,075.00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F9, F10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(IL)-27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23,261.00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19,851.50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15,128.50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14,785.50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F11, F12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(IL)-31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25,804.00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17,129.00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15,169.50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14,945.00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F13, F14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(IL)-32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35,563.00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24,271.50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42,636.00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25,741.00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F15, F16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(IL)-33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19,146.00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27,426.50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31,371.00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21,925.00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F17, F18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(IL)-34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26,797.50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51,753.00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54,935.00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66,643.00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F19, F20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Human</w:t>
            </w:r>
            <w:proofErr w:type="spellEnd"/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interferon-inducible protein 10 (IP-10) 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(CXCL10)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51,967.00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902,458.00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1,251,936.00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1,657,827.00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F21, F22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Interferon-inducible T cell alpha chemoattractant (I-TAC) (CXCL11)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29,243.00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27,406.50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41,263.50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34,532.00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F23, F24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Kallikrein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3 (KLK3)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55,682.00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39,334.50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34,652.50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40,249.50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G1, G2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Leptin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4,116.50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7,295.00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5,120.50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6,155.50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G3, G4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Leukemia inhibitory factor (LIF)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12,831.50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18,957.50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13,133.50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43,559.00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G5, G6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Lipocalin-2 (LCN2)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86,380.00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543,899.00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479,235.50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225,648.00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G7, G8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Monocyte chemoattractant protein (MCP)-1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23,453.50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29,164.00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23,834.50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20,548.00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G9, G10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Monocyte chemoattractant protein (MCP)-3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23,186.50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13,696.00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11,608.50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13,638.50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G11, G12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Macrophage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colony-stimulating factor (M-CSF)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105,885.00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57,392.50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46,945.50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57,483.50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G13, G14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Macrophage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migration inhibitory factor (MIF)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245,395.50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158,981.00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154,712.00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185,293.50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G15, G16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Monokine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induced by gamma interferon (MIG) (CXCL9)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130,831.50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306,356.50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435,735.50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300,766.50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G17, G18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Macrophage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inflammatory protein-1 alpha/Macrophage inflammatory protein-1 beta (MIP-1α/MIP-1β) (CCL3/CCL4)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338,681.00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145,177.00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64,626.50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48,697.00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G19, G20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Macrophage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inflammatory protein 3α (MIP-3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  <w:lang w:val="el-GR"/>
              </w:rPr>
              <w:t>α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(CCL20)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16,261.00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58,452.00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66,222.50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71,619.00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G21, G22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Macrophage inflammatory protein 3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(MIP-3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(CCL19)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17,784.00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18,551.00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21,770.00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18,970.50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G23, G24</w:t>
            </w:r>
          </w:p>
        </w:tc>
        <w:tc>
          <w:tcPr>
            <w:tcW w:w="4814" w:type="dxa"/>
            <w:noWrap/>
            <w:hideMark/>
          </w:tcPr>
          <w:p w:rsidR="006B73AD" w:rsidRPr="00114F82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Matrix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metalloproteinase-9 (MMP-9)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115,419.50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43,135.00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46,534.00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41,010.00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H1, H2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Myeloperoxidase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10,845.50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21,235.00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24,086.00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18,578.50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H3, H4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Osteopontin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(OPN)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59,671.50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34,269.50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47,125.50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43,593.50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H5, H6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Platelet-derived growth factor (PDGF)-AA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43,677.00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48,752.50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43,442.50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24,673.00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H7, H8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Platelet-derived growth factor (PDGF)-AB/BB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24,161.00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26,427.50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12,966.00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9,643.50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H9, H10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Pentraxin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82,866.50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59,411.50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50,620.00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41,974.00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H11, H12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Platelet</w:t>
            </w:r>
            <w:proofErr w:type="spellEnd"/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factor 4 (PF4) 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(CXCL4)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1,583,442.00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671,156.00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586,360.50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872,224.00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H13, H14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Receptor for advanced glycation </w:t>
            </w:r>
            <w:proofErr w:type="spellStart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endproducts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(RAGE)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49,749.00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40,714.50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17,178.00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19,386.00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H15, H16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Regulated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 xml:space="preserve"> upon Activation, Normal T Cell Expressed and Presumably Secreted (RANTES) (CCL5)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550,009.50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135,671.50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39,832.50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75,849.50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H17, H18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Retinol</w:t>
            </w:r>
            <w:proofErr w:type="spellEnd"/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binding protein 4 (RBP-4)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757,990.00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927,422.50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750,062.50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607,517.50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H19, H20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Relaxin-2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25,172.00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45,651.00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36,715.00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28,910.50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H21, H22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Resistin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46,232.50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79,759.00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56,656.50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30,438.00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H23, H24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Stromal cell-derived factor 1 (SDF-1α) (CXCL12)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18,418.50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10,984.00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11,636.50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9,902.50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I1, I2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Endothelial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plasminogen activator inhibitor (Serpin E1)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144,226.00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350,185.50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349,262.50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209,345.50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I3, I4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Sex hormone-binding globulin (SHBG)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54,540.50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24,095.00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24,302.50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23,604.50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I5, I6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Interleukin 1 receptor-like 1 (ST2)(IL1RL1)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25,457.50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16,298.00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10,790.50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13,262.50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I7, I8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Thymus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and activation-regulated chemokine (TARC) 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(CCL17)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158,466.50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58,748.50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47,100.50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46,340.00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I9, I10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Trefoil factor 3 (TFF3)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46,612.00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23,778.50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18,999.00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20,435.50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I11, I12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Transferrin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receptor 1 (</w:t>
            </w:r>
            <w:proofErr w:type="spellStart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TfR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129,817.50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75,264.50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60,901.50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61,054.00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I13, I14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Transforming growth factor alpha (TGF-α)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29,515.00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14,112.00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13,336.50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31,181.00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I15, I16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Thrombospondin-1 (TSP-1)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72,844.50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103,939.00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88,545.50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42,631.00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I17, I18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Tumor necrosis factor (TNF)-α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60,165.00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47,870.00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41,824.50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41,181.00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I19, I20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Urokinase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type plasminogen activator receptor (</w:t>
            </w:r>
            <w:proofErr w:type="spellStart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uPAR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31,517.00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150,575.50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149,915.00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48,747.00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I21, I22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Vascular</w:t>
            </w:r>
            <w:proofErr w:type="spellEnd"/>
            <w:r w:rsidRPr="00C53B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endothelial growth factor (VEGF)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102,485.00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637,801.50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463,404.00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59,339.00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J1,J2</w:t>
            </w:r>
          </w:p>
        </w:tc>
        <w:tc>
          <w:tcPr>
            <w:tcW w:w="4814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Reference Spots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1,090,736.50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895,051.00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1,097,915.50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914,952.00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J5, J6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Vitamin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D-binding protein (BP)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99,761.00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81,978.00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41,550.50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53,735.50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J7, J8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Cluster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differentiation 31 (CD31)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652,744.00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288,051.00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276,345.50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401,091.00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J9, J10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-cell immunoglobulin and mucin domain 3 (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TIM-3)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312,833.50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330,947.50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148,851.00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160,764.50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J11, J12</w:t>
            </w:r>
          </w:p>
        </w:tc>
        <w:tc>
          <w:tcPr>
            <w:tcW w:w="4814" w:type="dxa"/>
            <w:noWrap/>
            <w:hideMark/>
          </w:tcPr>
          <w:p w:rsidR="006B73AD" w:rsidRPr="009E2478" w:rsidRDefault="006B73AD" w:rsidP="006B73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a</w:t>
            </w:r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>Vascular</w:t>
            </w:r>
            <w:proofErr w:type="spellEnd"/>
            <w:r w:rsidRPr="00C53B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cell adhesion protein 1 (VCAM-1)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121,030.50</w:t>
            </w:r>
          </w:p>
        </w:tc>
        <w:tc>
          <w:tcPr>
            <w:tcW w:w="1949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168,925.50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46,038.50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  <w:tc>
          <w:tcPr>
            <w:tcW w:w="2276" w:type="dxa"/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47,983.50</w:t>
            </w:r>
            <w:r w:rsidRPr="00511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511977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####</w:t>
            </w:r>
          </w:p>
        </w:tc>
      </w:tr>
      <w:tr w:rsidR="006B73AD" w:rsidRPr="00877478" w:rsidTr="006B73AD">
        <w:trPr>
          <w:trHeight w:val="290"/>
        </w:trPr>
        <w:tc>
          <w:tcPr>
            <w:tcW w:w="1418" w:type="dxa"/>
            <w:tcBorders>
              <w:bottom w:val="single" w:sz="4" w:space="0" w:color="auto"/>
            </w:tcBorders>
            <w:noWrap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J23, J24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noWrap/>
            <w:hideMark/>
          </w:tcPr>
          <w:p w:rsidR="006B73AD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Negative Controls</w:t>
            </w:r>
          </w:p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noWrap/>
            <w:hideMark/>
          </w:tcPr>
          <w:p w:rsidR="006B73AD" w:rsidRPr="00C53B55" w:rsidRDefault="006B73AD" w:rsidP="006B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B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B73AD" w:rsidRPr="00A837CD" w:rsidRDefault="006B73AD" w:rsidP="006B73AD">
      <w:r w:rsidRPr="00440D2E">
        <w:rPr>
          <w:rFonts w:ascii="Times New Roman" w:hAnsi="Times New Roman" w:cs="Times New Roman"/>
          <w:iCs/>
          <w:sz w:val="20"/>
          <w:szCs w:val="24"/>
        </w:rPr>
        <w:t>Two</w:t>
      </w:r>
      <w:r>
        <w:rPr>
          <w:rFonts w:ascii="Times New Roman" w:hAnsi="Times New Roman" w:cs="Times New Roman"/>
          <w:iCs/>
          <w:sz w:val="20"/>
          <w:szCs w:val="24"/>
        </w:rPr>
        <w:t xml:space="preserve">-way ANOVA followed by </w:t>
      </w:r>
      <w:r w:rsidRPr="00440D2E">
        <w:rPr>
          <w:rFonts w:ascii="Times New Roman" w:hAnsi="Times New Roman" w:cs="Times New Roman"/>
          <w:iCs/>
          <w:sz w:val="20"/>
          <w:szCs w:val="24"/>
        </w:rPr>
        <w:t>Tukey</w:t>
      </w:r>
      <w:r>
        <w:rPr>
          <w:rFonts w:ascii="Times New Roman" w:hAnsi="Times New Roman" w:cs="Times New Roman"/>
          <w:iCs/>
          <w:sz w:val="20"/>
          <w:szCs w:val="24"/>
        </w:rPr>
        <w:t>’s post hoc test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 was performed.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A837CD">
        <w:rPr>
          <w:rFonts w:ascii="Times New Roman" w:hAnsi="Times New Roman" w:cs="Times New Roman"/>
          <w:iCs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iCs/>
          <w:sz w:val="20"/>
          <w:szCs w:val="20"/>
        </w:rPr>
        <w:t xml:space="preserve"> R</w:t>
      </w:r>
      <w:r w:rsidRPr="00A837CD">
        <w:rPr>
          <w:rFonts w:ascii="Times New Roman" w:hAnsi="Times New Roman" w:cs="Times New Roman"/>
          <w:iCs/>
          <w:sz w:val="20"/>
          <w:szCs w:val="20"/>
        </w:rPr>
        <w:t xml:space="preserve">epresents </w:t>
      </w:r>
      <w:r w:rsidRPr="00A837CD">
        <w:rPr>
          <w:rFonts w:ascii="Times New Roman" w:hAnsi="Times New Roman" w:cs="Times New Roman"/>
          <w:color w:val="000000" w:themeColor="text1"/>
          <w:sz w:val="20"/>
          <w:szCs w:val="20"/>
        </w:rPr>
        <w:t>growth factors and cytokines that were significantly regulated in the co-culture of CIK cells and HCT-15 cells.</w:t>
      </w:r>
      <w:r>
        <w:t xml:space="preserve"> 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 *</w:t>
      </w:r>
      <w:r w:rsidRPr="00440D2E">
        <w:rPr>
          <w:rFonts w:ascii="Times New Roman" w:hAnsi="Times New Roman" w:cs="Times New Roman"/>
          <w:i/>
          <w:iCs/>
          <w:sz w:val="20"/>
          <w:szCs w:val="24"/>
        </w:rPr>
        <w:t>p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 &lt;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440D2E">
        <w:rPr>
          <w:rFonts w:ascii="Times New Roman" w:hAnsi="Times New Roman" w:cs="Times New Roman"/>
          <w:iCs/>
          <w:sz w:val="20"/>
          <w:szCs w:val="24"/>
        </w:rPr>
        <w:t>0.05, **</w:t>
      </w:r>
      <w:r w:rsidRPr="00440D2E">
        <w:rPr>
          <w:rFonts w:ascii="Times New Roman" w:hAnsi="Times New Roman" w:cs="Times New Roman"/>
          <w:i/>
          <w:iCs/>
          <w:sz w:val="20"/>
          <w:szCs w:val="24"/>
        </w:rPr>
        <w:t>p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 &lt;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440D2E">
        <w:rPr>
          <w:rFonts w:ascii="Times New Roman" w:hAnsi="Times New Roman" w:cs="Times New Roman"/>
          <w:iCs/>
          <w:sz w:val="20"/>
          <w:szCs w:val="24"/>
        </w:rPr>
        <w:t>0.01, ***</w:t>
      </w:r>
      <w:r w:rsidRPr="00440D2E">
        <w:rPr>
          <w:rFonts w:ascii="Times New Roman" w:hAnsi="Times New Roman" w:cs="Times New Roman"/>
          <w:i/>
          <w:iCs/>
          <w:sz w:val="20"/>
          <w:szCs w:val="24"/>
        </w:rPr>
        <w:t>p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 &lt;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440D2E">
        <w:rPr>
          <w:rFonts w:ascii="Times New Roman" w:hAnsi="Times New Roman" w:cs="Times New Roman"/>
          <w:iCs/>
          <w:sz w:val="20"/>
          <w:szCs w:val="24"/>
        </w:rPr>
        <w:t>0.001, ****</w:t>
      </w:r>
      <w:r w:rsidRPr="00440D2E">
        <w:rPr>
          <w:rFonts w:ascii="Times New Roman" w:hAnsi="Times New Roman" w:cs="Times New Roman"/>
          <w:i/>
          <w:iCs/>
          <w:sz w:val="20"/>
          <w:szCs w:val="24"/>
        </w:rPr>
        <w:t>p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 &lt;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0.0001 compared to CIK cells, and </w:t>
      </w:r>
      <w:r w:rsidRPr="00440D2E">
        <w:rPr>
          <w:rFonts w:ascii="Times New Roman" w:hAnsi="Times New Roman" w:cs="Times New Roman"/>
          <w:iCs/>
          <w:sz w:val="20"/>
          <w:szCs w:val="24"/>
          <w:vertAlign w:val="superscript"/>
        </w:rPr>
        <w:t>#</w:t>
      </w:r>
      <w:r w:rsidRPr="00440D2E">
        <w:rPr>
          <w:rFonts w:ascii="Times New Roman" w:hAnsi="Times New Roman" w:cs="Times New Roman"/>
          <w:i/>
          <w:iCs/>
          <w:sz w:val="20"/>
          <w:szCs w:val="24"/>
        </w:rPr>
        <w:t>p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 &lt;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0.05, </w:t>
      </w:r>
      <w:r w:rsidRPr="00440D2E">
        <w:rPr>
          <w:rFonts w:ascii="Times New Roman" w:hAnsi="Times New Roman" w:cs="Times New Roman"/>
          <w:iCs/>
          <w:sz w:val="20"/>
          <w:szCs w:val="24"/>
          <w:vertAlign w:val="superscript"/>
        </w:rPr>
        <w:t>##</w:t>
      </w:r>
      <w:r w:rsidRPr="00440D2E">
        <w:rPr>
          <w:rFonts w:ascii="Times New Roman" w:hAnsi="Times New Roman" w:cs="Times New Roman"/>
          <w:i/>
          <w:iCs/>
          <w:sz w:val="20"/>
          <w:szCs w:val="24"/>
        </w:rPr>
        <w:t>p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 &lt;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440D2E">
        <w:rPr>
          <w:rFonts w:ascii="Times New Roman" w:hAnsi="Times New Roman" w:cs="Times New Roman"/>
          <w:iCs/>
          <w:sz w:val="20"/>
          <w:szCs w:val="24"/>
        </w:rPr>
        <w:t>0.01,</w:t>
      </w:r>
      <w:r w:rsidRPr="00440D2E">
        <w:rPr>
          <w:rFonts w:ascii="Times New Roman" w:hAnsi="Times New Roman" w:cs="Times New Roman"/>
          <w:iCs/>
          <w:sz w:val="20"/>
          <w:szCs w:val="24"/>
          <w:vertAlign w:val="superscript"/>
        </w:rPr>
        <w:t xml:space="preserve"> ###</w:t>
      </w:r>
      <w:r w:rsidRPr="00440D2E">
        <w:rPr>
          <w:rFonts w:ascii="Times New Roman" w:hAnsi="Times New Roman" w:cs="Times New Roman"/>
          <w:i/>
          <w:iCs/>
          <w:sz w:val="20"/>
          <w:szCs w:val="24"/>
        </w:rPr>
        <w:t>p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 &lt;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440D2E">
        <w:rPr>
          <w:rFonts w:ascii="Times New Roman" w:hAnsi="Times New Roman" w:cs="Times New Roman"/>
          <w:iCs/>
          <w:sz w:val="20"/>
          <w:szCs w:val="24"/>
        </w:rPr>
        <w:t>0.001,</w:t>
      </w:r>
      <w:r w:rsidRPr="00440D2E">
        <w:rPr>
          <w:rFonts w:ascii="Times New Roman" w:hAnsi="Times New Roman" w:cs="Times New Roman"/>
          <w:iCs/>
          <w:sz w:val="20"/>
          <w:szCs w:val="24"/>
          <w:vertAlign w:val="superscript"/>
        </w:rPr>
        <w:t xml:space="preserve"> ####</w:t>
      </w:r>
      <w:r w:rsidRPr="00440D2E">
        <w:rPr>
          <w:rFonts w:ascii="Times New Roman" w:hAnsi="Times New Roman" w:cs="Times New Roman"/>
          <w:i/>
          <w:iCs/>
          <w:sz w:val="20"/>
          <w:szCs w:val="24"/>
        </w:rPr>
        <w:t>p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 &lt;</w:t>
      </w:r>
      <w:r>
        <w:rPr>
          <w:rFonts w:ascii="Times New Roman" w:hAnsi="Times New Roman" w:cs="Times New Roman"/>
          <w:iCs/>
          <w:sz w:val="20"/>
          <w:szCs w:val="24"/>
        </w:rPr>
        <w:t xml:space="preserve"> </w:t>
      </w:r>
      <w:r w:rsidRPr="00440D2E">
        <w:rPr>
          <w:rFonts w:ascii="Times New Roman" w:hAnsi="Times New Roman" w:cs="Times New Roman"/>
          <w:iCs/>
          <w:sz w:val="20"/>
          <w:szCs w:val="24"/>
        </w:rPr>
        <w:t xml:space="preserve">0.0001 compared to </w:t>
      </w:r>
      <w:r w:rsidRPr="00A837CD">
        <w:rPr>
          <w:rFonts w:ascii="Times New Roman" w:hAnsi="Times New Roman" w:cs="Times New Roman"/>
          <w:iCs/>
          <w:sz w:val="20"/>
          <w:szCs w:val="20"/>
        </w:rPr>
        <w:t xml:space="preserve">HCT-15 cells. </w:t>
      </w:r>
    </w:p>
    <w:p w:rsidR="006B73AD" w:rsidRDefault="006B73AD" w:rsidP="00E6688C">
      <w:pPr>
        <w:jc w:val="both"/>
        <w:rPr>
          <w:rFonts w:ascii="Times New Roman" w:hAnsi="Times New Roman" w:cs="Times New Roman"/>
          <w:sz w:val="24"/>
          <w:szCs w:val="24"/>
        </w:rPr>
        <w:sectPr w:rsidR="006B73AD" w:rsidSect="006B73A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B9409C" w:rsidRPr="007E20A2" w:rsidRDefault="00B9409C" w:rsidP="00B9409C">
      <w:pPr>
        <w:pStyle w:val="Heading2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E20A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 xml:space="preserve">Supplementary Table 2. </w:t>
      </w:r>
      <w:r w:rsidRPr="007E20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expression of growth factors and cytokines that present in the CIK cells and HCT-15 culture supernatant.</w:t>
      </w:r>
      <w:r w:rsidRPr="007E20A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TableGrid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846"/>
        <w:gridCol w:w="7092"/>
        <w:gridCol w:w="2835"/>
        <w:gridCol w:w="2972"/>
      </w:tblGrid>
      <w:tr w:rsidR="00B9409C" w:rsidRPr="007E20A2" w:rsidTr="00A542E7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No.</w:t>
            </w:r>
          </w:p>
        </w:tc>
        <w:tc>
          <w:tcPr>
            <w:tcW w:w="7092" w:type="dxa"/>
            <w:vMerge w:val="restart"/>
            <w:tcBorders>
              <w:top w:val="single" w:sz="4" w:space="0" w:color="auto"/>
            </w:tcBorders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Cytokines/ Growth Factors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Average Pixel Density</w:t>
            </w:r>
          </w:p>
        </w:tc>
      </w:tr>
      <w:tr w:rsidR="00B9409C" w:rsidRPr="007E20A2" w:rsidTr="00A542E7">
        <w:trPr>
          <w:trHeight w:val="313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2" w:type="dxa"/>
            <w:vMerge/>
            <w:tcBorders>
              <w:bottom w:val="single" w:sz="4" w:space="0" w:color="auto"/>
            </w:tcBorders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CIK cells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HCT-15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cells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tcBorders>
              <w:top w:val="single" w:sz="4" w:space="0" w:color="auto"/>
            </w:tcBorders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092" w:type="dxa"/>
            <w:tcBorders>
              <w:top w:val="single" w:sz="4" w:space="0" w:color="auto"/>
            </w:tcBorders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Adiponectin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2,624,334.50</w:t>
            </w:r>
          </w:p>
        </w:tc>
        <w:tc>
          <w:tcPr>
            <w:tcW w:w="2972" w:type="dxa"/>
            <w:tcBorders>
              <w:top w:val="single" w:sz="4" w:space="0" w:color="auto"/>
            </w:tcBorders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2,684,312.50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Apolipoprotein</w:t>
            </w:r>
            <w:proofErr w:type="spellEnd"/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A-I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1,053,975.00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954,393.00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Angiogenin</w:t>
            </w:r>
            <w:proofErr w:type="spellEnd"/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499,753.50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444,262.00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Complement component C5/C5a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372,919.50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318,481.00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Fas</w:t>
            </w:r>
            <w:proofErr w:type="spellEnd"/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ligand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302,104.50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Granulocyte macrophage colony-stimulating factor (GM-CSF)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469,625.50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Interleukin-2 (IL-2)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1,166,484.50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816,791.00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Interleukin-5 (IL-5)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430,153.50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Interleukin-8 (IL-8)(CXCL8)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938,971.50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708,966.00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Macrophage inflammatory protein-1 alpha/Macrophage inflammatory protein-1 beta (MIP-1α/MIP-1β) (CCL3/CCL4)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338,681.00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Platelet factor 4 (PF4) (CXCL4)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1,583,442.00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671,156.00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Regulated upon Activation, Normal T Cell Expressed and Presumably Secreted (RANTES) (CCL5)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550,009.50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Retinol binding protein 4 (RBP-4)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757,990.00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927,422.50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14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CD31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652,744.00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T-cell immunoglobulin and mucin domain 3 (TIM-3)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312,833.50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330,947.50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Dickkopf</w:t>
            </w:r>
            <w:proofErr w:type="spellEnd"/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WNT signaling pathway inhibitor 1 (Dkk-1)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1,147,429.50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17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Growth differentiation factor 15 (GDF-15)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1,120,349.00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18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Human interferon-inducible protein 10 (IP-10)(CXCL10)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902,458.00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Lipocalin-2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543,899.00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20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Monokine</w:t>
            </w:r>
            <w:proofErr w:type="spellEnd"/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induced by gamma interferon (MIG)(CXCL9)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306,356.50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21</w:t>
            </w:r>
          </w:p>
        </w:tc>
        <w:tc>
          <w:tcPr>
            <w:tcW w:w="7092" w:type="dxa"/>
            <w:hideMark/>
          </w:tcPr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Serpin E1</w:t>
            </w:r>
          </w:p>
        </w:tc>
        <w:tc>
          <w:tcPr>
            <w:tcW w:w="2835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2972" w:type="dxa"/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350,185.50</w:t>
            </w:r>
          </w:p>
        </w:tc>
      </w:tr>
      <w:tr w:rsidR="00B9409C" w:rsidRPr="007E20A2" w:rsidTr="00A542E7">
        <w:trPr>
          <w:trHeight w:val="20"/>
        </w:trPr>
        <w:tc>
          <w:tcPr>
            <w:tcW w:w="846" w:type="dxa"/>
            <w:tcBorders>
              <w:bottom w:val="single" w:sz="4" w:space="0" w:color="auto"/>
            </w:tcBorders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22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hideMark/>
          </w:tcPr>
          <w:p w:rsidR="00B9409C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Vascular endothelial growth factor (VEGF)</w:t>
            </w:r>
          </w:p>
          <w:p w:rsidR="00B9409C" w:rsidRPr="007E20A2" w:rsidRDefault="00B9409C" w:rsidP="00A542E7">
            <w:pPr>
              <w:ind w:left="132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hideMark/>
          </w:tcPr>
          <w:p w:rsidR="00B9409C" w:rsidRPr="007E20A2" w:rsidRDefault="00B9409C" w:rsidP="00A5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637,801.50</w:t>
            </w:r>
          </w:p>
        </w:tc>
      </w:tr>
    </w:tbl>
    <w:p w:rsidR="00B9409C" w:rsidRPr="00872CFD" w:rsidRDefault="00B9409C" w:rsidP="00B940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E20A2">
        <w:rPr>
          <w:rFonts w:ascii="Times New Roman" w:hAnsi="Times New Roman" w:cs="Times New Roman"/>
          <w:sz w:val="20"/>
          <w:szCs w:val="24"/>
          <w:lang w:val="en-US"/>
        </w:rPr>
        <w:t>A pixel density &gt;300,000 was the threshold for being classified as highly expressed. The values were presented after subtracted from negative value. The numbering corresponds to the data points</w:t>
      </w:r>
      <w:r>
        <w:rPr>
          <w:rFonts w:ascii="Times New Roman" w:hAnsi="Times New Roman" w:cs="Times New Roman"/>
          <w:sz w:val="20"/>
          <w:szCs w:val="24"/>
          <w:lang w:val="en-US"/>
        </w:rPr>
        <w:t xml:space="preserve"> plotted in Figure 6. </w:t>
      </w:r>
      <w:r w:rsidRPr="00B9409C">
        <w:rPr>
          <w:rFonts w:ascii="Times New Roman" w:hAnsi="Times New Roman" w:cs="Times New Roman"/>
          <w:sz w:val="20"/>
          <w:szCs w:val="24"/>
          <w:lang w:val="en-US"/>
        </w:rPr>
        <w:t>The numerical labels (1–22) correspond to the boxed cytokines indicated on the membrane</w:t>
      </w:r>
      <w:r>
        <w:rPr>
          <w:rFonts w:ascii="Times New Roman" w:hAnsi="Times New Roman" w:cs="Times New Roman"/>
          <w:sz w:val="20"/>
          <w:szCs w:val="24"/>
          <w:lang w:val="en-US"/>
        </w:rPr>
        <w:t xml:space="preserve"> in Figure 5</w:t>
      </w:r>
      <w:r w:rsidRPr="00B9409C">
        <w:rPr>
          <w:rFonts w:ascii="Times New Roman" w:hAnsi="Times New Roman" w:cs="Times New Roman"/>
          <w:sz w:val="20"/>
          <w:szCs w:val="24"/>
          <w:lang w:val="en-US"/>
        </w:rPr>
        <w:t>.</w:t>
      </w:r>
    </w:p>
    <w:p w:rsidR="00717556" w:rsidRPr="00717556" w:rsidRDefault="00717556" w:rsidP="00717556">
      <w:pPr>
        <w:jc w:val="both"/>
      </w:pPr>
    </w:p>
    <w:sectPr w:rsidR="00717556" w:rsidRPr="00717556" w:rsidSect="006B73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0C12"/>
    <w:multiLevelType w:val="hybridMultilevel"/>
    <w:tmpl w:val="B866BABE"/>
    <w:lvl w:ilvl="0" w:tplc="E544E34E">
      <w:start w:val="1"/>
      <w:numFmt w:val="upperLetter"/>
      <w:lvlText w:val="(%1)"/>
      <w:lvlJc w:val="left"/>
      <w:pPr>
        <w:ind w:left="750" w:hanging="390"/>
      </w:pPr>
      <w:rPr>
        <w:rFonts w:ascii="Arial" w:hAnsi="Arial"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56"/>
    <w:rsid w:val="001D5DF7"/>
    <w:rsid w:val="00317064"/>
    <w:rsid w:val="00334466"/>
    <w:rsid w:val="00432C4F"/>
    <w:rsid w:val="006B73AD"/>
    <w:rsid w:val="00715047"/>
    <w:rsid w:val="00717556"/>
    <w:rsid w:val="007E48A9"/>
    <w:rsid w:val="00A542E7"/>
    <w:rsid w:val="00B9409C"/>
    <w:rsid w:val="00E628E6"/>
    <w:rsid w:val="00E6688C"/>
    <w:rsid w:val="00E70480"/>
    <w:rsid w:val="00EB1CE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0EA2"/>
  <w15:chartTrackingRefBased/>
  <w15:docId w15:val="{495F713B-0BE4-4AF0-91A1-9D49FE1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55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75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8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3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6B73AD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B7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Ainaa</dc:creator>
  <cp:keywords/>
  <dc:description/>
  <cp:lastModifiedBy>Najwa Ainaa</cp:lastModifiedBy>
  <cp:revision>4</cp:revision>
  <dcterms:created xsi:type="dcterms:W3CDTF">2026-04-02T06:36:00Z</dcterms:created>
  <dcterms:modified xsi:type="dcterms:W3CDTF">2026-04-10T01:22:00Z</dcterms:modified>
</cp:coreProperties>
</file>