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47B29" w14:textId="151A7CD6" w:rsidR="000923D5" w:rsidRPr="00995E74" w:rsidRDefault="00995E74" w:rsidP="00995E74">
      <w:pPr>
        <w:jc w:val="center"/>
        <w:rPr>
          <w:b/>
          <w:bCs/>
          <w:lang w:val="en-GB"/>
        </w:rPr>
      </w:pPr>
      <w:r w:rsidRPr="00995E74">
        <w:rPr>
          <w:b/>
          <w:bCs/>
          <w:lang w:val="en-GB"/>
        </w:rPr>
        <w:t>Table S1. SINTA Index of Selected Studies</w:t>
      </w:r>
    </w:p>
    <w:tbl>
      <w:tblPr>
        <w:tblW w:w="145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900"/>
        <w:gridCol w:w="1350"/>
        <w:gridCol w:w="1080"/>
        <w:gridCol w:w="990"/>
        <w:gridCol w:w="1350"/>
        <w:gridCol w:w="1800"/>
        <w:gridCol w:w="1620"/>
        <w:gridCol w:w="1800"/>
        <w:gridCol w:w="1620"/>
        <w:gridCol w:w="1620"/>
      </w:tblGrid>
      <w:tr w:rsidR="00995E74" w:rsidRPr="009C6CC0" w14:paraId="0CFD3399" w14:textId="77777777" w:rsidTr="00110E8B">
        <w:trPr>
          <w:trHeight w:val="720"/>
        </w:trPr>
        <w:tc>
          <w:tcPr>
            <w:tcW w:w="450" w:type="dxa"/>
            <w:vAlign w:val="center"/>
            <w:hideMark/>
          </w:tcPr>
          <w:p w14:paraId="7ED7B7F3"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bookmarkStart w:id="0" w:name="_Hlk207005537"/>
            <w:r w:rsidRPr="000C46CC">
              <w:rPr>
                <w:rFonts w:ascii="Arial" w:eastAsia="Times New Roman" w:hAnsi="Arial" w:cs="Arial"/>
                <w:color w:val="000000"/>
                <w:kern w:val="0"/>
                <w:sz w:val="16"/>
                <w:szCs w:val="16"/>
                <w14:ligatures w14:val="none"/>
              </w:rPr>
              <w:t>No</w:t>
            </w:r>
          </w:p>
        </w:tc>
        <w:tc>
          <w:tcPr>
            <w:tcW w:w="900" w:type="dxa"/>
            <w:vAlign w:val="center"/>
          </w:tcPr>
          <w:p w14:paraId="34B8EFBF"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2E51C3">
              <w:rPr>
                <w:rFonts w:ascii="Arial" w:eastAsia="Times New Roman" w:hAnsi="Arial" w:cs="Arial"/>
                <w:color w:val="000000"/>
                <w:kern w:val="0"/>
                <w:sz w:val="16"/>
                <w:szCs w:val="16"/>
                <w14:ligatures w14:val="none"/>
              </w:rPr>
              <w:t>Author (Year)</w:t>
            </w:r>
          </w:p>
        </w:tc>
        <w:tc>
          <w:tcPr>
            <w:tcW w:w="1350" w:type="dxa"/>
            <w:vAlign w:val="center"/>
          </w:tcPr>
          <w:p w14:paraId="35D23FA4"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2E51C3">
              <w:rPr>
                <w:rFonts w:ascii="Arial" w:eastAsia="Times New Roman" w:hAnsi="Arial" w:cs="Arial"/>
                <w:color w:val="000000"/>
                <w:kern w:val="0"/>
                <w:sz w:val="16"/>
                <w:szCs w:val="16"/>
                <w14:ligatures w14:val="none"/>
              </w:rPr>
              <w:t>Study Design</w:t>
            </w:r>
          </w:p>
        </w:tc>
        <w:tc>
          <w:tcPr>
            <w:tcW w:w="1080" w:type="dxa"/>
            <w:vAlign w:val="center"/>
          </w:tcPr>
          <w:p w14:paraId="5DE03478"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2E51C3">
              <w:rPr>
                <w:rFonts w:ascii="Arial" w:eastAsia="Times New Roman" w:hAnsi="Arial" w:cs="Arial"/>
                <w:color w:val="000000"/>
                <w:kern w:val="0"/>
                <w:sz w:val="16"/>
                <w:szCs w:val="16"/>
                <w14:ligatures w14:val="none"/>
              </w:rPr>
              <w:t>Population/Sample</w:t>
            </w:r>
          </w:p>
        </w:tc>
        <w:tc>
          <w:tcPr>
            <w:tcW w:w="990" w:type="dxa"/>
            <w:vAlign w:val="center"/>
          </w:tcPr>
          <w:p w14:paraId="7D49BAC7"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2E51C3">
              <w:rPr>
                <w:rFonts w:ascii="Arial" w:eastAsia="Times New Roman" w:hAnsi="Arial" w:cs="Arial"/>
                <w:color w:val="000000"/>
                <w:kern w:val="0"/>
                <w:sz w:val="16"/>
                <w:szCs w:val="16"/>
                <w14:ligatures w14:val="none"/>
              </w:rPr>
              <w:t>Intervention Duration</w:t>
            </w:r>
          </w:p>
        </w:tc>
        <w:tc>
          <w:tcPr>
            <w:tcW w:w="1350" w:type="dxa"/>
            <w:vAlign w:val="center"/>
          </w:tcPr>
          <w:p w14:paraId="108F66AC"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2E51C3">
              <w:rPr>
                <w:rFonts w:ascii="Arial" w:eastAsia="Times New Roman" w:hAnsi="Arial" w:cs="Arial"/>
                <w:color w:val="000000"/>
                <w:kern w:val="0"/>
                <w:sz w:val="16"/>
                <w:szCs w:val="16"/>
                <w14:ligatures w14:val="none"/>
              </w:rPr>
              <w:t>Evaluation Method</w:t>
            </w:r>
          </w:p>
        </w:tc>
        <w:tc>
          <w:tcPr>
            <w:tcW w:w="1800" w:type="dxa"/>
            <w:vAlign w:val="center"/>
          </w:tcPr>
          <w:p w14:paraId="68628A0E"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2E51C3">
              <w:rPr>
                <w:rFonts w:ascii="Arial" w:eastAsia="Times New Roman" w:hAnsi="Arial" w:cs="Arial"/>
                <w:color w:val="000000"/>
                <w:kern w:val="0"/>
                <w:sz w:val="16"/>
                <w:szCs w:val="16"/>
                <w14:ligatures w14:val="none"/>
              </w:rPr>
              <w:t>Main Findings</w:t>
            </w:r>
          </w:p>
        </w:tc>
        <w:tc>
          <w:tcPr>
            <w:tcW w:w="1620" w:type="dxa"/>
            <w:vAlign w:val="center"/>
          </w:tcPr>
          <w:p w14:paraId="2757366B"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2E51C3">
              <w:rPr>
                <w:rFonts w:ascii="Arial" w:eastAsia="Times New Roman" w:hAnsi="Arial" w:cs="Arial"/>
                <w:color w:val="000000"/>
                <w:kern w:val="0"/>
                <w:sz w:val="16"/>
                <w:szCs w:val="16"/>
                <w14:ligatures w14:val="none"/>
              </w:rPr>
              <w:t>Implementation Challenges</w:t>
            </w:r>
          </w:p>
        </w:tc>
        <w:tc>
          <w:tcPr>
            <w:tcW w:w="1800" w:type="dxa"/>
            <w:vAlign w:val="center"/>
          </w:tcPr>
          <w:p w14:paraId="57CF7FF6"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2E51C3">
              <w:rPr>
                <w:rFonts w:ascii="Arial" w:eastAsia="Times New Roman" w:hAnsi="Arial" w:cs="Arial"/>
                <w:color w:val="000000"/>
                <w:kern w:val="0"/>
                <w:sz w:val="16"/>
                <w:szCs w:val="16"/>
                <w14:ligatures w14:val="none"/>
              </w:rPr>
              <w:t>Study Recommendations</w:t>
            </w:r>
          </w:p>
        </w:tc>
        <w:tc>
          <w:tcPr>
            <w:tcW w:w="1620" w:type="dxa"/>
            <w:vAlign w:val="center"/>
          </w:tcPr>
          <w:p w14:paraId="4E6CD915" w14:textId="77777777" w:rsidR="00995E74" w:rsidRPr="008F2D3D" w:rsidRDefault="00995E74" w:rsidP="00110E8B">
            <w:pPr>
              <w:spacing w:after="0" w:line="240" w:lineRule="auto"/>
              <w:jc w:val="center"/>
              <w:rPr>
                <w:rFonts w:ascii="Arial" w:hAnsi="Arial" w:cs="Arial"/>
                <w:color w:val="0000FF"/>
                <w:sz w:val="16"/>
                <w:szCs w:val="16"/>
                <w:u w:val="single"/>
              </w:rPr>
            </w:pPr>
            <w:r w:rsidRPr="009C6CC0">
              <w:rPr>
                <w:rFonts w:ascii="Arial" w:hAnsi="Arial" w:cs="Arial"/>
                <w:color w:val="0000FF"/>
                <w:sz w:val="16"/>
                <w:szCs w:val="16"/>
                <w:u w:val="single"/>
              </w:rPr>
              <w:t>Link Art</w:t>
            </w:r>
            <w:r>
              <w:rPr>
                <w:rFonts w:ascii="Arial" w:hAnsi="Arial" w:cs="Arial"/>
                <w:color w:val="0000FF"/>
                <w:sz w:val="16"/>
                <w:szCs w:val="16"/>
                <w:u w:val="single"/>
              </w:rPr>
              <w:t>icle</w:t>
            </w:r>
          </w:p>
        </w:tc>
        <w:tc>
          <w:tcPr>
            <w:tcW w:w="1620" w:type="dxa"/>
          </w:tcPr>
          <w:p w14:paraId="40D0D6DE" w14:textId="77777777" w:rsidR="00995E74" w:rsidRPr="00A92A24" w:rsidRDefault="00995E74" w:rsidP="00110E8B">
            <w:pPr>
              <w:spacing w:after="0" w:line="240" w:lineRule="auto"/>
              <w:jc w:val="center"/>
              <w:rPr>
                <w:rFonts w:ascii="Arial" w:hAnsi="Arial" w:cs="Arial"/>
                <w:sz w:val="16"/>
                <w:szCs w:val="16"/>
              </w:rPr>
            </w:pPr>
          </w:p>
          <w:p w14:paraId="26CFCD21" w14:textId="77777777" w:rsidR="00995E74" w:rsidRPr="00A92A24" w:rsidRDefault="00995E74" w:rsidP="00110E8B">
            <w:pPr>
              <w:spacing w:after="0" w:line="240" w:lineRule="auto"/>
              <w:jc w:val="center"/>
              <w:rPr>
                <w:rFonts w:ascii="Arial" w:hAnsi="Arial" w:cs="Arial"/>
                <w:sz w:val="16"/>
                <w:szCs w:val="16"/>
              </w:rPr>
            </w:pPr>
            <w:r w:rsidRPr="00A92A24">
              <w:rPr>
                <w:rFonts w:ascii="Arial" w:hAnsi="Arial" w:cs="Arial"/>
                <w:sz w:val="16"/>
                <w:szCs w:val="16"/>
              </w:rPr>
              <w:t>Indexing</w:t>
            </w:r>
          </w:p>
        </w:tc>
      </w:tr>
      <w:tr w:rsidR="00995E74" w:rsidRPr="009C6CC0" w14:paraId="52756F59" w14:textId="77777777" w:rsidTr="00110E8B">
        <w:trPr>
          <w:trHeight w:val="690"/>
        </w:trPr>
        <w:tc>
          <w:tcPr>
            <w:tcW w:w="450" w:type="dxa"/>
            <w:hideMark/>
          </w:tcPr>
          <w:p w14:paraId="68B1286E"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0C46CC">
              <w:rPr>
                <w:rFonts w:ascii="Arial" w:eastAsia="Times New Roman" w:hAnsi="Arial" w:cs="Arial"/>
                <w:color w:val="000000"/>
                <w:kern w:val="0"/>
                <w:sz w:val="16"/>
                <w:szCs w:val="16"/>
                <w14:ligatures w14:val="none"/>
              </w:rPr>
              <w:t>1</w:t>
            </w:r>
          </w:p>
        </w:tc>
        <w:tc>
          <w:tcPr>
            <w:tcW w:w="900" w:type="dxa"/>
            <w:hideMark/>
          </w:tcPr>
          <w:p w14:paraId="6F68F879"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0C46CC">
              <w:rPr>
                <w:rFonts w:ascii="Arial" w:eastAsia="Times New Roman" w:hAnsi="Arial" w:cs="Arial"/>
                <w:color w:val="000000"/>
                <w:kern w:val="0"/>
                <w:sz w:val="16"/>
                <w:szCs w:val="16"/>
                <w14:ligatures w14:val="none"/>
              </w:rPr>
              <w:t>Etrawati et al. (2023)</w:t>
            </w:r>
            <w:r>
              <w:rPr>
                <w:rFonts w:ascii="Arial" w:eastAsia="Times New Roman" w:hAnsi="Arial" w:cs="Arial"/>
                <w:color w:val="000000"/>
                <w:kern w:val="0"/>
                <w:sz w:val="16"/>
                <w:szCs w:val="16"/>
                <w14:ligatures w14:val="none"/>
              </w:rPr>
              <w:t xml:space="preserve"> </w:t>
            </w:r>
            <w:r>
              <w:rPr>
                <w:rFonts w:ascii="Arial" w:eastAsia="Times New Roman" w:hAnsi="Arial" w:cs="Arial"/>
                <w:color w:val="000000"/>
                <w:kern w:val="0"/>
                <w:sz w:val="16"/>
                <w:szCs w:val="16"/>
                <w:vertAlign w:val="superscript"/>
                <w14:ligatures w14:val="none"/>
              </w:rPr>
              <w:t>19</w:t>
            </w:r>
            <w:r w:rsidRPr="009C6CC0">
              <w:rPr>
                <w:rFonts w:ascii="Arial" w:eastAsia="Times New Roman" w:hAnsi="Arial" w:cs="Arial"/>
                <w:color w:val="000000"/>
                <w:kern w:val="0"/>
                <w:sz w:val="16"/>
                <w:szCs w:val="16"/>
                <w:vertAlign w:val="superscript"/>
                <w14:ligatures w14:val="none"/>
              </w:rPr>
              <w:fldChar w:fldCharType="begin" w:fldLock="1"/>
            </w:r>
            <w:r>
              <w:rPr>
                <w:rFonts w:ascii="Arial" w:eastAsia="Times New Roman" w:hAnsi="Arial" w:cs="Arial"/>
                <w:color w:val="000000"/>
                <w:kern w:val="0"/>
                <w:sz w:val="16"/>
                <w:szCs w:val="16"/>
                <w:vertAlign w:val="superscript"/>
                <w14:ligatures w14:val="none"/>
              </w:rPr>
              <w:instrText>ADDIN CSL_CITATION {"citationItems":[{"id":"ITEM-1","itemData":{"DOI":"10.21776/ub.ijhn.2023.010.02.3","ISSN":"2442-6636","abstract":"Stunting has become a dietary concern in Indonesia. Ogan Komering Ilir district of South Sumatra Province has a stunting prevalence exceeding 20%, highlighting a significant public health concern according to WHO. Addressing this challenge requires the active involvement of health cadres, who play a pivotal role in enhancing maternal and child health. This study aimed to enhance the knowledge of health cadres in stunting prevention through the application of the emotional demonstration method at the village level. A total of 23 active cadres from the healthcare system were purposefully selected to participate in this activity. The experiment group, consisting of 12 cadres, underwent training using the emotional demonstration method through interactive games, while the control group, totaling 11 cadres, followed conventional methods, such as lectures. The activity was held with separate sessions for each group. The participants’ knowledge was measured using questionnaires covering the understanding of stunting, exclusive breastfeeding, complementary foods, anemia, and sources of nutrients. Data were analyzed using a dependent t-test. Average pre-post knowledge gains were 1.15 scores higher for experiment groups compared to 0.19 scores higher for control groups. Statistically significant changes in knowledge scores were observed in the experiment group (p = 0.002), while the control group showed insignificant changes (p = 0.321). Education activities employing emotional demonstration through interactive games are effective in increasing knowledge of stunting prevention.","author":[{"dropping-particle":"","family":"Etrawati","given":"Fenny","non-dropping-particle":"","parse-names":false,"suffix":""},{"dropping-particle":"","family":"Lionita","given":"Widya","non-dropping-particle":"","parse-names":false,"suffix":""},{"dropping-particle":"","family":"Amalia","given":"Ella","non-dropping-particle":"","parse-names":false,"suffix":""},{"dropping-particle":"","family":"Rahmawati","given":"Fuji","non-dropping-particle":"","parse-names":false,"suffix":""},{"dropping-particle":"","family":"Meilinda","given":"Nurly","non-dropping-particle":"","parse-names":false,"suffix":""},{"dropping-particle":"","family":"Rahmawaty","given":"Annisa","non-dropping-particle":"","parse-names":false,"suffix":""}],"container-title":"Indonesian Journal of Human Nutrition","id":"ITEM-1","issue":"2","issued":{"date-parts":[["2023"]]},"page":"116-123","title":"Improving the Knowledge of Health Cadres for Stunting Prevention through Emotional Demonstration Technique","type":"article-journal","volume":"10"},"uris":["http://www.mendeley.com/documents/?uuid=7953cb21-1a18-4ab5-9e0a-63c7cc6257e0"]}],"mendeley":{"formattedCitation":"(27)","plainTextFormattedCitation":"(27)","previouslyFormattedCitation":"(27)"},"properties":{"noteIndex":0},"schema":"https://github.com/citation-style-language/schema/raw/master/csl-citation.json"}</w:instrText>
            </w:r>
            <w:r w:rsidRPr="009C6CC0">
              <w:rPr>
                <w:rFonts w:ascii="Arial" w:eastAsia="Times New Roman" w:hAnsi="Arial" w:cs="Arial"/>
                <w:color w:val="000000"/>
                <w:kern w:val="0"/>
                <w:sz w:val="16"/>
                <w:szCs w:val="16"/>
                <w:vertAlign w:val="superscript"/>
                <w14:ligatures w14:val="none"/>
              </w:rPr>
              <w:fldChar w:fldCharType="separate"/>
            </w:r>
            <w:r w:rsidRPr="009C6CC0">
              <w:rPr>
                <w:rFonts w:ascii="Arial" w:eastAsia="Times New Roman" w:hAnsi="Arial" w:cs="Arial"/>
                <w:color w:val="000000"/>
                <w:kern w:val="0"/>
                <w:sz w:val="16"/>
                <w:szCs w:val="16"/>
                <w:vertAlign w:val="superscript"/>
                <w14:ligatures w14:val="none"/>
              </w:rPr>
              <w:fldChar w:fldCharType="end"/>
            </w:r>
          </w:p>
        </w:tc>
        <w:tc>
          <w:tcPr>
            <w:tcW w:w="1350" w:type="dxa"/>
          </w:tcPr>
          <w:p w14:paraId="2911251B"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2E51C3">
              <w:rPr>
                <w:rFonts w:ascii="Arial" w:eastAsia="Times New Roman" w:hAnsi="Arial" w:cs="Arial"/>
                <w:color w:val="000000"/>
                <w:kern w:val="0"/>
                <w:sz w:val="16"/>
                <w:szCs w:val="16"/>
                <w14:ligatures w14:val="none"/>
              </w:rPr>
              <w:t>Quasi-experimental (2 groups)</w:t>
            </w:r>
          </w:p>
        </w:tc>
        <w:tc>
          <w:tcPr>
            <w:tcW w:w="1080" w:type="dxa"/>
          </w:tcPr>
          <w:p w14:paraId="11C94D0F"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2E51C3">
              <w:rPr>
                <w:rFonts w:ascii="Arial" w:eastAsia="Times New Roman" w:hAnsi="Arial" w:cs="Arial"/>
                <w:color w:val="000000"/>
                <w:kern w:val="0"/>
                <w:sz w:val="16"/>
                <w:szCs w:val="16"/>
                <w14:ligatures w14:val="none"/>
              </w:rPr>
              <w:t>23 Posyandu cadres</w:t>
            </w:r>
          </w:p>
        </w:tc>
        <w:tc>
          <w:tcPr>
            <w:tcW w:w="990" w:type="dxa"/>
          </w:tcPr>
          <w:p w14:paraId="729E0087"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2E51C3">
              <w:rPr>
                <w:rFonts w:ascii="Arial" w:eastAsia="Times New Roman" w:hAnsi="Arial" w:cs="Arial"/>
                <w:color w:val="000000"/>
                <w:kern w:val="0"/>
                <w:sz w:val="16"/>
                <w:szCs w:val="16"/>
                <w14:ligatures w14:val="none"/>
              </w:rPr>
              <w:t>1 session</w:t>
            </w:r>
          </w:p>
        </w:tc>
        <w:tc>
          <w:tcPr>
            <w:tcW w:w="1350" w:type="dxa"/>
          </w:tcPr>
          <w:p w14:paraId="32873135"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2E51C3">
              <w:rPr>
                <w:rFonts w:ascii="Arial" w:eastAsia="Times New Roman" w:hAnsi="Arial" w:cs="Arial"/>
                <w:color w:val="000000"/>
                <w:kern w:val="0"/>
                <w:sz w:val="16"/>
                <w:szCs w:val="16"/>
                <w14:ligatures w14:val="none"/>
              </w:rPr>
              <w:t>Pre–post test + control group</w:t>
            </w:r>
          </w:p>
        </w:tc>
        <w:tc>
          <w:tcPr>
            <w:tcW w:w="1800" w:type="dxa"/>
          </w:tcPr>
          <w:p w14:paraId="077782F8"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2E51C3">
              <w:rPr>
                <w:rFonts w:ascii="Arial" w:eastAsia="Times New Roman" w:hAnsi="Arial" w:cs="Arial"/>
                <w:color w:val="000000"/>
                <w:kern w:val="0"/>
                <w:sz w:val="16"/>
                <w:szCs w:val="16"/>
                <w14:ligatures w14:val="none"/>
              </w:rPr>
              <w:t>Significant improvement in cadre knowledge (p = 0.002).</w:t>
            </w:r>
          </w:p>
        </w:tc>
        <w:tc>
          <w:tcPr>
            <w:tcW w:w="1620" w:type="dxa"/>
          </w:tcPr>
          <w:p w14:paraId="0EE806DD"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2E51C3">
              <w:rPr>
                <w:rFonts w:ascii="Arial" w:eastAsia="Times New Roman" w:hAnsi="Arial" w:cs="Arial"/>
                <w:color w:val="000000"/>
                <w:kern w:val="0"/>
                <w:sz w:val="16"/>
                <w:szCs w:val="16"/>
                <w14:ligatures w14:val="none"/>
              </w:rPr>
              <w:t>Intervention was not sustainable.</w:t>
            </w:r>
          </w:p>
        </w:tc>
        <w:tc>
          <w:tcPr>
            <w:tcW w:w="1800" w:type="dxa"/>
          </w:tcPr>
          <w:p w14:paraId="765C0A8C"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2E51C3">
              <w:rPr>
                <w:rFonts w:ascii="Arial" w:eastAsia="Times New Roman" w:hAnsi="Arial" w:cs="Arial"/>
                <w:color w:val="000000"/>
                <w:kern w:val="0"/>
                <w:sz w:val="16"/>
                <w:szCs w:val="16"/>
                <w14:ligatures w14:val="none"/>
              </w:rPr>
              <w:t>Further interactive and continuous training is required.</w:t>
            </w:r>
          </w:p>
        </w:tc>
        <w:tc>
          <w:tcPr>
            <w:tcW w:w="1620" w:type="dxa"/>
          </w:tcPr>
          <w:p w14:paraId="440D9AE4" w14:textId="77777777" w:rsidR="00995E74" w:rsidRPr="009C6CC0" w:rsidRDefault="00995E74" w:rsidP="00110E8B">
            <w:pPr>
              <w:spacing w:after="0" w:line="240" w:lineRule="auto"/>
              <w:jc w:val="center"/>
              <w:rPr>
                <w:rFonts w:ascii="Arial" w:eastAsia="Times New Roman" w:hAnsi="Arial" w:cs="Arial"/>
                <w:color w:val="000000"/>
                <w:kern w:val="0"/>
                <w:sz w:val="16"/>
                <w:szCs w:val="16"/>
                <w14:ligatures w14:val="none"/>
              </w:rPr>
            </w:pPr>
            <w:hyperlink r:id="rId8" w:history="1">
              <w:r w:rsidRPr="009C6CC0">
                <w:rPr>
                  <w:rStyle w:val="Hyperlink"/>
                  <w:rFonts w:ascii="Arial" w:hAnsi="Arial" w:cs="Arial"/>
                  <w:sz w:val="16"/>
                  <w:szCs w:val="16"/>
                </w:rPr>
                <w:t>https://doi.org/10.21776/ub.ijhn.2023.010.02.3</w:t>
              </w:r>
            </w:hyperlink>
          </w:p>
        </w:tc>
        <w:tc>
          <w:tcPr>
            <w:tcW w:w="1620" w:type="dxa"/>
          </w:tcPr>
          <w:p w14:paraId="58FBE462" w14:textId="77777777" w:rsidR="00995E74" w:rsidRPr="00A92A24" w:rsidRDefault="00995E74" w:rsidP="00110E8B">
            <w:pPr>
              <w:spacing w:after="0" w:line="240" w:lineRule="auto"/>
              <w:jc w:val="center"/>
              <w:rPr>
                <w:rFonts w:ascii="Arial" w:hAnsi="Arial" w:cs="Arial"/>
                <w:sz w:val="16"/>
                <w:szCs w:val="16"/>
              </w:rPr>
            </w:pPr>
            <w:r w:rsidRPr="00A92A24">
              <w:rPr>
                <w:rFonts w:ascii="Arial" w:hAnsi="Arial" w:cs="Arial"/>
                <w:sz w:val="16"/>
                <w:szCs w:val="16"/>
              </w:rPr>
              <w:t>S2</w:t>
            </w:r>
          </w:p>
        </w:tc>
      </w:tr>
      <w:tr w:rsidR="00995E74" w:rsidRPr="009C6CC0" w14:paraId="33C83326" w14:textId="77777777" w:rsidTr="00110E8B">
        <w:trPr>
          <w:trHeight w:val="690"/>
        </w:trPr>
        <w:tc>
          <w:tcPr>
            <w:tcW w:w="450" w:type="dxa"/>
            <w:hideMark/>
          </w:tcPr>
          <w:p w14:paraId="7E3D8ACF"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0C46CC">
              <w:rPr>
                <w:rFonts w:ascii="Arial" w:eastAsia="Times New Roman" w:hAnsi="Arial" w:cs="Arial"/>
                <w:color w:val="000000"/>
                <w:kern w:val="0"/>
                <w:sz w:val="16"/>
                <w:szCs w:val="16"/>
                <w14:ligatures w14:val="none"/>
              </w:rPr>
              <w:t>3</w:t>
            </w:r>
          </w:p>
        </w:tc>
        <w:tc>
          <w:tcPr>
            <w:tcW w:w="900" w:type="dxa"/>
            <w:hideMark/>
          </w:tcPr>
          <w:p w14:paraId="1A033378"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0C46CC">
              <w:rPr>
                <w:rFonts w:ascii="Arial" w:eastAsia="Times New Roman" w:hAnsi="Arial" w:cs="Arial"/>
                <w:color w:val="000000"/>
                <w:kern w:val="0"/>
                <w:sz w:val="16"/>
                <w:szCs w:val="16"/>
                <w14:ligatures w14:val="none"/>
              </w:rPr>
              <w:t>Mulyati &amp; Astuti (2020)</w:t>
            </w:r>
            <w:r>
              <w:rPr>
                <w:rFonts w:ascii="Arial" w:eastAsia="Times New Roman" w:hAnsi="Arial" w:cs="Arial"/>
                <w:color w:val="000000"/>
                <w:kern w:val="0"/>
                <w:sz w:val="16"/>
                <w:szCs w:val="16"/>
                <w14:ligatures w14:val="none"/>
              </w:rPr>
              <w:t xml:space="preserve"> </w:t>
            </w:r>
            <w:r>
              <w:rPr>
                <w:rFonts w:ascii="Arial" w:eastAsia="Times New Roman" w:hAnsi="Arial" w:cs="Arial"/>
                <w:color w:val="000000"/>
                <w:kern w:val="0"/>
                <w:sz w:val="16"/>
                <w:szCs w:val="16"/>
                <w:vertAlign w:val="superscript"/>
                <w14:ligatures w14:val="none"/>
              </w:rPr>
              <w:t>21</w:t>
            </w:r>
          </w:p>
        </w:tc>
        <w:tc>
          <w:tcPr>
            <w:tcW w:w="1350" w:type="dxa"/>
          </w:tcPr>
          <w:p w14:paraId="07DA3746"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2E51C3">
              <w:rPr>
                <w:rFonts w:ascii="Arial" w:eastAsia="Times New Roman" w:hAnsi="Arial" w:cs="Arial"/>
                <w:color w:val="000000"/>
                <w:kern w:val="0"/>
                <w:sz w:val="16"/>
                <w:szCs w:val="16"/>
                <w14:ligatures w14:val="none"/>
              </w:rPr>
              <w:t>Quasi-experimental pre–post design</w:t>
            </w:r>
          </w:p>
        </w:tc>
        <w:tc>
          <w:tcPr>
            <w:tcW w:w="1080" w:type="dxa"/>
          </w:tcPr>
          <w:p w14:paraId="59872024"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2E51C3">
              <w:rPr>
                <w:rFonts w:ascii="Arial" w:eastAsia="Times New Roman" w:hAnsi="Arial" w:cs="Arial"/>
                <w:color w:val="000000"/>
                <w:kern w:val="0"/>
                <w:sz w:val="16"/>
                <w:szCs w:val="16"/>
                <w14:ligatures w14:val="none"/>
              </w:rPr>
              <w:t>90 mothers &amp; cadres</w:t>
            </w:r>
          </w:p>
        </w:tc>
        <w:tc>
          <w:tcPr>
            <w:tcW w:w="990" w:type="dxa"/>
          </w:tcPr>
          <w:p w14:paraId="2FE8E942"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2E51C3">
              <w:rPr>
                <w:rFonts w:ascii="Arial" w:eastAsia="Times New Roman" w:hAnsi="Arial" w:cs="Arial"/>
                <w:color w:val="000000"/>
                <w:kern w:val="0"/>
                <w:sz w:val="16"/>
                <w:szCs w:val="16"/>
                <w14:ligatures w14:val="none"/>
              </w:rPr>
              <w:t>3 months</w:t>
            </w:r>
          </w:p>
        </w:tc>
        <w:tc>
          <w:tcPr>
            <w:tcW w:w="1350" w:type="dxa"/>
          </w:tcPr>
          <w:p w14:paraId="15495D33"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2E51C3">
              <w:rPr>
                <w:rFonts w:ascii="Arial" w:eastAsia="Times New Roman" w:hAnsi="Arial" w:cs="Arial"/>
                <w:color w:val="000000"/>
                <w:kern w:val="0"/>
                <w:sz w:val="16"/>
                <w:szCs w:val="16"/>
                <w14:ligatures w14:val="none"/>
              </w:rPr>
              <w:t>Pre–post test (t-test)</w:t>
            </w:r>
          </w:p>
        </w:tc>
        <w:tc>
          <w:tcPr>
            <w:tcW w:w="1800" w:type="dxa"/>
          </w:tcPr>
          <w:p w14:paraId="3A89274C"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2E51C3">
              <w:rPr>
                <w:rFonts w:ascii="Arial" w:eastAsia="Times New Roman" w:hAnsi="Arial" w:cs="Arial"/>
                <w:color w:val="000000"/>
                <w:kern w:val="0"/>
                <w:sz w:val="16"/>
                <w:szCs w:val="16"/>
                <w14:ligatures w14:val="none"/>
              </w:rPr>
              <w:t>Significant increase in knowledge among both mothers and cadres (p = 0.001).</w:t>
            </w:r>
          </w:p>
        </w:tc>
        <w:tc>
          <w:tcPr>
            <w:tcW w:w="1620" w:type="dxa"/>
          </w:tcPr>
          <w:p w14:paraId="3AB56A2C"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2E51C3">
              <w:rPr>
                <w:rFonts w:ascii="Arial" w:eastAsia="Times New Roman" w:hAnsi="Arial" w:cs="Arial"/>
                <w:color w:val="000000"/>
                <w:kern w:val="0"/>
                <w:sz w:val="16"/>
                <w:szCs w:val="16"/>
                <w14:ligatures w14:val="none"/>
              </w:rPr>
              <w:t>Cross-professional collaboration requires structural support.</w:t>
            </w:r>
          </w:p>
        </w:tc>
        <w:tc>
          <w:tcPr>
            <w:tcW w:w="1800" w:type="dxa"/>
          </w:tcPr>
          <w:p w14:paraId="5CB6F279"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2E51C3">
              <w:rPr>
                <w:rFonts w:ascii="Arial" w:eastAsia="Times New Roman" w:hAnsi="Arial" w:cs="Arial"/>
                <w:color w:val="000000"/>
                <w:kern w:val="0"/>
                <w:sz w:val="16"/>
                <w:szCs w:val="16"/>
                <w14:ligatures w14:val="none"/>
              </w:rPr>
              <w:t>Strengthening support and collaboration is necessary.</w:t>
            </w:r>
          </w:p>
        </w:tc>
        <w:tc>
          <w:tcPr>
            <w:tcW w:w="1620" w:type="dxa"/>
          </w:tcPr>
          <w:p w14:paraId="7180F9A6" w14:textId="77777777" w:rsidR="00995E74" w:rsidRPr="009C6CC0" w:rsidRDefault="00995E74" w:rsidP="00110E8B">
            <w:pPr>
              <w:spacing w:after="0" w:line="240" w:lineRule="auto"/>
              <w:jc w:val="center"/>
              <w:rPr>
                <w:rFonts w:ascii="Arial" w:eastAsia="Times New Roman" w:hAnsi="Arial" w:cs="Arial"/>
                <w:color w:val="000000"/>
                <w:kern w:val="0"/>
                <w:sz w:val="16"/>
                <w:szCs w:val="16"/>
                <w14:ligatures w14:val="none"/>
              </w:rPr>
            </w:pPr>
            <w:hyperlink r:id="rId9" w:history="1">
              <w:r w:rsidRPr="009C6CC0">
                <w:rPr>
                  <w:rStyle w:val="Hyperlink"/>
                  <w:rFonts w:ascii="Arial" w:hAnsi="Arial" w:cs="Arial"/>
                  <w:sz w:val="16"/>
                  <w:szCs w:val="16"/>
                </w:rPr>
                <w:t>https://doi.org/10.37341/jkg.v5i2.105</w:t>
              </w:r>
            </w:hyperlink>
          </w:p>
        </w:tc>
        <w:tc>
          <w:tcPr>
            <w:tcW w:w="1620" w:type="dxa"/>
          </w:tcPr>
          <w:p w14:paraId="7BF65282" w14:textId="77777777" w:rsidR="00995E74" w:rsidRPr="00A92A24" w:rsidRDefault="00995E74" w:rsidP="00110E8B">
            <w:pPr>
              <w:spacing w:after="0" w:line="240" w:lineRule="auto"/>
              <w:jc w:val="center"/>
              <w:rPr>
                <w:rFonts w:ascii="Arial" w:hAnsi="Arial" w:cs="Arial"/>
                <w:sz w:val="16"/>
                <w:szCs w:val="16"/>
              </w:rPr>
            </w:pPr>
            <w:r w:rsidRPr="00A92A24">
              <w:rPr>
                <w:rFonts w:ascii="Arial" w:hAnsi="Arial" w:cs="Arial"/>
                <w:sz w:val="16"/>
                <w:szCs w:val="16"/>
              </w:rPr>
              <w:t>S4</w:t>
            </w:r>
          </w:p>
        </w:tc>
      </w:tr>
      <w:tr w:rsidR="00995E74" w:rsidRPr="009C6CC0" w14:paraId="53F77023" w14:textId="77777777" w:rsidTr="00110E8B">
        <w:trPr>
          <w:trHeight w:val="690"/>
        </w:trPr>
        <w:tc>
          <w:tcPr>
            <w:tcW w:w="450" w:type="dxa"/>
            <w:hideMark/>
          </w:tcPr>
          <w:p w14:paraId="225EFE44"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0C46CC">
              <w:rPr>
                <w:rFonts w:ascii="Arial" w:eastAsia="Times New Roman" w:hAnsi="Arial" w:cs="Arial"/>
                <w:color w:val="000000"/>
                <w:kern w:val="0"/>
                <w:sz w:val="16"/>
                <w:szCs w:val="16"/>
                <w14:ligatures w14:val="none"/>
              </w:rPr>
              <w:t>4</w:t>
            </w:r>
          </w:p>
        </w:tc>
        <w:tc>
          <w:tcPr>
            <w:tcW w:w="900" w:type="dxa"/>
            <w:hideMark/>
          </w:tcPr>
          <w:p w14:paraId="314D38CB"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0C46CC">
              <w:rPr>
                <w:rFonts w:ascii="Arial" w:eastAsia="Times New Roman" w:hAnsi="Arial" w:cs="Arial"/>
                <w:color w:val="000000"/>
                <w:kern w:val="0"/>
                <w:sz w:val="16"/>
                <w:szCs w:val="16"/>
                <w14:ligatures w14:val="none"/>
              </w:rPr>
              <w:t>Kusumawati et al. (2024)</w:t>
            </w:r>
            <w:r>
              <w:rPr>
                <w:rFonts w:ascii="Arial" w:eastAsia="Times New Roman" w:hAnsi="Arial" w:cs="Arial"/>
                <w:color w:val="000000"/>
                <w:kern w:val="0"/>
                <w:sz w:val="16"/>
                <w:szCs w:val="16"/>
                <w14:ligatures w14:val="none"/>
              </w:rPr>
              <w:t xml:space="preserve"> </w:t>
            </w:r>
            <w:r>
              <w:rPr>
                <w:rFonts w:ascii="Arial" w:eastAsia="Times New Roman" w:hAnsi="Arial" w:cs="Arial"/>
                <w:color w:val="000000"/>
                <w:kern w:val="0"/>
                <w:sz w:val="16"/>
                <w:szCs w:val="16"/>
                <w:vertAlign w:val="superscript"/>
                <w14:ligatures w14:val="none"/>
              </w:rPr>
              <w:t>22</w:t>
            </w:r>
          </w:p>
        </w:tc>
        <w:tc>
          <w:tcPr>
            <w:tcW w:w="1350" w:type="dxa"/>
          </w:tcPr>
          <w:p w14:paraId="7A887F29"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2E51C3">
              <w:rPr>
                <w:rFonts w:ascii="Arial" w:eastAsia="Times New Roman" w:hAnsi="Arial" w:cs="Arial"/>
                <w:color w:val="000000"/>
                <w:kern w:val="0"/>
                <w:sz w:val="16"/>
                <w:szCs w:val="16"/>
                <w14:ligatures w14:val="none"/>
              </w:rPr>
              <w:t>Qualitative (observation, interview, document analysis)</w:t>
            </w:r>
          </w:p>
        </w:tc>
        <w:tc>
          <w:tcPr>
            <w:tcW w:w="1080" w:type="dxa"/>
          </w:tcPr>
          <w:p w14:paraId="618349AB"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2E51C3">
              <w:rPr>
                <w:rFonts w:ascii="Arial" w:eastAsia="Times New Roman" w:hAnsi="Arial" w:cs="Arial"/>
                <w:color w:val="000000"/>
                <w:kern w:val="0"/>
                <w:sz w:val="16"/>
                <w:szCs w:val="16"/>
                <w14:ligatures w14:val="none"/>
              </w:rPr>
              <w:t>Health cadres in Ternyang Village</w:t>
            </w:r>
          </w:p>
        </w:tc>
        <w:tc>
          <w:tcPr>
            <w:tcW w:w="990" w:type="dxa"/>
          </w:tcPr>
          <w:p w14:paraId="04AE160B"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2E51C3">
              <w:rPr>
                <w:rFonts w:ascii="Arial" w:eastAsia="Times New Roman" w:hAnsi="Arial" w:cs="Arial"/>
                <w:color w:val="000000"/>
                <w:kern w:val="0"/>
                <w:sz w:val="16"/>
                <w:szCs w:val="16"/>
                <w14:ligatures w14:val="none"/>
              </w:rPr>
              <w:t>Intensive short-term training</w:t>
            </w:r>
          </w:p>
        </w:tc>
        <w:tc>
          <w:tcPr>
            <w:tcW w:w="1350" w:type="dxa"/>
          </w:tcPr>
          <w:p w14:paraId="25904D35"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2E51C3">
              <w:rPr>
                <w:rFonts w:ascii="Arial" w:eastAsia="Times New Roman" w:hAnsi="Arial" w:cs="Arial"/>
                <w:color w:val="000000"/>
                <w:kern w:val="0"/>
                <w:sz w:val="16"/>
                <w:szCs w:val="16"/>
                <w14:ligatures w14:val="none"/>
              </w:rPr>
              <w:t>Needs analysis using fishbone, USG prioritization, SWOT analysis, and post-training effectiveness evaluation</w:t>
            </w:r>
          </w:p>
        </w:tc>
        <w:tc>
          <w:tcPr>
            <w:tcW w:w="1800" w:type="dxa"/>
          </w:tcPr>
          <w:p w14:paraId="2BEEC059"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2E51C3">
              <w:rPr>
                <w:rFonts w:ascii="Arial" w:eastAsia="Times New Roman" w:hAnsi="Arial" w:cs="Arial"/>
                <w:color w:val="000000"/>
                <w:kern w:val="0"/>
                <w:sz w:val="16"/>
                <w:szCs w:val="16"/>
                <w14:ligatures w14:val="none"/>
              </w:rPr>
              <w:t>Cadre capacity increased up to 70% in mastering basic competencies; improved coordination and service efficiency.</w:t>
            </w:r>
          </w:p>
        </w:tc>
        <w:tc>
          <w:tcPr>
            <w:tcW w:w="1620" w:type="dxa"/>
          </w:tcPr>
          <w:p w14:paraId="0155E4DC"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2E51C3">
              <w:rPr>
                <w:rFonts w:ascii="Arial" w:eastAsia="Times New Roman" w:hAnsi="Arial" w:cs="Arial"/>
                <w:color w:val="000000"/>
                <w:kern w:val="0"/>
                <w:sz w:val="16"/>
                <w:szCs w:val="16"/>
                <w14:ligatures w14:val="none"/>
              </w:rPr>
              <w:t>Community preference for specialist doctors; limited technology and communication tools among cadres.</w:t>
            </w:r>
          </w:p>
        </w:tc>
        <w:tc>
          <w:tcPr>
            <w:tcW w:w="1800" w:type="dxa"/>
          </w:tcPr>
          <w:p w14:paraId="57398D2F"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2E51C3">
              <w:rPr>
                <w:rFonts w:ascii="Arial" w:eastAsia="Times New Roman" w:hAnsi="Arial" w:cs="Arial"/>
                <w:color w:val="000000"/>
                <w:kern w:val="0"/>
                <w:sz w:val="16"/>
                <w:szCs w:val="16"/>
                <w14:ligatures w14:val="none"/>
              </w:rPr>
              <w:t>Continuous, collaborative, and adaptive training strategies based on local needs are required.</w:t>
            </w:r>
          </w:p>
        </w:tc>
        <w:tc>
          <w:tcPr>
            <w:tcW w:w="1620" w:type="dxa"/>
          </w:tcPr>
          <w:p w14:paraId="55EA25EE" w14:textId="77777777" w:rsidR="00995E74" w:rsidRDefault="00995E74" w:rsidP="00110E8B">
            <w:pPr>
              <w:spacing w:after="0" w:line="240" w:lineRule="auto"/>
              <w:jc w:val="center"/>
              <w:rPr>
                <w:rFonts w:ascii="Arial" w:eastAsia="Times New Roman" w:hAnsi="Arial" w:cs="Arial"/>
                <w:color w:val="000000"/>
                <w:kern w:val="0"/>
                <w:sz w:val="16"/>
                <w:szCs w:val="16"/>
                <w14:ligatures w14:val="none"/>
              </w:rPr>
            </w:pPr>
            <w:r w:rsidRPr="0003719C">
              <w:rPr>
                <w:rFonts w:ascii="Arial" w:eastAsia="Times New Roman" w:hAnsi="Arial" w:cs="Arial"/>
                <w:color w:val="000000"/>
                <w:kern w:val="0"/>
                <w:sz w:val="16"/>
                <w:szCs w:val="16"/>
                <w14:ligatures w14:val="none"/>
              </w:rPr>
              <w:t>doi:10.58344/locus.v3i12.3472</w:t>
            </w:r>
          </w:p>
          <w:p w14:paraId="12BE094F" w14:textId="77777777" w:rsidR="00995E74" w:rsidRPr="009C6CC0" w:rsidRDefault="00995E74" w:rsidP="00110E8B">
            <w:pPr>
              <w:spacing w:after="0" w:line="240" w:lineRule="auto"/>
              <w:jc w:val="center"/>
              <w:rPr>
                <w:rFonts w:ascii="Arial" w:eastAsia="Times New Roman" w:hAnsi="Arial" w:cs="Arial"/>
                <w:color w:val="000000"/>
                <w:kern w:val="0"/>
                <w:sz w:val="16"/>
                <w:szCs w:val="16"/>
                <w14:ligatures w14:val="none"/>
              </w:rPr>
            </w:pPr>
          </w:p>
        </w:tc>
        <w:tc>
          <w:tcPr>
            <w:tcW w:w="1620" w:type="dxa"/>
          </w:tcPr>
          <w:p w14:paraId="1F77DA1E" w14:textId="77777777" w:rsidR="00995E74" w:rsidRPr="00A92A24" w:rsidRDefault="00995E74" w:rsidP="00110E8B">
            <w:pPr>
              <w:spacing w:after="0" w:line="240" w:lineRule="auto"/>
              <w:jc w:val="center"/>
              <w:rPr>
                <w:rFonts w:ascii="Arial" w:hAnsi="Arial" w:cs="Arial"/>
                <w:sz w:val="16"/>
                <w:szCs w:val="16"/>
              </w:rPr>
            </w:pPr>
            <w:r w:rsidRPr="00A92A24">
              <w:rPr>
                <w:rFonts w:ascii="Arial" w:hAnsi="Arial" w:cs="Arial"/>
                <w:sz w:val="16"/>
                <w:szCs w:val="16"/>
              </w:rPr>
              <w:t>S4</w:t>
            </w:r>
          </w:p>
        </w:tc>
      </w:tr>
      <w:tr w:rsidR="00995E74" w:rsidRPr="009C6CC0" w14:paraId="75415280" w14:textId="77777777" w:rsidTr="00110E8B">
        <w:trPr>
          <w:trHeight w:val="690"/>
        </w:trPr>
        <w:tc>
          <w:tcPr>
            <w:tcW w:w="450" w:type="dxa"/>
            <w:hideMark/>
          </w:tcPr>
          <w:p w14:paraId="5695D43E"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0C46CC">
              <w:rPr>
                <w:rFonts w:ascii="Arial" w:eastAsia="Times New Roman" w:hAnsi="Arial" w:cs="Arial"/>
                <w:color w:val="000000"/>
                <w:kern w:val="0"/>
                <w:sz w:val="16"/>
                <w:szCs w:val="16"/>
                <w14:ligatures w14:val="none"/>
              </w:rPr>
              <w:t>5</w:t>
            </w:r>
          </w:p>
        </w:tc>
        <w:tc>
          <w:tcPr>
            <w:tcW w:w="900" w:type="dxa"/>
            <w:hideMark/>
          </w:tcPr>
          <w:p w14:paraId="4CFC2D15"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0C46CC">
              <w:rPr>
                <w:rFonts w:ascii="Arial" w:eastAsia="Times New Roman" w:hAnsi="Arial" w:cs="Arial"/>
                <w:color w:val="000000"/>
                <w:kern w:val="0"/>
                <w:sz w:val="16"/>
                <w:szCs w:val="16"/>
                <w14:ligatures w14:val="none"/>
              </w:rPr>
              <w:t>Mediani, H. S., Nurhidayah, I., &amp; Lukman, M. (2020)</w:t>
            </w:r>
            <w:r>
              <w:rPr>
                <w:rFonts w:ascii="Arial" w:eastAsia="Times New Roman" w:hAnsi="Arial" w:cs="Arial"/>
                <w:color w:val="000000"/>
                <w:kern w:val="0"/>
                <w:sz w:val="16"/>
                <w:szCs w:val="16"/>
                <w14:ligatures w14:val="none"/>
              </w:rPr>
              <w:t xml:space="preserve"> </w:t>
            </w:r>
            <w:r>
              <w:rPr>
                <w:rFonts w:ascii="Arial" w:eastAsia="Times New Roman" w:hAnsi="Arial" w:cs="Arial"/>
                <w:color w:val="000000"/>
                <w:kern w:val="0"/>
                <w:sz w:val="16"/>
                <w:szCs w:val="16"/>
                <w:vertAlign w:val="superscript"/>
                <w14:ligatures w14:val="none"/>
              </w:rPr>
              <w:t>23</w:t>
            </w:r>
          </w:p>
        </w:tc>
        <w:tc>
          <w:tcPr>
            <w:tcW w:w="1350" w:type="dxa"/>
          </w:tcPr>
          <w:p w14:paraId="015A6150"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2E51C3">
              <w:rPr>
                <w:rFonts w:ascii="Arial" w:eastAsia="Times New Roman" w:hAnsi="Arial" w:cs="Arial"/>
                <w:color w:val="000000"/>
                <w:kern w:val="0"/>
                <w:sz w:val="16"/>
                <w:szCs w:val="16"/>
                <w14:ligatures w14:val="none"/>
              </w:rPr>
              <w:t>Descriptive study</w:t>
            </w:r>
          </w:p>
        </w:tc>
        <w:tc>
          <w:tcPr>
            <w:tcW w:w="1080" w:type="dxa"/>
          </w:tcPr>
          <w:p w14:paraId="0353F602"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2E51C3">
              <w:rPr>
                <w:rFonts w:ascii="Arial" w:eastAsia="Times New Roman" w:hAnsi="Arial" w:cs="Arial"/>
                <w:color w:val="000000"/>
                <w:kern w:val="0"/>
                <w:sz w:val="16"/>
                <w:szCs w:val="16"/>
                <w14:ligatures w14:val="none"/>
              </w:rPr>
              <w:t>44 health cadres from all sub-districts in Karawang</w:t>
            </w:r>
          </w:p>
        </w:tc>
        <w:tc>
          <w:tcPr>
            <w:tcW w:w="990" w:type="dxa"/>
          </w:tcPr>
          <w:p w14:paraId="47116A31"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2E51C3">
              <w:rPr>
                <w:rFonts w:ascii="Arial" w:eastAsia="Times New Roman" w:hAnsi="Arial" w:cs="Arial"/>
                <w:color w:val="000000"/>
                <w:kern w:val="0"/>
                <w:sz w:val="16"/>
                <w:szCs w:val="16"/>
                <w14:ligatures w14:val="none"/>
              </w:rPr>
              <w:t>One intensive training session</w:t>
            </w:r>
          </w:p>
        </w:tc>
        <w:tc>
          <w:tcPr>
            <w:tcW w:w="1350" w:type="dxa"/>
          </w:tcPr>
          <w:p w14:paraId="0223B960"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2E51C3">
              <w:rPr>
                <w:rFonts w:ascii="Arial" w:eastAsia="Times New Roman" w:hAnsi="Arial" w:cs="Arial"/>
                <w:color w:val="000000"/>
                <w:kern w:val="0"/>
                <w:sz w:val="16"/>
                <w:szCs w:val="16"/>
                <w14:ligatures w14:val="none"/>
              </w:rPr>
              <w:t>Pre–post test assessing cadre knowledge &amp; motivation scores</w:t>
            </w:r>
          </w:p>
        </w:tc>
        <w:tc>
          <w:tcPr>
            <w:tcW w:w="1800" w:type="dxa"/>
          </w:tcPr>
          <w:p w14:paraId="2F8B3B64"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2E51C3">
              <w:rPr>
                <w:rFonts w:ascii="Arial" w:eastAsia="Times New Roman" w:hAnsi="Arial" w:cs="Arial"/>
                <w:color w:val="000000"/>
                <w:kern w:val="0"/>
                <w:sz w:val="16"/>
                <w:szCs w:val="16"/>
                <w14:ligatures w14:val="none"/>
              </w:rPr>
              <w:t>77.55% cadres had good knowledge; 68.26% had moderate motivation; improvements were noted after training.</w:t>
            </w:r>
          </w:p>
        </w:tc>
        <w:tc>
          <w:tcPr>
            <w:tcW w:w="1620" w:type="dxa"/>
          </w:tcPr>
          <w:p w14:paraId="0B7248EB"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2E51C3">
              <w:rPr>
                <w:rFonts w:ascii="Arial" w:eastAsia="Times New Roman" w:hAnsi="Arial" w:cs="Arial"/>
                <w:color w:val="000000"/>
                <w:kern w:val="0"/>
                <w:sz w:val="16"/>
                <w:szCs w:val="16"/>
                <w14:ligatures w14:val="none"/>
              </w:rPr>
              <w:t>Motivation remained moderate, particularly related to incentives; need for continuous training.</w:t>
            </w:r>
          </w:p>
        </w:tc>
        <w:tc>
          <w:tcPr>
            <w:tcW w:w="1800" w:type="dxa"/>
          </w:tcPr>
          <w:p w14:paraId="3A6424D5"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2E51C3">
              <w:rPr>
                <w:rFonts w:ascii="Arial" w:eastAsia="Times New Roman" w:hAnsi="Arial" w:cs="Arial"/>
                <w:color w:val="000000"/>
                <w:kern w:val="0"/>
                <w:sz w:val="16"/>
                <w:szCs w:val="16"/>
                <w14:ligatures w14:val="none"/>
              </w:rPr>
              <w:t>Further empowerment focusing on nutrition and systematic motivation enhancement is necessary.</w:t>
            </w:r>
          </w:p>
        </w:tc>
        <w:tc>
          <w:tcPr>
            <w:tcW w:w="1620" w:type="dxa"/>
          </w:tcPr>
          <w:p w14:paraId="2EE5C178" w14:textId="77777777" w:rsidR="00995E74" w:rsidRPr="009C6CC0" w:rsidRDefault="00995E74" w:rsidP="00110E8B">
            <w:pPr>
              <w:spacing w:after="0" w:line="240" w:lineRule="auto"/>
              <w:jc w:val="center"/>
              <w:rPr>
                <w:rFonts w:ascii="Arial" w:eastAsia="Times New Roman" w:hAnsi="Arial" w:cs="Arial"/>
                <w:color w:val="000000"/>
                <w:kern w:val="0"/>
                <w:sz w:val="16"/>
                <w:szCs w:val="16"/>
                <w14:ligatures w14:val="none"/>
              </w:rPr>
            </w:pPr>
            <w:r w:rsidRPr="009C6CC0">
              <w:rPr>
                <w:rFonts w:ascii="Arial" w:hAnsi="Arial" w:cs="Arial"/>
                <w:color w:val="0000FF"/>
                <w:sz w:val="16"/>
                <w:szCs w:val="16"/>
                <w:u w:val="single"/>
              </w:rPr>
              <w:t>https://doi.org/10.24198/mkk.v3i1.26415</w:t>
            </w:r>
          </w:p>
        </w:tc>
        <w:tc>
          <w:tcPr>
            <w:tcW w:w="1620" w:type="dxa"/>
          </w:tcPr>
          <w:p w14:paraId="3F3BD403" w14:textId="77777777" w:rsidR="00995E74" w:rsidRPr="00A92A24" w:rsidRDefault="00995E74" w:rsidP="00110E8B">
            <w:pPr>
              <w:spacing w:after="0" w:line="240" w:lineRule="auto"/>
              <w:jc w:val="center"/>
              <w:rPr>
                <w:rFonts w:ascii="Arial" w:hAnsi="Arial" w:cs="Arial"/>
                <w:sz w:val="16"/>
                <w:szCs w:val="16"/>
              </w:rPr>
            </w:pPr>
            <w:r w:rsidRPr="00A92A24">
              <w:rPr>
                <w:rFonts w:ascii="Arial" w:hAnsi="Arial" w:cs="Arial"/>
                <w:sz w:val="16"/>
                <w:szCs w:val="16"/>
              </w:rPr>
              <w:t>S3</w:t>
            </w:r>
          </w:p>
        </w:tc>
      </w:tr>
      <w:tr w:rsidR="00995E74" w:rsidRPr="009C6CC0" w14:paraId="64506A68" w14:textId="77777777" w:rsidTr="00110E8B">
        <w:trPr>
          <w:trHeight w:val="690"/>
        </w:trPr>
        <w:tc>
          <w:tcPr>
            <w:tcW w:w="450" w:type="dxa"/>
            <w:hideMark/>
          </w:tcPr>
          <w:p w14:paraId="6606E96A"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0C46CC">
              <w:rPr>
                <w:rFonts w:ascii="Arial" w:eastAsia="Times New Roman" w:hAnsi="Arial" w:cs="Arial"/>
                <w:color w:val="000000"/>
                <w:kern w:val="0"/>
                <w:sz w:val="16"/>
                <w:szCs w:val="16"/>
                <w14:ligatures w14:val="none"/>
              </w:rPr>
              <w:t>13</w:t>
            </w:r>
          </w:p>
        </w:tc>
        <w:tc>
          <w:tcPr>
            <w:tcW w:w="900" w:type="dxa"/>
            <w:hideMark/>
          </w:tcPr>
          <w:p w14:paraId="32357D85"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0C46CC">
              <w:rPr>
                <w:rFonts w:ascii="Arial" w:eastAsia="Times New Roman" w:hAnsi="Arial" w:cs="Arial"/>
                <w:color w:val="000000"/>
                <w:kern w:val="0"/>
                <w:sz w:val="16"/>
                <w:szCs w:val="16"/>
                <w14:ligatures w14:val="none"/>
              </w:rPr>
              <w:t>Weningtyas et al. (2023)</w:t>
            </w:r>
            <w:r>
              <w:rPr>
                <w:rFonts w:ascii="Arial" w:eastAsia="Times New Roman" w:hAnsi="Arial" w:cs="Arial"/>
                <w:color w:val="000000"/>
                <w:kern w:val="0"/>
                <w:sz w:val="16"/>
                <w:szCs w:val="16"/>
                <w14:ligatures w14:val="none"/>
              </w:rPr>
              <w:t xml:space="preserve"> </w:t>
            </w:r>
            <w:r>
              <w:rPr>
                <w:rFonts w:ascii="Arial" w:eastAsia="Times New Roman" w:hAnsi="Arial" w:cs="Arial"/>
                <w:color w:val="000000"/>
                <w:kern w:val="0"/>
                <w:sz w:val="16"/>
                <w:szCs w:val="16"/>
                <w:vertAlign w:val="superscript"/>
                <w14:ligatures w14:val="none"/>
              </w:rPr>
              <w:t>31</w:t>
            </w:r>
          </w:p>
        </w:tc>
        <w:tc>
          <w:tcPr>
            <w:tcW w:w="1350" w:type="dxa"/>
          </w:tcPr>
          <w:p w14:paraId="491D3461"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6709D3">
              <w:rPr>
                <w:rFonts w:ascii="Arial" w:eastAsia="Times New Roman" w:hAnsi="Arial" w:cs="Arial"/>
                <w:color w:val="000000"/>
                <w:kern w:val="0"/>
                <w:sz w:val="16"/>
                <w:szCs w:val="16"/>
                <w14:ligatures w14:val="none"/>
              </w:rPr>
              <w:t>Pre-experimental, one-group pre-test post-test design</w:t>
            </w:r>
          </w:p>
        </w:tc>
        <w:tc>
          <w:tcPr>
            <w:tcW w:w="1080" w:type="dxa"/>
          </w:tcPr>
          <w:p w14:paraId="006F37A5"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6709D3">
              <w:rPr>
                <w:rFonts w:ascii="Arial" w:eastAsia="Times New Roman" w:hAnsi="Arial" w:cs="Arial"/>
                <w:color w:val="000000"/>
                <w:kern w:val="0"/>
                <w:sz w:val="16"/>
                <w:szCs w:val="16"/>
                <w14:ligatures w14:val="none"/>
              </w:rPr>
              <w:t>20 Posyandu cadres in Dilem Village</w:t>
            </w:r>
          </w:p>
        </w:tc>
        <w:tc>
          <w:tcPr>
            <w:tcW w:w="990" w:type="dxa"/>
          </w:tcPr>
          <w:p w14:paraId="45B67694"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6709D3">
              <w:rPr>
                <w:rFonts w:ascii="Arial" w:eastAsia="Times New Roman" w:hAnsi="Arial" w:cs="Arial"/>
                <w:color w:val="000000"/>
                <w:kern w:val="0"/>
                <w:sz w:val="16"/>
                <w:szCs w:val="16"/>
                <w14:ligatures w14:val="none"/>
              </w:rPr>
              <w:t>120 minutes (1 session)</w:t>
            </w:r>
          </w:p>
        </w:tc>
        <w:tc>
          <w:tcPr>
            <w:tcW w:w="1350" w:type="dxa"/>
          </w:tcPr>
          <w:p w14:paraId="03EFEA1B"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6709D3">
              <w:rPr>
                <w:rFonts w:ascii="Arial" w:eastAsia="Times New Roman" w:hAnsi="Arial" w:cs="Arial"/>
                <w:color w:val="000000"/>
                <w:kern w:val="0"/>
                <w:sz w:val="16"/>
                <w:szCs w:val="16"/>
                <w14:ligatures w14:val="none"/>
              </w:rPr>
              <w:t>Pre-test and post-test (10 multiple-choice questions); Wilcoxon test for statistical analysis</w:t>
            </w:r>
          </w:p>
        </w:tc>
        <w:tc>
          <w:tcPr>
            <w:tcW w:w="1800" w:type="dxa"/>
          </w:tcPr>
          <w:p w14:paraId="25F4C0B0"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6709D3">
              <w:rPr>
                <w:rFonts w:ascii="Arial" w:eastAsia="Times New Roman" w:hAnsi="Arial" w:cs="Arial"/>
                <w:color w:val="000000"/>
                <w:kern w:val="0"/>
                <w:sz w:val="16"/>
                <w:szCs w:val="16"/>
                <w14:ligatures w14:val="none"/>
              </w:rPr>
              <w:t>Average knowledge scores increased by 16.5 points (58 → 74.5; p &lt; 0.001); 17 out of 20 participants improved their scores.</w:t>
            </w:r>
          </w:p>
        </w:tc>
        <w:tc>
          <w:tcPr>
            <w:tcW w:w="1620" w:type="dxa"/>
          </w:tcPr>
          <w:p w14:paraId="3990E03A"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6709D3">
              <w:rPr>
                <w:rFonts w:ascii="Arial" w:eastAsia="Times New Roman" w:hAnsi="Arial" w:cs="Arial"/>
                <w:color w:val="000000"/>
                <w:kern w:val="0"/>
                <w:sz w:val="16"/>
                <w:szCs w:val="16"/>
                <w14:ligatures w14:val="none"/>
              </w:rPr>
              <w:t>Not specified in detail; time limitations and small sample size noted.</w:t>
            </w:r>
          </w:p>
        </w:tc>
        <w:tc>
          <w:tcPr>
            <w:tcW w:w="1800" w:type="dxa"/>
          </w:tcPr>
          <w:p w14:paraId="05F6E512"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6709D3">
              <w:rPr>
                <w:rFonts w:ascii="Arial" w:eastAsia="Times New Roman" w:hAnsi="Arial" w:cs="Arial"/>
                <w:color w:val="000000"/>
                <w:kern w:val="0"/>
                <w:sz w:val="16"/>
                <w:szCs w:val="16"/>
                <w14:ligatures w14:val="none"/>
              </w:rPr>
              <w:t>Short courses are effective for increasing cadre knowledge on early stunting detection and anthropometry; training should be optimized as a community empowerment strategy.</w:t>
            </w:r>
          </w:p>
        </w:tc>
        <w:tc>
          <w:tcPr>
            <w:tcW w:w="1620" w:type="dxa"/>
          </w:tcPr>
          <w:p w14:paraId="6BBE8867" w14:textId="77777777" w:rsidR="00995E74" w:rsidRPr="009C6CC0" w:rsidRDefault="00995E74" w:rsidP="00110E8B">
            <w:pPr>
              <w:spacing w:after="0" w:line="240" w:lineRule="auto"/>
              <w:jc w:val="center"/>
              <w:rPr>
                <w:rFonts w:ascii="Arial" w:eastAsia="Times New Roman" w:hAnsi="Arial" w:cs="Arial"/>
                <w:color w:val="000000"/>
                <w:kern w:val="0"/>
                <w:sz w:val="16"/>
                <w:szCs w:val="16"/>
                <w14:ligatures w14:val="none"/>
              </w:rPr>
            </w:pPr>
            <w:r w:rsidRPr="009C6CC0">
              <w:rPr>
                <w:rFonts w:ascii="Arial" w:hAnsi="Arial" w:cs="Arial"/>
                <w:color w:val="0000FF"/>
                <w:sz w:val="16"/>
                <w:szCs w:val="16"/>
                <w:u w:val="single"/>
              </w:rPr>
              <w:t>https://doi.org/10.20473/Ijph.v18i3.2023.530-539</w:t>
            </w:r>
          </w:p>
        </w:tc>
        <w:tc>
          <w:tcPr>
            <w:tcW w:w="1620" w:type="dxa"/>
          </w:tcPr>
          <w:p w14:paraId="0783BF59" w14:textId="77777777" w:rsidR="00995E74" w:rsidRPr="00A92A24" w:rsidRDefault="00995E74" w:rsidP="00110E8B">
            <w:pPr>
              <w:spacing w:after="0" w:line="240" w:lineRule="auto"/>
              <w:jc w:val="center"/>
              <w:rPr>
                <w:rFonts w:ascii="Arial" w:hAnsi="Arial" w:cs="Arial"/>
                <w:sz w:val="16"/>
                <w:szCs w:val="16"/>
              </w:rPr>
            </w:pPr>
            <w:r w:rsidRPr="00A92A24">
              <w:rPr>
                <w:rFonts w:ascii="Arial" w:hAnsi="Arial" w:cs="Arial"/>
                <w:sz w:val="16"/>
                <w:szCs w:val="16"/>
              </w:rPr>
              <w:t>S3</w:t>
            </w:r>
          </w:p>
        </w:tc>
      </w:tr>
      <w:tr w:rsidR="00995E74" w:rsidRPr="009C6CC0" w14:paraId="01A7ECCD" w14:textId="77777777" w:rsidTr="00110E8B">
        <w:trPr>
          <w:trHeight w:val="690"/>
        </w:trPr>
        <w:tc>
          <w:tcPr>
            <w:tcW w:w="450" w:type="dxa"/>
            <w:hideMark/>
          </w:tcPr>
          <w:p w14:paraId="7C0F1702"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0C46CC">
              <w:rPr>
                <w:rFonts w:ascii="Arial" w:eastAsia="Times New Roman" w:hAnsi="Arial" w:cs="Arial"/>
                <w:color w:val="000000"/>
                <w:kern w:val="0"/>
                <w:sz w:val="16"/>
                <w:szCs w:val="16"/>
                <w14:ligatures w14:val="none"/>
              </w:rPr>
              <w:t>27</w:t>
            </w:r>
          </w:p>
        </w:tc>
        <w:tc>
          <w:tcPr>
            <w:tcW w:w="900" w:type="dxa"/>
            <w:hideMark/>
          </w:tcPr>
          <w:p w14:paraId="69F291E6"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BE3283">
              <w:rPr>
                <w:rFonts w:ascii="Arial" w:eastAsia="Times New Roman" w:hAnsi="Arial" w:cs="Arial"/>
                <w:color w:val="000000"/>
                <w:kern w:val="0"/>
                <w:sz w:val="16"/>
                <w:szCs w:val="16"/>
                <w14:ligatures w14:val="none"/>
              </w:rPr>
              <w:t xml:space="preserve">Desi et al. (2023) </w:t>
            </w:r>
            <w:r>
              <w:rPr>
                <w:rFonts w:ascii="Arial" w:eastAsia="Times New Roman" w:hAnsi="Arial" w:cs="Arial"/>
                <w:color w:val="000000"/>
                <w:kern w:val="0"/>
                <w:sz w:val="16"/>
                <w:szCs w:val="16"/>
                <w:vertAlign w:val="superscript"/>
                <w14:ligatures w14:val="none"/>
              </w:rPr>
              <w:t>45</w:t>
            </w:r>
          </w:p>
        </w:tc>
        <w:tc>
          <w:tcPr>
            <w:tcW w:w="1350" w:type="dxa"/>
          </w:tcPr>
          <w:p w14:paraId="19D40D3B"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7638AF">
              <w:rPr>
                <w:rFonts w:ascii="Arial" w:eastAsia="Times New Roman" w:hAnsi="Arial" w:cs="Arial"/>
                <w:color w:val="000000"/>
                <w:kern w:val="0"/>
                <w:sz w:val="16"/>
                <w:szCs w:val="16"/>
                <w14:ligatures w14:val="none"/>
              </w:rPr>
              <w:t>Quasi-experiment (pre–post one group design)</w:t>
            </w:r>
          </w:p>
        </w:tc>
        <w:tc>
          <w:tcPr>
            <w:tcW w:w="1080" w:type="dxa"/>
          </w:tcPr>
          <w:p w14:paraId="770C60C1"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7638AF">
              <w:rPr>
                <w:rFonts w:ascii="Arial" w:eastAsia="Times New Roman" w:hAnsi="Arial" w:cs="Arial"/>
                <w:color w:val="000000"/>
                <w:kern w:val="0"/>
                <w:sz w:val="16"/>
                <w:szCs w:val="16"/>
                <w14:ligatures w14:val="none"/>
              </w:rPr>
              <w:t xml:space="preserve">35 posyandu cadres (aged 15–44 years), </w:t>
            </w:r>
            <w:r w:rsidRPr="007638AF">
              <w:rPr>
                <w:rFonts w:ascii="Arial" w:eastAsia="Times New Roman" w:hAnsi="Arial" w:cs="Arial"/>
                <w:color w:val="000000"/>
                <w:kern w:val="0"/>
                <w:sz w:val="16"/>
                <w:szCs w:val="16"/>
                <w14:ligatures w14:val="none"/>
              </w:rPr>
              <w:lastRenderedPageBreak/>
              <w:t>purposive sampling</w:t>
            </w:r>
          </w:p>
        </w:tc>
        <w:tc>
          <w:tcPr>
            <w:tcW w:w="990" w:type="dxa"/>
          </w:tcPr>
          <w:p w14:paraId="30E8C187"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7638AF">
              <w:rPr>
                <w:rFonts w:ascii="Arial" w:eastAsia="Times New Roman" w:hAnsi="Arial" w:cs="Arial"/>
                <w:color w:val="000000"/>
                <w:kern w:val="0"/>
                <w:sz w:val="16"/>
                <w:szCs w:val="16"/>
                <w14:ligatures w14:val="none"/>
              </w:rPr>
              <w:lastRenderedPageBreak/>
              <w:t>6 months (May–Oct 2022)</w:t>
            </w:r>
          </w:p>
        </w:tc>
        <w:tc>
          <w:tcPr>
            <w:tcW w:w="1350" w:type="dxa"/>
          </w:tcPr>
          <w:p w14:paraId="6C5523CB"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7638AF">
              <w:rPr>
                <w:rFonts w:ascii="Arial" w:eastAsia="Times New Roman" w:hAnsi="Arial" w:cs="Arial"/>
                <w:color w:val="000000"/>
                <w:kern w:val="0"/>
                <w:sz w:val="16"/>
                <w:szCs w:val="16"/>
                <w14:ligatures w14:val="none"/>
              </w:rPr>
              <w:t>Pre–post test, paired t-test</w:t>
            </w:r>
          </w:p>
        </w:tc>
        <w:tc>
          <w:tcPr>
            <w:tcW w:w="1800" w:type="dxa"/>
          </w:tcPr>
          <w:p w14:paraId="194B1517"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7638AF">
              <w:rPr>
                <w:rFonts w:ascii="Arial" w:eastAsia="Times New Roman" w:hAnsi="Arial" w:cs="Arial"/>
                <w:color w:val="000000"/>
                <w:kern w:val="0"/>
                <w:sz w:val="16"/>
                <w:szCs w:val="16"/>
                <w14:ligatures w14:val="none"/>
              </w:rPr>
              <w:t xml:space="preserve">Knowledge increased from 72.01 → 93.31; MUAC skills: 7.71 → 19.43; Hb measurement skills: </w:t>
            </w:r>
            <w:r w:rsidRPr="007638AF">
              <w:rPr>
                <w:rFonts w:ascii="Arial" w:eastAsia="Times New Roman" w:hAnsi="Arial" w:cs="Arial"/>
                <w:color w:val="000000"/>
                <w:kern w:val="0"/>
                <w:sz w:val="16"/>
                <w:szCs w:val="16"/>
                <w14:ligatures w14:val="none"/>
              </w:rPr>
              <w:lastRenderedPageBreak/>
              <w:t>9.71 → 15; stunting detection ability improved from 0% → 100% (p &lt; 0.001).</w:t>
            </w:r>
          </w:p>
        </w:tc>
        <w:tc>
          <w:tcPr>
            <w:tcW w:w="1620" w:type="dxa"/>
          </w:tcPr>
          <w:p w14:paraId="7074CE06"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7638AF">
              <w:rPr>
                <w:rFonts w:ascii="Arial" w:eastAsia="Times New Roman" w:hAnsi="Arial" w:cs="Arial"/>
                <w:color w:val="000000"/>
                <w:kern w:val="0"/>
                <w:sz w:val="16"/>
                <w:szCs w:val="16"/>
                <w14:ligatures w14:val="none"/>
              </w:rPr>
              <w:lastRenderedPageBreak/>
              <w:t xml:space="preserve">Some cadres did not fully follow procedures during measurement; implementation </w:t>
            </w:r>
            <w:r w:rsidRPr="007638AF">
              <w:rPr>
                <w:rFonts w:ascii="Arial" w:eastAsia="Times New Roman" w:hAnsi="Arial" w:cs="Arial"/>
                <w:color w:val="000000"/>
                <w:kern w:val="0"/>
                <w:sz w:val="16"/>
                <w:szCs w:val="16"/>
                <w14:ligatures w14:val="none"/>
              </w:rPr>
              <w:lastRenderedPageBreak/>
              <w:t>was limited due to COVID-19 restrictions.</w:t>
            </w:r>
          </w:p>
        </w:tc>
        <w:tc>
          <w:tcPr>
            <w:tcW w:w="1800" w:type="dxa"/>
          </w:tcPr>
          <w:p w14:paraId="4C109EA3"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7638AF">
              <w:rPr>
                <w:rFonts w:ascii="Arial" w:eastAsia="Times New Roman" w:hAnsi="Arial" w:cs="Arial"/>
                <w:color w:val="000000"/>
                <w:kern w:val="0"/>
                <w:sz w:val="16"/>
                <w:szCs w:val="16"/>
                <w14:ligatures w14:val="none"/>
              </w:rPr>
              <w:lastRenderedPageBreak/>
              <w:t>Continuous training and cadre monitoring are recommended for program sustainability.</w:t>
            </w:r>
          </w:p>
        </w:tc>
        <w:tc>
          <w:tcPr>
            <w:tcW w:w="1620" w:type="dxa"/>
          </w:tcPr>
          <w:p w14:paraId="34A2A0C4" w14:textId="77777777" w:rsidR="00995E74" w:rsidRPr="009C6CC0" w:rsidRDefault="00995E74" w:rsidP="00110E8B">
            <w:pPr>
              <w:spacing w:after="0" w:line="240" w:lineRule="auto"/>
              <w:jc w:val="center"/>
              <w:rPr>
                <w:rFonts w:ascii="Arial" w:eastAsia="Times New Roman" w:hAnsi="Arial" w:cs="Arial"/>
                <w:color w:val="000000"/>
                <w:kern w:val="0"/>
                <w:sz w:val="16"/>
                <w:szCs w:val="16"/>
                <w14:ligatures w14:val="none"/>
              </w:rPr>
            </w:pPr>
            <w:r w:rsidRPr="0003719C">
              <w:rPr>
                <w:rFonts w:ascii="Arial" w:hAnsi="Arial" w:cs="Arial"/>
                <w:color w:val="0000FF"/>
                <w:sz w:val="16"/>
                <w:szCs w:val="16"/>
                <w:u w:val="single"/>
              </w:rPr>
              <w:t>10.47539/gk.v15i2.426</w:t>
            </w:r>
          </w:p>
        </w:tc>
        <w:tc>
          <w:tcPr>
            <w:tcW w:w="1620" w:type="dxa"/>
          </w:tcPr>
          <w:p w14:paraId="5DFE58F7" w14:textId="77777777" w:rsidR="00995E74" w:rsidRPr="00A92A24" w:rsidRDefault="00995E74" w:rsidP="00110E8B">
            <w:pPr>
              <w:spacing w:after="0" w:line="240" w:lineRule="auto"/>
              <w:jc w:val="center"/>
              <w:rPr>
                <w:rFonts w:ascii="Arial" w:hAnsi="Arial" w:cs="Arial"/>
                <w:sz w:val="16"/>
                <w:szCs w:val="16"/>
              </w:rPr>
            </w:pPr>
            <w:r w:rsidRPr="00A92A24">
              <w:rPr>
                <w:rFonts w:ascii="Arial" w:hAnsi="Arial" w:cs="Arial"/>
                <w:sz w:val="16"/>
                <w:szCs w:val="16"/>
              </w:rPr>
              <w:t>S4</w:t>
            </w:r>
          </w:p>
        </w:tc>
      </w:tr>
      <w:tr w:rsidR="00995E74" w:rsidRPr="009C6CC0" w14:paraId="20F7EB19" w14:textId="77777777" w:rsidTr="00110E8B">
        <w:trPr>
          <w:trHeight w:val="690"/>
        </w:trPr>
        <w:tc>
          <w:tcPr>
            <w:tcW w:w="450" w:type="dxa"/>
            <w:hideMark/>
          </w:tcPr>
          <w:p w14:paraId="22342B9F"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0C46CC">
              <w:rPr>
                <w:rFonts w:ascii="Arial" w:eastAsia="Times New Roman" w:hAnsi="Arial" w:cs="Arial"/>
                <w:color w:val="000000"/>
                <w:kern w:val="0"/>
                <w:sz w:val="16"/>
                <w:szCs w:val="16"/>
                <w14:ligatures w14:val="none"/>
              </w:rPr>
              <w:t>28</w:t>
            </w:r>
          </w:p>
        </w:tc>
        <w:tc>
          <w:tcPr>
            <w:tcW w:w="900" w:type="dxa"/>
            <w:hideMark/>
          </w:tcPr>
          <w:p w14:paraId="467A409D"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BE3283">
              <w:rPr>
                <w:rFonts w:ascii="Arial" w:eastAsia="Times New Roman" w:hAnsi="Arial" w:cs="Arial"/>
                <w:color w:val="000000"/>
                <w:kern w:val="0"/>
                <w:sz w:val="16"/>
                <w:szCs w:val="16"/>
                <w14:ligatures w14:val="none"/>
              </w:rPr>
              <w:t xml:space="preserve">Sitorus et al. (2021) </w:t>
            </w:r>
            <w:r>
              <w:rPr>
                <w:rFonts w:ascii="Arial" w:eastAsia="Times New Roman" w:hAnsi="Arial" w:cs="Arial"/>
                <w:color w:val="000000"/>
                <w:kern w:val="0"/>
                <w:sz w:val="16"/>
                <w:szCs w:val="16"/>
                <w:vertAlign w:val="superscript"/>
                <w14:ligatures w14:val="none"/>
              </w:rPr>
              <w:t>46</w:t>
            </w:r>
          </w:p>
        </w:tc>
        <w:tc>
          <w:tcPr>
            <w:tcW w:w="1350" w:type="dxa"/>
          </w:tcPr>
          <w:p w14:paraId="5B0DA1CF"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7638AF">
              <w:rPr>
                <w:rFonts w:ascii="Arial" w:eastAsia="Times New Roman" w:hAnsi="Arial" w:cs="Arial"/>
                <w:color w:val="000000"/>
                <w:kern w:val="0"/>
                <w:sz w:val="16"/>
                <w:szCs w:val="16"/>
                <w14:ligatures w14:val="none"/>
              </w:rPr>
              <w:t>Quasi-experiment (pretest–posttest one group design)</w:t>
            </w:r>
          </w:p>
        </w:tc>
        <w:tc>
          <w:tcPr>
            <w:tcW w:w="1080" w:type="dxa"/>
          </w:tcPr>
          <w:p w14:paraId="35057165"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7638AF">
              <w:rPr>
                <w:rFonts w:ascii="Arial" w:eastAsia="Times New Roman" w:hAnsi="Arial" w:cs="Arial"/>
                <w:color w:val="000000"/>
                <w:kern w:val="0"/>
                <w:sz w:val="16"/>
                <w:szCs w:val="16"/>
                <w14:ligatures w14:val="none"/>
              </w:rPr>
              <w:t>30 posyandu cadres (random sampling)</w:t>
            </w:r>
          </w:p>
        </w:tc>
        <w:tc>
          <w:tcPr>
            <w:tcW w:w="990" w:type="dxa"/>
          </w:tcPr>
          <w:p w14:paraId="2CDBF873"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7638AF">
              <w:rPr>
                <w:rFonts w:ascii="Arial" w:eastAsia="Times New Roman" w:hAnsi="Arial" w:cs="Arial"/>
                <w:color w:val="000000"/>
                <w:kern w:val="0"/>
                <w:sz w:val="16"/>
                <w:szCs w:val="16"/>
                <w14:ligatures w14:val="none"/>
              </w:rPr>
              <w:t>1 month (Sept–Oct 2020)</w:t>
            </w:r>
          </w:p>
        </w:tc>
        <w:tc>
          <w:tcPr>
            <w:tcW w:w="1350" w:type="dxa"/>
          </w:tcPr>
          <w:p w14:paraId="0DD71591"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7638AF">
              <w:rPr>
                <w:rFonts w:ascii="Arial" w:eastAsia="Times New Roman" w:hAnsi="Arial" w:cs="Arial"/>
                <w:color w:val="000000"/>
                <w:kern w:val="0"/>
                <w:sz w:val="16"/>
                <w:szCs w:val="16"/>
                <w14:ligatures w14:val="none"/>
              </w:rPr>
              <w:t>Pre–post test (Wilcoxon)</w:t>
            </w:r>
          </w:p>
        </w:tc>
        <w:tc>
          <w:tcPr>
            <w:tcW w:w="1800" w:type="dxa"/>
          </w:tcPr>
          <w:p w14:paraId="0F632196"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7638AF">
              <w:rPr>
                <w:rFonts w:ascii="Arial" w:eastAsia="Times New Roman" w:hAnsi="Arial" w:cs="Arial"/>
                <w:color w:val="000000"/>
                <w:kern w:val="0"/>
                <w:sz w:val="16"/>
                <w:szCs w:val="16"/>
                <w14:ligatures w14:val="none"/>
              </w:rPr>
              <w:t>Knowledge improved from 32.8 → 87.1 (p &lt; 0.001); skills improved from 25.8 → 79.2 (p &lt; 0.001).</w:t>
            </w:r>
          </w:p>
        </w:tc>
        <w:tc>
          <w:tcPr>
            <w:tcW w:w="1620" w:type="dxa"/>
          </w:tcPr>
          <w:p w14:paraId="690C3D06"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7638AF">
              <w:rPr>
                <w:rFonts w:ascii="Arial" w:eastAsia="Times New Roman" w:hAnsi="Arial" w:cs="Arial"/>
                <w:color w:val="000000"/>
                <w:kern w:val="0"/>
                <w:sz w:val="16"/>
                <w:szCs w:val="16"/>
                <w14:ligatures w14:val="none"/>
              </w:rPr>
              <w:t>Limited time; suboptimal supervision due to COVID-19 restrictions.</w:t>
            </w:r>
          </w:p>
        </w:tc>
        <w:tc>
          <w:tcPr>
            <w:tcW w:w="1800" w:type="dxa"/>
          </w:tcPr>
          <w:p w14:paraId="158DFE9A"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7638AF">
              <w:rPr>
                <w:rFonts w:ascii="Arial" w:eastAsia="Times New Roman" w:hAnsi="Arial" w:cs="Arial"/>
                <w:color w:val="000000"/>
                <w:kern w:val="0"/>
                <w:sz w:val="16"/>
                <w:szCs w:val="16"/>
                <w14:ligatures w14:val="none"/>
              </w:rPr>
              <w:t>Routine cadre training and rolling cadre involvement every 3 months are suggested.</w:t>
            </w:r>
          </w:p>
        </w:tc>
        <w:tc>
          <w:tcPr>
            <w:tcW w:w="1620" w:type="dxa"/>
          </w:tcPr>
          <w:p w14:paraId="036D113F" w14:textId="77777777" w:rsidR="00995E74" w:rsidRPr="009C6CC0" w:rsidRDefault="00995E74" w:rsidP="00110E8B">
            <w:pPr>
              <w:spacing w:after="0" w:line="240" w:lineRule="auto"/>
              <w:jc w:val="center"/>
              <w:rPr>
                <w:rFonts w:ascii="Arial" w:eastAsia="Times New Roman" w:hAnsi="Arial" w:cs="Arial"/>
                <w:color w:val="000000"/>
                <w:kern w:val="0"/>
                <w:sz w:val="16"/>
                <w:szCs w:val="16"/>
                <w14:ligatures w14:val="none"/>
              </w:rPr>
            </w:pPr>
            <w:r w:rsidRPr="0003719C">
              <w:rPr>
                <w:rFonts w:ascii="Arial" w:hAnsi="Arial" w:cs="Arial"/>
                <w:color w:val="0000FF"/>
                <w:sz w:val="16"/>
                <w:szCs w:val="16"/>
                <w:u w:val="single"/>
              </w:rPr>
              <w:t>10.33860/jik.v15i3.459</w:t>
            </w:r>
          </w:p>
        </w:tc>
        <w:tc>
          <w:tcPr>
            <w:tcW w:w="1620" w:type="dxa"/>
          </w:tcPr>
          <w:p w14:paraId="0A3B5350" w14:textId="77777777" w:rsidR="00995E74" w:rsidRPr="00A92A24" w:rsidRDefault="00995E74" w:rsidP="00110E8B">
            <w:pPr>
              <w:spacing w:after="0" w:line="240" w:lineRule="auto"/>
              <w:jc w:val="center"/>
              <w:rPr>
                <w:rFonts w:ascii="Arial" w:hAnsi="Arial" w:cs="Arial"/>
                <w:sz w:val="16"/>
                <w:szCs w:val="16"/>
              </w:rPr>
            </w:pPr>
            <w:r w:rsidRPr="00A92A24">
              <w:rPr>
                <w:rFonts w:ascii="Arial" w:hAnsi="Arial" w:cs="Arial"/>
                <w:sz w:val="16"/>
                <w:szCs w:val="16"/>
              </w:rPr>
              <w:t>S3</w:t>
            </w:r>
          </w:p>
        </w:tc>
      </w:tr>
      <w:tr w:rsidR="00995E74" w:rsidRPr="009C6CC0" w14:paraId="28528DBF" w14:textId="77777777" w:rsidTr="00110E8B">
        <w:trPr>
          <w:trHeight w:val="690"/>
        </w:trPr>
        <w:tc>
          <w:tcPr>
            <w:tcW w:w="450" w:type="dxa"/>
            <w:hideMark/>
          </w:tcPr>
          <w:p w14:paraId="6202D90D"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0C46CC">
              <w:rPr>
                <w:rFonts w:ascii="Arial" w:eastAsia="Times New Roman" w:hAnsi="Arial" w:cs="Arial"/>
                <w:color w:val="000000"/>
                <w:kern w:val="0"/>
                <w:sz w:val="16"/>
                <w:szCs w:val="16"/>
                <w14:ligatures w14:val="none"/>
              </w:rPr>
              <w:t>33</w:t>
            </w:r>
          </w:p>
        </w:tc>
        <w:tc>
          <w:tcPr>
            <w:tcW w:w="900" w:type="dxa"/>
          </w:tcPr>
          <w:p w14:paraId="224D9FB1"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BE3283">
              <w:rPr>
                <w:rFonts w:ascii="Arial" w:eastAsia="Times New Roman" w:hAnsi="Arial" w:cs="Arial"/>
                <w:color w:val="000000"/>
                <w:kern w:val="0"/>
                <w:sz w:val="16"/>
                <w:szCs w:val="16"/>
                <w14:ligatures w14:val="none"/>
              </w:rPr>
              <w:t>Widiasih et al. (2025)</w:t>
            </w:r>
            <w:r>
              <w:rPr>
                <w:rFonts w:ascii="Arial" w:eastAsia="Times New Roman" w:hAnsi="Arial" w:cs="Arial"/>
                <w:color w:val="000000"/>
                <w:kern w:val="0"/>
                <w:sz w:val="16"/>
                <w:szCs w:val="16"/>
                <w:vertAlign w:val="superscript"/>
                <w14:ligatures w14:val="none"/>
              </w:rPr>
              <w:t xml:space="preserve"> 1</w:t>
            </w:r>
          </w:p>
        </w:tc>
        <w:tc>
          <w:tcPr>
            <w:tcW w:w="1350" w:type="dxa"/>
          </w:tcPr>
          <w:p w14:paraId="16F40638"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7638AF">
              <w:rPr>
                <w:rFonts w:ascii="Arial" w:eastAsia="Times New Roman" w:hAnsi="Arial" w:cs="Arial"/>
                <w:color w:val="000000"/>
                <w:kern w:val="0"/>
                <w:sz w:val="16"/>
                <w:szCs w:val="16"/>
                <w14:ligatures w14:val="none"/>
              </w:rPr>
              <w:t>Pre-experiment (pre–post)</w:t>
            </w:r>
          </w:p>
        </w:tc>
        <w:tc>
          <w:tcPr>
            <w:tcW w:w="1080" w:type="dxa"/>
          </w:tcPr>
          <w:p w14:paraId="2A9F5FAC"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7638AF">
              <w:rPr>
                <w:rFonts w:ascii="Arial" w:eastAsia="Times New Roman" w:hAnsi="Arial" w:cs="Arial"/>
                <w:color w:val="000000"/>
                <w:kern w:val="0"/>
                <w:sz w:val="16"/>
                <w:szCs w:val="16"/>
                <w14:ligatures w14:val="none"/>
              </w:rPr>
              <w:t>36 posyandu cadres</w:t>
            </w:r>
          </w:p>
        </w:tc>
        <w:tc>
          <w:tcPr>
            <w:tcW w:w="990" w:type="dxa"/>
          </w:tcPr>
          <w:p w14:paraId="3F260E58"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7638AF">
              <w:rPr>
                <w:rFonts w:ascii="Arial" w:eastAsia="Times New Roman" w:hAnsi="Arial" w:cs="Arial"/>
                <w:color w:val="000000"/>
                <w:kern w:val="0"/>
                <w:sz w:val="16"/>
                <w:szCs w:val="16"/>
                <w14:ligatures w14:val="none"/>
              </w:rPr>
              <w:t>3 days (25–27 Oct 2022)</w:t>
            </w:r>
          </w:p>
        </w:tc>
        <w:tc>
          <w:tcPr>
            <w:tcW w:w="1350" w:type="dxa"/>
          </w:tcPr>
          <w:p w14:paraId="32011D09"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7638AF">
              <w:rPr>
                <w:rFonts w:ascii="Arial" w:eastAsia="Times New Roman" w:hAnsi="Arial" w:cs="Arial"/>
                <w:color w:val="000000"/>
                <w:kern w:val="0"/>
                <w:sz w:val="16"/>
                <w:szCs w:val="16"/>
                <w14:ligatures w14:val="none"/>
              </w:rPr>
              <w:t>Pre–post test (knowledge and skills questionnaire)</w:t>
            </w:r>
          </w:p>
        </w:tc>
        <w:tc>
          <w:tcPr>
            <w:tcW w:w="1800" w:type="dxa"/>
          </w:tcPr>
          <w:p w14:paraId="6FC3BEA7"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7638AF">
              <w:rPr>
                <w:rFonts w:ascii="Arial" w:eastAsia="Times New Roman" w:hAnsi="Arial" w:cs="Arial"/>
                <w:color w:val="000000"/>
                <w:kern w:val="0"/>
                <w:sz w:val="16"/>
                <w:szCs w:val="16"/>
                <w14:ligatures w14:val="none"/>
              </w:rPr>
              <w:t>Significant improvement in cadres’ knowledge and skills after training (p &lt; 0.001). Hands-on practice activities were highly effective.</w:t>
            </w:r>
          </w:p>
        </w:tc>
        <w:tc>
          <w:tcPr>
            <w:tcW w:w="1620" w:type="dxa"/>
          </w:tcPr>
          <w:p w14:paraId="43760B72"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7638AF">
              <w:rPr>
                <w:rFonts w:ascii="Arial" w:eastAsia="Times New Roman" w:hAnsi="Arial" w:cs="Arial"/>
                <w:color w:val="000000"/>
                <w:kern w:val="0"/>
                <w:sz w:val="16"/>
                <w:szCs w:val="16"/>
                <w14:ligatures w14:val="none"/>
              </w:rPr>
              <w:t>No long-term monitoring; absence of control group; baseline cadre abilities varied.</w:t>
            </w:r>
          </w:p>
        </w:tc>
        <w:tc>
          <w:tcPr>
            <w:tcW w:w="1800" w:type="dxa"/>
          </w:tcPr>
          <w:p w14:paraId="22A1FB25" w14:textId="77777777" w:rsidR="00995E74" w:rsidRPr="000C46CC" w:rsidRDefault="00995E74" w:rsidP="00110E8B">
            <w:pPr>
              <w:spacing w:after="0" w:line="240" w:lineRule="auto"/>
              <w:jc w:val="center"/>
              <w:rPr>
                <w:rFonts w:ascii="Arial" w:eastAsia="Times New Roman" w:hAnsi="Arial" w:cs="Arial"/>
                <w:color w:val="000000"/>
                <w:kern w:val="0"/>
                <w:sz w:val="16"/>
                <w:szCs w:val="16"/>
                <w14:ligatures w14:val="none"/>
              </w:rPr>
            </w:pPr>
            <w:r w:rsidRPr="007638AF">
              <w:rPr>
                <w:rFonts w:ascii="Arial" w:eastAsia="Times New Roman" w:hAnsi="Arial" w:cs="Arial"/>
                <w:color w:val="000000"/>
                <w:kern w:val="0"/>
                <w:sz w:val="16"/>
                <w:szCs w:val="16"/>
                <w14:ligatures w14:val="none"/>
              </w:rPr>
              <w:t>Continued training, long-term monitoring, and cross-sectoral involvement (cadres, health centers, local government) are needed.</w:t>
            </w:r>
          </w:p>
        </w:tc>
        <w:tc>
          <w:tcPr>
            <w:tcW w:w="1620" w:type="dxa"/>
          </w:tcPr>
          <w:p w14:paraId="3B2C6F0B" w14:textId="77777777" w:rsidR="00995E74" w:rsidRPr="009C6CC0" w:rsidRDefault="00995E74" w:rsidP="00110E8B">
            <w:pPr>
              <w:spacing w:after="0" w:line="240" w:lineRule="auto"/>
              <w:jc w:val="center"/>
              <w:rPr>
                <w:rFonts w:ascii="Arial" w:eastAsia="Times New Roman" w:hAnsi="Arial" w:cs="Arial"/>
                <w:color w:val="000000"/>
                <w:kern w:val="0"/>
                <w:sz w:val="16"/>
                <w:szCs w:val="16"/>
                <w14:ligatures w14:val="none"/>
              </w:rPr>
            </w:pPr>
            <w:r w:rsidRPr="00565299">
              <w:rPr>
                <w:rFonts w:ascii="Arial" w:eastAsia="Times New Roman" w:hAnsi="Arial" w:cs="Arial"/>
                <w:color w:val="000000"/>
                <w:kern w:val="0"/>
                <w:sz w:val="16"/>
                <w:szCs w:val="16"/>
                <w14:ligatures w14:val="none"/>
              </w:rPr>
              <w:t>DOI : </w:t>
            </w:r>
            <w:hyperlink r:id="rId10" w:history="1">
              <w:r w:rsidRPr="00565299">
                <w:rPr>
                  <w:rStyle w:val="Hyperlink"/>
                  <w:rFonts w:ascii="Arial" w:eastAsia="Times New Roman" w:hAnsi="Arial" w:cs="Arial"/>
                  <w:kern w:val="0"/>
                  <w:sz w:val="16"/>
                  <w:szCs w:val="16"/>
                  <w14:ligatures w14:val="none"/>
                </w:rPr>
                <w:t>10.30867/action.v10i1.2165</w:t>
              </w:r>
            </w:hyperlink>
          </w:p>
        </w:tc>
        <w:tc>
          <w:tcPr>
            <w:tcW w:w="1620" w:type="dxa"/>
          </w:tcPr>
          <w:p w14:paraId="32ACC01B" w14:textId="77777777" w:rsidR="00995E74" w:rsidRPr="00A92A24" w:rsidRDefault="00995E74" w:rsidP="00110E8B">
            <w:pPr>
              <w:spacing w:after="0" w:line="240" w:lineRule="auto"/>
              <w:jc w:val="center"/>
              <w:rPr>
                <w:rFonts w:ascii="Arial" w:eastAsia="Times New Roman" w:hAnsi="Arial" w:cs="Arial"/>
                <w:kern w:val="0"/>
                <w:sz w:val="16"/>
                <w:szCs w:val="16"/>
                <w14:ligatures w14:val="none"/>
              </w:rPr>
            </w:pPr>
            <w:r w:rsidRPr="00A92A24">
              <w:rPr>
                <w:rFonts w:ascii="Arial" w:eastAsia="Times New Roman" w:hAnsi="Arial" w:cs="Arial"/>
                <w:kern w:val="0"/>
                <w:sz w:val="16"/>
                <w:szCs w:val="16"/>
                <w14:ligatures w14:val="none"/>
              </w:rPr>
              <w:t>S2</w:t>
            </w:r>
          </w:p>
        </w:tc>
      </w:tr>
      <w:tr w:rsidR="00995E74" w:rsidRPr="009C6CC0" w14:paraId="1760D8C4" w14:textId="77777777" w:rsidTr="00110E8B">
        <w:trPr>
          <w:trHeight w:val="690"/>
        </w:trPr>
        <w:tc>
          <w:tcPr>
            <w:tcW w:w="450" w:type="dxa"/>
          </w:tcPr>
          <w:p w14:paraId="0214AC3C" w14:textId="77777777" w:rsidR="00995E74" w:rsidRDefault="00995E74" w:rsidP="00110E8B">
            <w:pPr>
              <w:spacing w:after="0" w:line="240" w:lineRule="auto"/>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51</w:t>
            </w:r>
          </w:p>
        </w:tc>
        <w:tc>
          <w:tcPr>
            <w:tcW w:w="900" w:type="dxa"/>
          </w:tcPr>
          <w:p w14:paraId="6E203716" w14:textId="77777777" w:rsidR="00995E74" w:rsidRPr="007C3B58" w:rsidRDefault="00995E74" w:rsidP="00110E8B">
            <w:pPr>
              <w:spacing w:after="0" w:line="240" w:lineRule="auto"/>
              <w:jc w:val="center"/>
              <w:rPr>
                <w:rFonts w:ascii="Arial" w:eastAsia="Times New Roman" w:hAnsi="Arial" w:cs="Arial"/>
                <w:color w:val="000000"/>
                <w:kern w:val="0"/>
                <w:sz w:val="16"/>
                <w:szCs w:val="16"/>
                <w14:ligatures w14:val="none"/>
              </w:rPr>
            </w:pPr>
            <w:r w:rsidRPr="00BE3283">
              <w:rPr>
                <w:rFonts w:ascii="Arial" w:eastAsia="Times New Roman" w:hAnsi="Arial" w:cs="Arial"/>
                <w:color w:val="000000"/>
                <w:kern w:val="0"/>
                <w:sz w:val="16"/>
                <w:szCs w:val="16"/>
                <w14:ligatures w14:val="none"/>
              </w:rPr>
              <w:t>Astutik, J., Suprapto, B., &amp; Abidin, Z. (2025)</w:t>
            </w:r>
            <w:r>
              <w:rPr>
                <w:rFonts w:ascii="Arial" w:eastAsia="Times New Roman" w:hAnsi="Arial" w:cs="Arial"/>
                <w:color w:val="000000"/>
                <w:kern w:val="0"/>
                <w:sz w:val="16"/>
                <w:szCs w:val="16"/>
                <w:vertAlign w:val="superscript"/>
                <w14:ligatures w14:val="none"/>
              </w:rPr>
              <w:t xml:space="preserve"> 68</w:t>
            </w:r>
          </w:p>
        </w:tc>
        <w:tc>
          <w:tcPr>
            <w:tcW w:w="1350" w:type="dxa"/>
          </w:tcPr>
          <w:p w14:paraId="64EE3729" w14:textId="77777777" w:rsidR="00995E74" w:rsidRPr="00042D0C" w:rsidRDefault="00995E74" w:rsidP="00110E8B">
            <w:pPr>
              <w:spacing w:after="0" w:line="240" w:lineRule="auto"/>
              <w:jc w:val="center"/>
              <w:rPr>
                <w:rFonts w:ascii="Arial" w:eastAsia="Times New Roman" w:hAnsi="Arial" w:cs="Arial"/>
                <w:color w:val="000000"/>
                <w:kern w:val="0"/>
                <w:sz w:val="16"/>
                <w:szCs w:val="16"/>
                <w14:ligatures w14:val="none"/>
              </w:rPr>
            </w:pPr>
            <w:r w:rsidRPr="00042D0C">
              <w:rPr>
                <w:rFonts w:ascii="Arial" w:eastAsia="Times New Roman" w:hAnsi="Arial" w:cs="Arial"/>
                <w:color w:val="000000"/>
                <w:kern w:val="0"/>
                <w:sz w:val="16"/>
                <w:szCs w:val="16"/>
                <w14:ligatures w14:val="none"/>
              </w:rPr>
              <w:t>Mulyoagung Village, Dau Sub-district, Malang Regency, East Java, Indonesia</w:t>
            </w:r>
          </w:p>
        </w:tc>
        <w:tc>
          <w:tcPr>
            <w:tcW w:w="1080" w:type="dxa"/>
          </w:tcPr>
          <w:p w14:paraId="21C70D84" w14:textId="77777777" w:rsidR="00995E74" w:rsidRPr="00042D0C" w:rsidRDefault="00995E74" w:rsidP="00110E8B">
            <w:pPr>
              <w:spacing w:after="0" w:line="240" w:lineRule="auto"/>
              <w:jc w:val="center"/>
              <w:rPr>
                <w:rFonts w:ascii="Arial" w:eastAsia="Times New Roman" w:hAnsi="Arial" w:cs="Arial"/>
                <w:color w:val="000000"/>
                <w:kern w:val="0"/>
                <w:sz w:val="16"/>
                <w:szCs w:val="16"/>
                <w14:ligatures w14:val="none"/>
              </w:rPr>
            </w:pPr>
            <w:r w:rsidRPr="00042D0C">
              <w:rPr>
                <w:rFonts w:ascii="Arial" w:eastAsia="Times New Roman" w:hAnsi="Arial" w:cs="Arial"/>
                <w:color w:val="000000"/>
                <w:kern w:val="0"/>
                <w:sz w:val="16"/>
                <w:szCs w:val="16"/>
                <w14:ligatures w14:val="none"/>
              </w:rPr>
              <w:t>Community service (participatory approach with training and mentoring design)</w:t>
            </w:r>
          </w:p>
        </w:tc>
        <w:tc>
          <w:tcPr>
            <w:tcW w:w="990" w:type="dxa"/>
          </w:tcPr>
          <w:p w14:paraId="6C5E50D3" w14:textId="77777777" w:rsidR="00995E74" w:rsidRPr="00042D0C" w:rsidRDefault="00995E74" w:rsidP="00110E8B">
            <w:pPr>
              <w:spacing w:after="0" w:line="240" w:lineRule="auto"/>
              <w:jc w:val="center"/>
              <w:rPr>
                <w:rFonts w:ascii="Arial" w:eastAsia="Times New Roman" w:hAnsi="Arial" w:cs="Arial"/>
                <w:color w:val="000000"/>
                <w:kern w:val="0"/>
                <w:sz w:val="16"/>
                <w:szCs w:val="16"/>
                <w14:ligatures w14:val="none"/>
              </w:rPr>
            </w:pPr>
            <w:r w:rsidRPr="00042D0C">
              <w:rPr>
                <w:rFonts w:ascii="Arial" w:eastAsia="Times New Roman" w:hAnsi="Arial" w:cs="Arial"/>
                <w:color w:val="000000"/>
                <w:kern w:val="0"/>
                <w:sz w:val="16"/>
                <w:szCs w:val="16"/>
                <w14:ligatures w14:val="none"/>
              </w:rPr>
              <w:t>Conducted in 4 stages (identification, socialization, implementation, evaluation) during Dec 2024 – Apr 2025</w:t>
            </w:r>
          </w:p>
        </w:tc>
        <w:tc>
          <w:tcPr>
            <w:tcW w:w="1350" w:type="dxa"/>
          </w:tcPr>
          <w:p w14:paraId="794FA09D" w14:textId="77777777" w:rsidR="00995E74" w:rsidRPr="00042D0C" w:rsidRDefault="00995E74" w:rsidP="00110E8B">
            <w:pPr>
              <w:spacing w:after="0" w:line="240" w:lineRule="auto"/>
              <w:jc w:val="center"/>
              <w:rPr>
                <w:rFonts w:ascii="Arial" w:eastAsia="Times New Roman" w:hAnsi="Arial" w:cs="Arial"/>
                <w:color w:val="000000"/>
                <w:kern w:val="0"/>
                <w:sz w:val="16"/>
                <w:szCs w:val="16"/>
                <w14:ligatures w14:val="none"/>
              </w:rPr>
            </w:pPr>
            <w:r w:rsidRPr="00042D0C">
              <w:rPr>
                <w:rFonts w:ascii="Arial" w:eastAsia="Times New Roman" w:hAnsi="Arial" w:cs="Arial"/>
                <w:color w:val="000000"/>
                <w:kern w:val="0"/>
                <w:sz w:val="16"/>
                <w:szCs w:val="16"/>
                <w14:ligatures w14:val="none"/>
              </w:rPr>
              <w:t>Pre-test and post-test evaluation, observation, and participant feedback</w:t>
            </w:r>
          </w:p>
        </w:tc>
        <w:tc>
          <w:tcPr>
            <w:tcW w:w="1800" w:type="dxa"/>
          </w:tcPr>
          <w:p w14:paraId="7ED1B1E0" w14:textId="77777777" w:rsidR="00995E74" w:rsidRPr="00042D0C" w:rsidRDefault="00995E74" w:rsidP="00110E8B">
            <w:pPr>
              <w:spacing w:after="0" w:line="240" w:lineRule="auto"/>
              <w:jc w:val="center"/>
              <w:rPr>
                <w:rFonts w:ascii="Arial" w:eastAsia="Times New Roman" w:hAnsi="Arial" w:cs="Arial"/>
                <w:color w:val="000000"/>
                <w:kern w:val="0"/>
                <w:sz w:val="16"/>
                <w:szCs w:val="16"/>
                <w14:ligatures w14:val="none"/>
              </w:rPr>
            </w:pPr>
            <w:r w:rsidRPr="00042D0C">
              <w:rPr>
                <w:rFonts w:ascii="Arial" w:eastAsia="Times New Roman" w:hAnsi="Arial" w:cs="Arial"/>
                <w:color w:val="000000"/>
                <w:kern w:val="0"/>
                <w:sz w:val="16"/>
                <w:szCs w:val="16"/>
                <w14:ligatures w14:val="none"/>
              </w:rPr>
              <w:t>Cadres’ understanding of stunting, causes, and impacts improved significantly. Cadres applied training in community programs and disseminated information through PKK and Posyandu activities.</w:t>
            </w:r>
          </w:p>
        </w:tc>
        <w:tc>
          <w:tcPr>
            <w:tcW w:w="1620" w:type="dxa"/>
          </w:tcPr>
          <w:p w14:paraId="4DA1CE8B" w14:textId="77777777" w:rsidR="00995E74" w:rsidRPr="00042D0C" w:rsidRDefault="00995E74" w:rsidP="00110E8B">
            <w:pPr>
              <w:spacing w:after="0" w:line="240" w:lineRule="auto"/>
              <w:jc w:val="center"/>
              <w:rPr>
                <w:rFonts w:ascii="Arial" w:eastAsia="Times New Roman" w:hAnsi="Arial" w:cs="Arial"/>
                <w:color w:val="000000"/>
                <w:kern w:val="0"/>
                <w:sz w:val="16"/>
                <w:szCs w:val="16"/>
                <w14:ligatures w14:val="none"/>
              </w:rPr>
            </w:pPr>
            <w:r w:rsidRPr="00042D0C">
              <w:rPr>
                <w:rFonts w:ascii="Arial" w:eastAsia="Times New Roman" w:hAnsi="Arial" w:cs="Arial"/>
                <w:color w:val="000000"/>
                <w:kern w:val="0"/>
                <w:sz w:val="16"/>
                <w:szCs w:val="16"/>
                <w14:ligatures w14:val="none"/>
              </w:rPr>
              <w:t>Limited resources and dependence on university facilitation for continuity; sustainability may decline without local government support.</w:t>
            </w:r>
          </w:p>
        </w:tc>
        <w:tc>
          <w:tcPr>
            <w:tcW w:w="1800" w:type="dxa"/>
          </w:tcPr>
          <w:p w14:paraId="537D8130" w14:textId="77777777" w:rsidR="00995E74" w:rsidRPr="00042D0C" w:rsidRDefault="00995E74" w:rsidP="00110E8B">
            <w:pPr>
              <w:spacing w:after="0" w:line="240" w:lineRule="auto"/>
              <w:jc w:val="center"/>
              <w:rPr>
                <w:rFonts w:ascii="Arial" w:eastAsia="Times New Roman" w:hAnsi="Arial" w:cs="Arial"/>
                <w:color w:val="000000"/>
                <w:kern w:val="0"/>
                <w:sz w:val="16"/>
                <w:szCs w:val="16"/>
                <w14:ligatures w14:val="none"/>
              </w:rPr>
            </w:pPr>
            <w:r w:rsidRPr="00042D0C">
              <w:rPr>
                <w:rFonts w:ascii="Arial" w:eastAsia="Times New Roman" w:hAnsi="Arial" w:cs="Arial"/>
                <w:color w:val="000000"/>
                <w:kern w:val="0"/>
                <w:sz w:val="16"/>
                <w:szCs w:val="16"/>
                <w14:ligatures w14:val="none"/>
              </w:rPr>
              <w:t xml:space="preserve">Need for </w:t>
            </w:r>
            <w:r w:rsidRPr="005D522B">
              <w:rPr>
                <w:rFonts w:ascii="Arial" w:eastAsia="Times New Roman" w:hAnsi="Arial" w:cs="Arial"/>
                <w:color w:val="000000"/>
                <w:kern w:val="0"/>
                <w:sz w:val="16"/>
                <w:szCs w:val="16"/>
                <w14:ligatures w14:val="none"/>
              </w:rPr>
              <w:t>continuous community-based mentoring, integration of behavior</w:t>
            </w:r>
            <w:r w:rsidRPr="00042D0C">
              <w:rPr>
                <w:rFonts w:ascii="Arial" w:eastAsia="Times New Roman" w:hAnsi="Arial" w:cs="Arial"/>
                <w:color w:val="000000"/>
                <w:kern w:val="0"/>
                <w:sz w:val="16"/>
                <w:szCs w:val="16"/>
                <w14:ligatures w14:val="none"/>
              </w:rPr>
              <w:t xml:space="preserve"> change education in routine Posyandu, and collaboration with local stakeholders to sustain efforts.</w:t>
            </w:r>
          </w:p>
        </w:tc>
        <w:tc>
          <w:tcPr>
            <w:tcW w:w="1620" w:type="dxa"/>
          </w:tcPr>
          <w:p w14:paraId="10D1EE59" w14:textId="77777777" w:rsidR="00995E74" w:rsidRPr="00042D0C" w:rsidRDefault="00995E74" w:rsidP="00110E8B">
            <w:pPr>
              <w:spacing w:after="0" w:line="240" w:lineRule="auto"/>
              <w:jc w:val="center"/>
              <w:rPr>
                <w:rFonts w:ascii="Arial" w:hAnsi="Arial" w:cs="Arial"/>
                <w:color w:val="0000FF"/>
                <w:sz w:val="16"/>
                <w:szCs w:val="16"/>
                <w:u w:val="single"/>
              </w:rPr>
            </w:pPr>
            <w:r w:rsidRPr="00042D0C">
              <w:rPr>
                <w:rFonts w:ascii="Arial" w:hAnsi="Arial" w:cs="Arial"/>
                <w:color w:val="0000FF"/>
                <w:sz w:val="16"/>
                <w:szCs w:val="16"/>
                <w:u w:val="single"/>
              </w:rPr>
              <w:t>https://doi.org/10.22219/jcse.v6i1.39052</w:t>
            </w:r>
          </w:p>
        </w:tc>
        <w:tc>
          <w:tcPr>
            <w:tcW w:w="1620" w:type="dxa"/>
          </w:tcPr>
          <w:p w14:paraId="60B192FD" w14:textId="77777777" w:rsidR="00995E74" w:rsidRDefault="00995E74" w:rsidP="00110E8B">
            <w:pPr>
              <w:spacing w:after="0" w:line="240" w:lineRule="auto"/>
              <w:jc w:val="center"/>
              <w:rPr>
                <w:rFonts w:ascii="Arial" w:hAnsi="Arial" w:cs="Arial"/>
                <w:sz w:val="16"/>
                <w:szCs w:val="16"/>
              </w:rPr>
            </w:pPr>
            <w:r>
              <w:rPr>
                <w:rFonts w:ascii="Arial" w:hAnsi="Arial" w:cs="Arial"/>
                <w:sz w:val="16"/>
                <w:szCs w:val="16"/>
              </w:rPr>
              <w:t>S3</w:t>
            </w:r>
          </w:p>
        </w:tc>
      </w:tr>
      <w:tr w:rsidR="00995E74" w:rsidRPr="009C6CC0" w14:paraId="3692D1D1" w14:textId="77777777" w:rsidTr="00110E8B">
        <w:trPr>
          <w:trHeight w:val="690"/>
        </w:trPr>
        <w:tc>
          <w:tcPr>
            <w:tcW w:w="450" w:type="dxa"/>
          </w:tcPr>
          <w:p w14:paraId="79689D68" w14:textId="77777777" w:rsidR="00995E74" w:rsidRDefault="00995E74" w:rsidP="00110E8B">
            <w:pPr>
              <w:spacing w:after="0" w:line="240" w:lineRule="auto"/>
              <w:jc w:val="center"/>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52</w:t>
            </w:r>
          </w:p>
        </w:tc>
        <w:tc>
          <w:tcPr>
            <w:tcW w:w="900" w:type="dxa"/>
          </w:tcPr>
          <w:p w14:paraId="3D6BA68D" w14:textId="77777777" w:rsidR="00995E74" w:rsidRPr="00042D0C" w:rsidRDefault="00995E74" w:rsidP="00110E8B">
            <w:pPr>
              <w:spacing w:after="0" w:line="240" w:lineRule="auto"/>
              <w:jc w:val="center"/>
              <w:rPr>
                <w:rFonts w:ascii="Arial" w:eastAsia="Times New Roman" w:hAnsi="Arial" w:cs="Arial"/>
                <w:color w:val="000000"/>
                <w:kern w:val="0"/>
                <w:sz w:val="16"/>
                <w:szCs w:val="16"/>
                <w14:ligatures w14:val="none"/>
              </w:rPr>
            </w:pPr>
            <w:r w:rsidRPr="00BE3283">
              <w:rPr>
                <w:rFonts w:ascii="Arial" w:eastAsia="Times New Roman" w:hAnsi="Arial" w:cs="Arial"/>
                <w:color w:val="000000"/>
                <w:kern w:val="0"/>
                <w:sz w:val="16"/>
                <w:szCs w:val="16"/>
                <w14:ligatures w14:val="none"/>
              </w:rPr>
              <w:t>Eny &amp; Dwiyanti (2025)</w:t>
            </w:r>
            <w:r>
              <w:rPr>
                <w:rFonts w:ascii="Arial" w:eastAsia="Times New Roman" w:hAnsi="Arial" w:cs="Arial"/>
                <w:color w:val="000000"/>
                <w:kern w:val="0"/>
                <w:sz w:val="16"/>
                <w:szCs w:val="16"/>
                <w:vertAlign w:val="superscript"/>
                <w14:ligatures w14:val="none"/>
              </w:rPr>
              <w:t xml:space="preserve"> 69</w:t>
            </w:r>
          </w:p>
        </w:tc>
        <w:tc>
          <w:tcPr>
            <w:tcW w:w="1350" w:type="dxa"/>
          </w:tcPr>
          <w:p w14:paraId="65E14E28" w14:textId="77777777" w:rsidR="00995E74" w:rsidRPr="00042D0C" w:rsidRDefault="00995E74" w:rsidP="00110E8B">
            <w:pPr>
              <w:spacing w:after="0" w:line="240" w:lineRule="auto"/>
              <w:jc w:val="center"/>
              <w:rPr>
                <w:rFonts w:ascii="Arial" w:eastAsia="Times New Roman" w:hAnsi="Arial" w:cs="Arial"/>
                <w:color w:val="000000"/>
                <w:kern w:val="0"/>
                <w:sz w:val="16"/>
                <w:szCs w:val="16"/>
                <w14:ligatures w14:val="none"/>
              </w:rPr>
            </w:pPr>
            <w:r w:rsidRPr="00042D0C">
              <w:rPr>
                <w:rFonts w:ascii="Arial" w:eastAsia="Times New Roman" w:hAnsi="Arial" w:cs="Arial"/>
                <w:color w:val="000000"/>
                <w:kern w:val="0"/>
                <w:sz w:val="16"/>
                <w:szCs w:val="16"/>
                <w14:ligatures w14:val="none"/>
              </w:rPr>
              <w:t>Mondokan Village, Sragen Regency, Central Java, Indonesia</w:t>
            </w:r>
          </w:p>
        </w:tc>
        <w:tc>
          <w:tcPr>
            <w:tcW w:w="1080" w:type="dxa"/>
          </w:tcPr>
          <w:p w14:paraId="0F8033B2" w14:textId="77777777" w:rsidR="00995E74" w:rsidRPr="00042D0C" w:rsidRDefault="00995E74" w:rsidP="00110E8B">
            <w:pPr>
              <w:spacing w:after="0" w:line="240" w:lineRule="auto"/>
              <w:jc w:val="center"/>
              <w:rPr>
                <w:rFonts w:ascii="Arial" w:eastAsia="Times New Roman" w:hAnsi="Arial" w:cs="Arial"/>
                <w:color w:val="000000"/>
                <w:kern w:val="0"/>
                <w:sz w:val="16"/>
                <w:szCs w:val="16"/>
                <w14:ligatures w14:val="none"/>
              </w:rPr>
            </w:pPr>
            <w:r w:rsidRPr="00042D0C">
              <w:rPr>
                <w:rFonts w:ascii="Arial" w:eastAsia="Times New Roman" w:hAnsi="Arial" w:cs="Arial"/>
                <w:color w:val="000000"/>
                <w:kern w:val="0"/>
                <w:sz w:val="16"/>
                <w:szCs w:val="16"/>
                <w14:ligatures w14:val="none"/>
              </w:rPr>
              <w:t>Quasi-experimental (one-group pre-test and post-test design, no control group)</w:t>
            </w:r>
          </w:p>
        </w:tc>
        <w:tc>
          <w:tcPr>
            <w:tcW w:w="990" w:type="dxa"/>
          </w:tcPr>
          <w:p w14:paraId="444BDB00" w14:textId="77777777" w:rsidR="00995E74" w:rsidRPr="00042D0C" w:rsidRDefault="00995E74" w:rsidP="00110E8B">
            <w:pPr>
              <w:spacing w:after="0" w:line="240" w:lineRule="auto"/>
              <w:jc w:val="center"/>
              <w:rPr>
                <w:rFonts w:ascii="Arial" w:eastAsia="Times New Roman" w:hAnsi="Arial" w:cs="Arial"/>
                <w:color w:val="000000"/>
                <w:kern w:val="0"/>
                <w:sz w:val="16"/>
                <w:szCs w:val="16"/>
                <w14:ligatures w14:val="none"/>
              </w:rPr>
            </w:pPr>
            <w:r w:rsidRPr="00042D0C">
              <w:rPr>
                <w:rFonts w:ascii="Arial" w:eastAsia="Times New Roman" w:hAnsi="Arial" w:cs="Arial"/>
                <w:color w:val="000000"/>
                <w:kern w:val="0"/>
                <w:sz w:val="16"/>
                <w:szCs w:val="16"/>
                <w14:ligatures w14:val="none"/>
              </w:rPr>
              <w:t>1 month (3 mentoring sessions)</w:t>
            </w:r>
          </w:p>
        </w:tc>
        <w:tc>
          <w:tcPr>
            <w:tcW w:w="1350" w:type="dxa"/>
          </w:tcPr>
          <w:p w14:paraId="2D1D76B4" w14:textId="77777777" w:rsidR="00995E74" w:rsidRPr="00042D0C" w:rsidRDefault="00995E74" w:rsidP="00110E8B">
            <w:pPr>
              <w:spacing w:after="0" w:line="240" w:lineRule="auto"/>
              <w:jc w:val="center"/>
              <w:rPr>
                <w:rFonts w:ascii="Arial" w:eastAsia="Times New Roman" w:hAnsi="Arial" w:cs="Arial"/>
                <w:color w:val="000000"/>
                <w:kern w:val="0"/>
                <w:sz w:val="16"/>
                <w:szCs w:val="16"/>
                <w14:ligatures w14:val="none"/>
              </w:rPr>
            </w:pPr>
            <w:r w:rsidRPr="00042D0C">
              <w:rPr>
                <w:rFonts w:ascii="Arial" w:eastAsia="Times New Roman" w:hAnsi="Arial" w:cs="Arial"/>
                <w:color w:val="000000"/>
                <w:kern w:val="0"/>
                <w:sz w:val="16"/>
                <w:szCs w:val="16"/>
                <w14:ligatures w14:val="none"/>
              </w:rPr>
              <w:t>Pre-test and 3 post-tests using questionnaires; Friedman test for analysis</w:t>
            </w:r>
          </w:p>
        </w:tc>
        <w:tc>
          <w:tcPr>
            <w:tcW w:w="1800" w:type="dxa"/>
          </w:tcPr>
          <w:p w14:paraId="5E5F99DA" w14:textId="77777777" w:rsidR="00995E74" w:rsidRPr="00042D0C" w:rsidRDefault="00995E74" w:rsidP="00110E8B">
            <w:pPr>
              <w:spacing w:after="0" w:line="240" w:lineRule="auto"/>
              <w:jc w:val="center"/>
              <w:rPr>
                <w:rFonts w:ascii="Arial" w:eastAsia="Times New Roman" w:hAnsi="Arial" w:cs="Arial"/>
                <w:color w:val="000000"/>
                <w:kern w:val="0"/>
                <w:sz w:val="16"/>
                <w:szCs w:val="16"/>
                <w14:ligatures w14:val="none"/>
              </w:rPr>
            </w:pPr>
            <w:r w:rsidRPr="00042D0C">
              <w:rPr>
                <w:rFonts w:ascii="Arial" w:eastAsia="Times New Roman" w:hAnsi="Arial" w:cs="Arial"/>
                <w:color w:val="000000"/>
                <w:kern w:val="0"/>
                <w:sz w:val="16"/>
                <w:szCs w:val="16"/>
                <w14:ligatures w14:val="none"/>
              </w:rPr>
              <w:t>Significant improvement in knowledge and attitudes of pregnant women regarding stunting prevention (p = 0.000).</w:t>
            </w:r>
          </w:p>
        </w:tc>
        <w:tc>
          <w:tcPr>
            <w:tcW w:w="1620" w:type="dxa"/>
          </w:tcPr>
          <w:p w14:paraId="149E1E75" w14:textId="77777777" w:rsidR="00995E74" w:rsidRPr="00042D0C" w:rsidRDefault="00995E74" w:rsidP="00110E8B">
            <w:pPr>
              <w:spacing w:after="0" w:line="240" w:lineRule="auto"/>
              <w:jc w:val="center"/>
              <w:rPr>
                <w:rFonts w:ascii="Arial" w:eastAsia="Times New Roman" w:hAnsi="Arial" w:cs="Arial"/>
                <w:color w:val="000000"/>
                <w:kern w:val="0"/>
                <w:sz w:val="16"/>
                <w:szCs w:val="16"/>
                <w14:ligatures w14:val="none"/>
              </w:rPr>
            </w:pPr>
            <w:r w:rsidRPr="00042D0C">
              <w:rPr>
                <w:rFonts w:ascii="Arial" w:eastAsia="Times New Roman" w:hAnsi="Arial" w:cs="Arial"/>
                <w:color w:val="000000"/>
                <w:kern w:val="0"/>
                <w:sz w:val="16"/>
                <w:szCs w:val="16"/>
                <w14:ligatures w14:val="none"/>
              </w:rPr>
              <w:t>Limited duration of intervention and absence of control group may limit long-term effect measurement.</w:t>
            </w:r>
          </w:p>
        </w:tc>
        <w:tc>
          <w:tcPr>
            <w:tcW w:w="1800" w:type="dxa"/>
          </w:tcPr>
          <w:p w14:paraId="11033550" w14:textId="77777777" w:rsidR="00995E74" w:rsidRPr="00042D0C" w:rsidRDefault="00995E74" w:rsidP="00110E8B">
            <w:pPr>
              <w:spacing w:after="0" w:line="240" w:lineRule="auto"/>
              <w:jc w:val="center"/>
              <w:rPr>
                <w:rFonts w:ascii="Arial" w:eastAsia="Times New Roman" w:hAnsi="Arial" w:cs="Arial"/>
                <w:color w:val="000000"/>
                <w:kern w:val="0"/>
                <w:sz w:val="16"/>
                <w:szCs w:val="16"/>
                <w14:ligatures w14:val="none"/>
              </w:rPr>
            </w:pPr>
            <w:r w:rsidRPr="00042D0C">
              <w:rPr>
                <w:rFonts w:ascii="Arial" w:eastAsia="Times New Roman" w:hAnsi="Arial" w:cs="Arial"/>
                <w:color w:val="000000"/>
                <w:kern w:val="0"/>
                <w:sz w:val="16"/>
                <w:szCs w:val="16"/>
                <w14:ligatures w14:val="none"/>
              </w:rPr>
              <w:t>Strengthen continuous mentoring and KPM capacity building; include KPM in local government stunting programs; integrate education for 1000 HPK target.</w:t>
            </w:r>
          </w:p>
        </w:tc>
        <w:tc>
          <w:tcPr>
            <w:tcW w:w="1620" w:type="dxa"/>
          </w:tcPr>
          <w:p w14:paraId="43210A7D" w14:textId="77777777" w:rsidR="00995E74" w:rsidRPr="00042D0C" w:rsidRDefault="00995E74" w:rsidP="00110E8B">
            <w:pPr>
              <w:spacing w:after="0" w:line="240" w:lineRule="auto"/>
              <w:jc w:val="center"/>
              <w:rPr>
                <w:rFonts w:ascii="Arial" w:hAnsi="Arial" w:cs="Arial"/>
                <w:color w:val="0000FF"/>
                <w:sz w:val="16"/>
                <w:szCs w:val="16"/>
                <w:u w:val="single"/>
              </w:rPr>
            </w:pPr>
            <w:r w:rsidRPr="0003719C">
              <w:rPr>
                <w:rFonts w:ascii="Arial" w:hAnsi="Arial" w:cs="Arial"/>
                <w:color w:val="0000FF"/>
                <w:sz w:val="16"/>
                <w:szCs w:val="16"/>
                <w:u w:val="single"/>
              </w:rPr>
              <w:t>10.36566/mjph/Vol8.Iss1/413</w:t>
            </w:r>
          </w:p>
        </w:tc>
        <w:tc>
          <w:tcPr>
            <w:tcW w:w="1620" w:type="dxa"/>
          </w:tcPr>
          <w:p w14:paraId="659C41BD" w14:textId="77777777" w:rsidR="00995E74" w:rsidRDefault="00995E74" w:rsidP="00110E8B">
            <w:pPr>
              <w:spacing w:after="0" w:line="240" w:lineRule="auto"/>
              <w:jc w:val="center"/>
              <w:rPr>
                <w:rFonts w:ascii="Arial" w:hAnsi="Arial" w:cs="Arial"/>
                <w:sz w:val="16"/>
                <w:szCs w:val="16"/>
              </w:rPr>
            </w:pPr>
            <w:r>
              <w:rPr>
                <w:rFonts w:ascii="Arial" w:hAnsi="Arial" w:cs="Arial"/>
                <w:sz w:val="16"/>
                <w:szCs w:val="16"/>
              </w:rPr>
              <w:t>S4</w:t>
            </w:r>
          </w:p>
        </w:tc>
      </w:tr>
      <w:bookmarkEnd w:id="0"/>
    </w:tbl>
    <w:p w14:paraId="6AA0F7B6" w14:textId="77777777" w:rsidR="00995E74" w:rsidRPr="00995E74" w:rsidRDefault="00995E74" w:rsidP="00995E74">
      <w:pPr>
        <w:rPr>
          <w:lang w:val="en-GB"/>
        </w:rPr>
      </w:pPr>
    </w:p>
    <w:sectPr w:rsidR="00995E74" w:rsidRPr="00995E74" w:rsidSect="00995E74">
      <w:footerReference w:type="even" r:id="rId11"/>
      <w:footerReference w:type="default" r:id="rId12"/>
      <w:footerReference w:type="first" r:id="rId13"/>
      <w:pgSz w:w="16834" w:h="11909" w:orient="landscape"/>
      <w:pgMar w:top="1701" w:right="1440" w:bottom="1440" w:left="1440" w:header="706"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C10BF" w14:textId="77777777" w:rsidR="00B731A1" w:rsidRDefault="00B731A1" w:rsidP="005D522B">
      <w:pPr>
        <w:spacing w:after="0" w:line="240" w:lineRule="auto"/>
      </w:pPr>
      <w:r>
        <w:separator/>
      </w:r>
    </w:p>
  </w:endnote>
  <w:endnote w:type="continuationSeparator" w:id="0">
    <w:p w14:paraId="635B07CC" w14:textId="77777777" w:rsidR="00B731A1" w:rsidRDefault="00B731A1" w:rsidP="005D5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7EDAC" w14:textId="55FA3EAB" w:rsidR="005D522B" w:rsidRDefault="005D522B">
    <w:pPr>
      <w:pStyle w:val="Footer"/>
    </w:pPr>
    <w:r>
      <w:rPr>
        <w:noProof/>
      </w:rPr>
      <mc:AlternateContent>
        <mc:Choice Requires="wps">
          <w:drawing>
            <wp:anchor distT="0" distB="0" distL="0" distR="0" simplePos="0" relativeHeight="251659264" behindDoc="0" locked="0" layoutInCell="1" allowOverlap="1" wp14:anchorId="7C4315D6" wp14:editId="2BDB492C">
              <wp:simplePos x="635" y="635"/>
              <wp:positionH relativeFrom="page">
                <wp:align>left</wp:align>
              </wp:positionH>
              <wp:positionV relativeFrom="page">
                <wp:align>bottom</wp:align>
              </wp:positionV>
              <wp:extent cx="2085975" cy="346075"/>
              <wp:effectExtent l="0" t="0" r="9525" b="0"/>
              <wp:wrapNone/>
              <wp:docPr id="2144683999"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5E47A65A" w14:textId="7DC5BC35" w:rsidR="005D522B" w:rsidRPr="005D522B" w:rsidRDefault="005D522B" w:rsidP="005D522B">
                          <w:pPr>
                            <w:spacing w:after="0"/>
                            <w:rPr>
                              <w:rFonts w:ascii="Rockwell" w:eastAsia="Rockwell" w:hAnsi="Rockwell" w:cs="Rockwell"/>
                              <w:noProof/>
                              <w:color w:val="0078D7"/>
                              <w:sz w:val="18"/>
                              <w:szCs w:val="18"/>
                            </w:rPr>
                          </w:pPr>
                          <w:r w:rsidRPr="005D522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C4315D6"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mxDwIAABs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" filled="f" stroked="f">
              <v:fill o:detectmouseclick="t"/>
              <v:textbox style="mso-fit-shape-to-text:t" inset="20pt,0,0,15pt">
                <w:txbxContent>
                  <w:p w14:paraId="5E47A65A" w14:textId="7DC5BC35" w:rsidR="005D522B" w:rsidRPr="005D522B" w:rsidRDefault="005D522B" w:rsidP="005D522B">
                    <w:pPr>
                      <w:spacing w:after="0"/>
                      <w:rPr>
                        <w:rFonts w:ascii="Rockwell" w:eastAsia="Rockwell" w:hAnsi="Rockwell" w:cs="Rockwell"/>
                        <w:noProof/>
                        <w:color w:val="0078D7"/>
                        <w:sz w:val="18"/>
                        <w:szCs w:val="18"/>
                      </w:rPr>
                    </w:pPr>
                    <w:r w:rsidRPr="005D522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ED534" w14:textId="1DA3DEE1" w:rsidR="005D522B" w:rsidRDefault="005D522B">
    <w:pPr>
      <w:pStyle w:val="Footer"/>
    </w:pPr>
    <w:r>
      <w:rPr>
        <w:noProof/>
      </w:rPr>
      <mc:AlternateContent>
        <mc:Choice Requires="wps">
          <w:drawing>
            <wp:anchor distT="0" distB="0" distL="0" distR="0" simplePos="0" relativeHeight="251660288" behindDoc="0" locked="0" layoutInCell="1" allowOverlap="1" wp14:anchorId="32AA2D8A" wp14:editId="745E7C2C">
              <wp:simplePos x="914400" y="7377545"/>
              <wp:positionH relativeFrom="page">
                <wp:align>left</wp:align>
              </wp:positionH>
              <wp:positionV relativeFrom="page">
                <wp:align>bottom</wp:align>
              </wp:positionV>
              <wp:extent cx="2085975" cy="346075"/>
              <wp:effectExtent l="0" t="0" r="9525" b="0"/>
              <wp:wrapNone/>
              <wp:docPr id="166788489"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53F5F652" w14:textId="1DF77F3C" w:rsidR="005D522B" w:rsidRPr="005D522B" w:rsidRDefault="005D522B" w:rsidP="005D522B">
                          <w:pPr>
                            <w:spacing w:after="0"/>
                            <w:rPr>
                              <w:rFonts w:ascii="Rockwell" w:eastAsia="Rockwell" w:hAnsi="Rockwell" w:cs="Rockwell"/>
                              <w:noProof/>
                              <w:color w:val="0078D7"/>
                              <w:sz w:val="18"/>
                              <w:szCs w:val="18"/>
                            </w:rPr>
                          </w:pPr>
                          <w:r w:rsidRPr="005D522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AA2D8A"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bWEgIAACI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" filled="f" stroked="f">
              <v:fill o:detectmouseclick="t"/>
              <v:textbox style="mso-fit-shape-to-text:t" inset="20pt,0,0,15pt">
                <w:txbxContent>
                  <w:p w14:paraId="53F5F652" w14:textId="1DF77F3C" w:rsidR="005D522B" w:rsidRPr="005D522B" w:rsidRDefault="005D522B" w:rsidP="005D522B">
                    <w:pPr>
                      <w:spacing w:after="0"/>
                      <w:rPr>
                        <w:rFonts w:ascii="Rockwell" w:eastAsia="Rockwell" w:hAnsi="Rockwell" w:cs="Rockwell"/>
                        <w:noProof/>
                        <w:color w:val="0078D7"/>
                        <w:sz w:val="18"/>
                        <w:szCs w:val="18"/>
                      </w:rPr>
                    </w:pPr>
                    <w:r w:rsidRPr="005D522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F2318" w14:textId="2A2BBC66" w:rsidR="005D522B" w:rsidRDefault="005D522B">
    <w:pPr>
      <w:pStyle w:val="Footer"/>
    </w:pPr>
    <w:r>
      <w:rPr>
        <w:noProof/>
      </w:rPr>
      <mc:AlternateContent>
        <mc:Choice Requires="wps">
          <w:drawing>
            <wp:anchor distT="0" distB="0" distL="0" distR="0" simplePos="0" relativeHeight="251658240" behindDoc="0" locked="0" layoutInCell="1" allowOverlap="1" wp14:anchorId="6AE76E84" wp14:editId="432A2E66">
              <wp:simplePos x="635" y="635"/>
              <wp:positionH relativeFrom="page">
                <wp:align>left</wp:align>
              </wp:positionH>
              <wp:positionV relativeFrom="page">
                <wp:align>bottom</wp:align>
              </wp:positionV>
              <wp:extent cx="2085975" cy="346075"/>
              <wp:effectExtent l="0" t="0" r="9525" b="0"/>
              <wp:wrapNone/>
              <wp:docPr id="1192813904"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4D999CEE" w14:textId="19262FB4" w:rsidR="005D522B" w:rsidRPr="005D522B" w:rsidRDefault="005D522B" w:rsidP="005D522B">
                          <w:pPr>
                            <w:spacing w:after="0"/>
                            <w:rPr>
                              <w:rFonts w:ascii="Rockwell" w:eastAsia="Rockwell" w:hAnsi="Rockwell" w:cs="Rockwell"/>
                              <w:noProof/>
                              <w:color w:val="0078D7"/>
                              <w:sz w:val="18"/>
                              <w:szCs w:val="18"/>
                            </w:rPr>
                          </w:pPr>
                          <w:r w:rsidRPr="005D522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E76E84"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" filled="f" stroked="f">
              <v:fill o:detectmouseclick="t"/>
              <v:textbox style="mso-fit-shape-to-text:t" inset="20pt,0,0,15pt">
                <w:txbxContent>
                  <w:p w14:paraId="4D999CEE" w14:textId="19262FB4" w:rsidR="005D522B" w:rsidRPr="005D522B" w:rsidRDefault="005D522B" w:rsidP="005D522B">
                    <w:pPr>
                      <w:spacing w:after="0"/>
                      <w:rPr>
                        <w:rFonts w:ascii="Rockwell" w:eastAsia="Rockwell" w:hAnsi="Rockwell" w:cs="Rockwell"/>
                        <w:noProof/>
                        <w:color w:val="0078D7"/>
                        <w:sz w:val="18"/>
                        <w:szCs w:val="18"/>
                      </w:rPr>
                    </w:pPr>
                    <w:r w:rsidRPr="005D522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0BCCD" w14:textId="77777777" w:rsidR="00B731A1" w:rsidRDefault="00B731A1" w:rsidP="005D522B">
      <w:pPr>
        <w:spacing w:after="0" w:line="240" w:lineRule="auto"/>
      </w:pPr>
      <w:r>
        <w:separator/>
      </w:r>
    </w:p>
  </w:footnote>
  <w:footnote w:type="continuationSeparator" w:id="0">
    <w:p w14:paraId="62F90C11" w14:textId="77777777" w:rsidR="00B731A1" w:rsidRDefault="00B731A1" w:rsidP="005D52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71A18"/>
    <w:multiLevelType w:val="multilevel"/>
    <w:tmpl w:val="0C880E76"/>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5657A4"/>
    <w:multiLevelType w:val="hybridMultilevel"/>
    <w:tmpl w:val="81168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CC4CB1"/>
    <w:multiLevelType w:val="multilevel"/>
    <w:tmpl w:val="D6E82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1116621">
    <w:abstractNumId w:val="1"/>
  </w:num>
  <w:num w:numId="2" w16cid:durableId="1352874094">
    <w:abstractNumId w:val="0"/>
  </w:num>
  <w:num w:numId="3" w16cid:durableId="4096952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A26"/>
    <w:rsid w:val="0003719C"/>
    <w:rsid w:val="00060F83"/>
    <w:rsid w:val="000751DB"/>
    <w:rsid w:val="000923D5"/>
    <w:rsid w:val="002145E1"/>
    <w:rsid w:val="00244048"/>
    <w:rsid w:val="002B5262"/>
    <w:rsid w:val="0037350C"/>
    <w:rsid w:val="003C4AC8"/>
    <w:rsid w:val="00520315"/>
    <w:rsid w:val="0052395F"/>
    <w:rsid w:val="00576A48"/>
    <w:rsid w:val="005D522B"/>
    <w:rsid w:val="005E004D"/>
    <w:rsid w:val="00624903"/>
    <w:rsid w:val="006A1DE9"/>
    <w:rsid w:val="00751716"/>
    <w:rsid w:val="00756795"/>
    <w:rsid w:val="00784E28"/>
    <w:rsid w:val="007B4681"/>
    <w:rsid w:val="008F2D3D"/>
    <w:rsid w:val="008F6310"/>
    <w:rsid w:val="00936DF1"/>
    <w:rsid w:val="00995E74"/>
    <w:rsid w:val="009D0F9A"/>
    <w:rsid w:val="00A92A24"/>
    <w:rsid w:val="00B35E72"/>
    <w:rsid w:val="00B731A1"/>
    <w:rsid w:val="00B87932"/>
    <w:rsid w:val="00BA4748"/>
    <w:rsid w:val="00BE2D56"/>
    <w:rsid w:val="00EB520F"/>
    <w:rsid w:val="00EC3A26"/>
    <w:rsid w:val="00F33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D226F"/>
  <w15:chartTrackingRefBased/>
  <w15:docId w15:val="{2ADD9F73-C8C7-40A5-A447-84F4B12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A26"/>
  </w:style>
  <w:style w:type="paragraph" w:styleId="Heading1">
    <w:name w:val="heading 1"/>
    <w:basedOn w:val="Normal"/>
    <w:next w:val="Normal"/>
    <w:link w:val="Heading1Char"/>
    <w:uiPriority w:val="9"/>
    <w:qFormat/>
    <w:rsid w:val="00EC3A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3A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3A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3A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3A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3A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A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A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A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A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3A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3A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3A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3A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3A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A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A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A26"/>
    <w:rPr>
      <w:rFonts w:eastAsiaTheme="majorEastAsia" w:cstheme="majorBidi"/>
      <w:color w:val="272727" w:themeColor="text1" w:themeTint="D8"/>
    </w:rPr>
  </w:style>
  <w:style w:type="paragraph" w:styleId="Title">
    <w:name w:val="Title"/>
    <w:basedOn w:val="Normal"/>
    <w:next w:val="Normal"/>
    <w:link w:val="TitleChar"/>
    <w:uiPriority w:val="10"/>
    <w:qFormat/>
    <w:rsid w:val="00EC3A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A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A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A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A26"/>
    <w:pPr>
      <w:spacing w:before="160"/>
      <w:jc w:val="center"/>
    </w:pPr>
    <w:rPr>
      <w:i/>
      <w:iCs/>
      <w:color w:val="404040" w:themeColor="text1" w:themeTint="BF"/>
    </w:rPr>
  </w:style>
  <w:style w:type="character" w:customStyle="1" w:styleId="QuoteChar">
    <w:name w:val="Quote Char"/>
    <w:basedOn w:val="DefaultParagraphFont"/>
    <w:link w:val="Quote"/>
    <w:uiPriority w:val="29"/>
    <w:rsid w:val="00EC3A26"/>
    <w:rPr>
      <w:i/>
      <w:iCs/>
      <w:color w:val="404040" w:themeColor="text1" w:themeTint="BF"/>
    </w:rPr>
  </w:style>
  <w:style w:type="paragraph" w:styleId="ListParagraph">
    <w:name w:val="List Paragraph"/>
    <w:basedOn w:val="Normal"/>
    <w:uiPriority w:val="34"/>
    <w:qFormat/>
    <w:rsid w:val="00EC3A26"/>
    <w:pPr>
      <w:ind w:left="720"/>
      <w:contextualSpacing/>
    </w:pPr>
  </w:style>
  <w:style w:type="character" w:styleId="IntenseEmphasis">
    <w:name w:val="Intense Emphasis"/>
    <w:basedOn w:val="DefaultParagraphFont"/>
    <w:uiPriority w:val="21"/>
    <w:qFormat/>
    <w:rsid w:val="00EC3A26"/>
    <w:rPr>
      <w:i/>
      <w:iCs/>
      <w:color w:val="2F5496" w:themeColor="accent1" w:themeShade="BF"/>
    </w:rPr>
  </w:style>
  <w:style w:type="paragraph" w:styleId="IntenseQuote">
    <w:name w:val="Intense Quote"/>
    <w:basedOn w:val="Normal"/>
    <w:next w:val="Normal"/>
    <w:link w:val="IntenseQuoteChar"/>
    <w:uiPriority w:val="30"/>
    <w:qFormat/>
    <w:rsid w:val="00EC3A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3A26"/>
    <w:rPr>
      <w:i/>
      <w:iCs/>
      <w:color w:val="2F5496" w:themeColor="accent1" w:themeShade="BF"/>
    </w:rPr>
  </w:style>
  <w:style w:type="character" w:styleId="IntenseReference">
    <w:name w:val="Intense Reference"/>
    <w:basedOn w:val="DefaultParagraphFont"/>
    <w:uiPriority w:val="32"/>
    <w:qFormat/>
    <w:rsid w:val="00EC3A26"/>
    <w:rPr>
      <w:b/>
      <w:bCs/>
      <w:smallCaps/>
      <w:color w:val="2F5496" w:themeColor="accent1" w:themeShade="BF"/>
      <w:spacing w:val="5"/>
    </w:rPr>
  </w:style>
  <w:style w:type="character" w:styleId="Hyperlink">
    <w:name w:val="Hyperlink"/>
    <w:basedOn w:val="DefaultParagraphFont"/>
    <w:uiPriority w:val="99"/>
    <w:unhideWhenUsed/>
    <w:rsid w:val="00EC3A26"/>
    <w:rPr>
      <w:color w:val="0563C1" w:themeColor="hyperlink"/>
      <w:u w:val="single"/>
    </w:rPr>
  </w:style>
  <w:style w:type="paragraph" w:styleId="Footer">
    <w:name w:val="footer"/>
    <w:basedOn w:val="Normal"/>
    <w:link w:val="FooterChar"/>
    <w:uiPriority w:val="99"/>
    <w:unhideWhenUsed/>
    <w:rsid w:val="005D52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5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776/ub.ijhn.2023.010.02.3"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x.doi.org/10.30867/action.v10i1.2165" TargetMode="External"/><Relationship Id="rId4" Type="http://schemas.openxmlformats.org/officeDocument/2006/relationships/settings" Target="settings.xml"/><Relationship Id="rId9" Type="http://schemas.openxmlformats.org/officeDocument/2006/relationships/hyperlink" Target="https://doi.org/10.37341/jkg.v5i2.10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18AD44-CCE8-4CCF-80C6-E6872D514F41}">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5812774309"/>
    <we:property name="MENDELEY_CITATIONS" value="[]"/>
    <we:property name="MENDELEY_CITATIONS_STYLE" value="{&quot;id&quot;:&quot;https://www.zotero.org/styles/vancouver-superscript&quot;,&quot;title&quot;:&quot;NLM/Vancouver: Citing Medicine 2nd edition (citation-sequence, superscript)&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778C4-342A-47B2-BCB7-35FA715A6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1359</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ideapad slim 3</dc:creator>
  <cp:keywords/>
  <dc:description/>
  <cp:lastModifiedBy>Parthiban, Harshavardhini</cp:lastModifiedBy>
  <cp:revision>6</cp:revision>
  <dcterms:created xsi:type="dcterms:W3CDTF">2026-04-06T04:10:00Z</dcterms:created>
  <dcterms:modified xsi:type="dcterms:W3CDTF">2026-04-18T07:35:00Z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4718e550,7fd547df,9f0fd89</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2026-04-18T07:35:30Z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6ff8b8fa-7bb2-4e9a-bfdb-8cd36d39a39a</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