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638DE">
      <w:pPr>
        <w:rPr>
          <w:rFonts w:hint="eastAsia" w:ascii="Times New Roman" w:hAnsi="Times New Roman" w:cs="Times New Roman" w:eastAsiaTheme="minorEastAsia"/>
          <w:b/>
          <w:bCs/>
          <w:color w:val="auto"/>
          <w:lang w:eastAsia="zh-CN"/>
        </w:rPr>
      </w:pPr>
      <w:bookmarkStart w:id="0" w:name="_GoBack"/>
      <w:r>
        <w:rPr>
          <w:rFonts w:hint="eastAsia" w:ascii="Times New Roman" w:hAnsi="Times New Roman" w:cs="Times New Roman" w:eastAsiaTheme="minorEastAsia"/>
          <w:b/>
          <w:bCs/>
          <w:color w:val="auto"/>
          <w:lang w:eastAsia="zh-CN"/>
        </w:rPr>
        <w:drawing>
          <wp:inline distT="0" distB="0" distL="114300" distR="114300">
            <wp:extent cx="5242560" cy="2212975"/>
            <wp:effectExtent l="0" t="0" r="15240" b="15875"/>
            <wp:docPr id="1" name="图片 1" descr="Fig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EC035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cs="Times New Roman"/>
          <w:color w:val="auto"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"/>
        </w:rPr>
        <w:t xml:space="preserve">Figure 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"/>
        </w:rPr>
        <w:t>S1.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"/>
        </w:rPr>
        <w:t xml:space="preserve"> Distribution of TNBC in the training set before (A) and after (B) processed by 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  <w:t xml:space="preserve">borderline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"/>
        </w:rPr>
        <w:t>SMOTE.</w:t>
      </w:r>
    </w:p>
    <w:p w14:paraId="575DCA6A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cs="Times New Roman"/>
          <w:color w:val="auto"/>
          <w:szCs w:val="21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  <w:t xml:space="preserve">Abbreviation: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"/>
        </w:rPr>
        <w:t>SMOTE, S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  <w:t xml:space="preserve">ynthetic minority over-sampling technique;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"/>
        </w:rPr>
        <w:t>TNBC, Triple-negative breast cancer.</w:t>
      </w:r>
    </w:p>
    <w:p w14:paraId="7A2C5DCB">
      <w:pPr>
        <w:rPr>
          <w:rFonts w:ascii="Times New Roman" w:hAnsi="Times New Roman" w:cs="Times New Roman"/>
          <w:b/>
          <w:bCs/>
          <w:color w:val="auto"/>
        </w:rPr>
      </w:pPr>
    </w:p>
    <w:p w14:paraId="10B8B522">
      <w:pPr>
        <w:rPr>
          <w:rFonts w:ascii="Times New Roman" w:hAnsi="Times New Roman" w:cs="Times New Roman"/>
          <w:b/>
          <w:bCs/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4CA0B91"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b/>
          <w:bCs/>
          <w:color w:val="auto"/>
        </w:rPr>
        <w:t xml:space="preserve">Table </w:t>
      </w:r>
      <w:r>
        <w:rPr>
          <w:rFonts w:ascii="Times New Roman" w:hAnsi="Times New Roman" w:cs="Times New Roman"/>
          <w:b/>
          <w:bCs/>
          <w:color w:val="auto"/>
        </w:rPr>
        <w:t>S1.</w:t>
      </w:r>
      <w:r>
        <w:rPr>
          <w:rFonts w:ascii="Times New Roman" w:hAnsi="Times New Roman" w:cs="Times New Roman"/>
          <w:color w:val="auto"/>
        </w:rPr>
        <w:t xml:space="preserve"> MRI scan parameters.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172"/>
        <w:gridCol w:w="1515"/>
        <w:gridCol w:w="1418"/>
        <w:gridCol w:w="235"/>
        <w:gridCol w:w="3571"/>
        <w:gridCol w:w="222"/>
        <w:gridCol w:w="2272"/>
        <w:gridCol w:w="1353"/>
        <w:gridCol w:w="740"/>
      </w:tblGrid>
      <w:tr w14:paraId="0593F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1" w:type="pct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FFFFFF"/>
            <w:vAlign w:val="center"/>
          </w:tcPr>
          <w:p w14:paraId="662AA4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 xml:space="preserve">Sequence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n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ame</w:t>
            </w:r>
          </w:p>
        </w:tc>
        <w:tc>
          <w:tcPr>
            <w:tcW w:w="1447" w:type="pct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D07C2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Conventional MRI</w:t>
            </w:r>
          </w:p>
        </w:tc>
        <w:tc>
          <w:tcPr>
            <w:tcW w:w="83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D3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5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E823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DCE-MRI</w:t>
            </w:r>
          </w:p>
        </w:tc>
        <w:tc>
          <w:tcPr>
            <w:tcW w:w="78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54D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39" w:type="pct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3E93B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  <w:t>qMRI</w:t>
            </w:r>
          </w:p>
        </w:tc>
      </w:tr>
      <w:tr w14:paraId="64A5C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91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984B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35AE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Axial T1WI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19E1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Axial Fat-Suppressed T2WI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950D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DWI</w:t>
            </w:r>
          </w:p>
        </w:tc>
        <w:tc>
          <w:tcPr>
            <w:tcW w:w="8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DDDA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5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A80E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Axial DCE</w:t>
            </w:r>
          </w:p>
        </w:tc>
        <w:tc>
          <w:tcPr>
            <w:tcW w:w="7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E4D4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63D8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T1 Mapping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(Pre- &amp; 5-min Post-contrast)</w:t>
            </w:r>
          </w:p>
        </w:tc>
        <w:tc>
          <w:tcPr>
            <w:tcW w:w="7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1805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T2 Mapping</w:t>
            </w:r>
          </w:p>
        </w:tc>
      </w:tr>
      <w:tr w14:paraId="7324F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9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19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TR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ms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/TE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ms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85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/ 2.46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44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4000 / 54 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6F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7400 / 42 </w:t>
            </w:r>
          </w:p>
        </w:tc>
        <w:tc>
          <w:tcPr>
            <w:tcW w:w="8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A0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5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33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3.89 / 2.46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7C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DF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4.95 / 1.75 </w:t>
            </w:r>
          </w:p>
        </w:tc>
        <w:tc>
          <w:tcPr>
            <w:tcW w:w="737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3F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1890 /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10.5, 21, 31.5, 42, 52.5, 63 </w:t>
            </w:r>
          </w:p>
        </w:tc>
      </w:tr>
      <w:tr w14:paraId="519D0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181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Slice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t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hickness/Gap (mm)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88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4 / 0.4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83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4 / 0.4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51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4 / 0.4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6C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59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1.4 / 0.23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B4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22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2 / 0.4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DEC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4 / 0.8</w:t>
            </w:r>
          </w:p>
        </w:tc>
      </w:tr>
      <w:tr w14:paraId="4E028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9A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FOV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 (mm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vertAlign w:val="superscript"/>
                <w:lang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27F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360 × 360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C9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340 × 340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75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380 × 306.28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99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B0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400 × 325.2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CB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A8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300 × 243.9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238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280 × 280</w:t>
            </w:r>
          </w:p>
        </w:tc>
      </w:tr>
      <w:tr w14:paraId="78D79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4D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Matrix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44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448 × 448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2C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384 × 384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D5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192 × 192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47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CC1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256 × 256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EF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D6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256 × 256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31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256 × 256</w:t>
            </w:r>
          </w:p>
        </w:tc>
      </w:tr>
      <w:tr w14:paraId="39004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E3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F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lip angle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81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1D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BF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64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86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80 degrees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8D0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99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 degrees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BF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180 degrees</w:t>
            </w:r>
          </w:p>
        </w:tc>
      </w:tr>
      <w:tr w14:paraId="07746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50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Other Key Parameters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232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7D0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FB5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b-values = 0, 800 s/mm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vertAlign w:val="superscript"/>
                <w:lang w:bidi="ar"/>
              </w:rPr>
              <w:t>2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B1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CE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Contrast Agent: Gadobenate Dimeglumine, 0.2 mL/kg, Flow Rate 2.5 mL/s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69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0AA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NEX: 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29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Echo Train Length: 6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946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NEX: 1</w:t>
            </w:r>
          </w:p>
        </w:tc>
      </w:tr>
      <w:tr w14:paraId="698B8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9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16D00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Scan Time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4598AB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0CE75C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22C54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049E1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4026E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5 min</w:t>
            </w:r>
          </w:p>
        </w:tc>
        <w:tc>
          <w:tcPr>
            <w:tcW w:w="7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2F512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57FE5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2 min 18 s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53547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5 min 32 s</w:t>
            </w:r>
          </w:p>
        </w:tc>
      </w:tr>
    </w:tbl>
    <w:p w14:paraId="0B33298E">
      <w:pPr>
        <w:rPr>
          <w:rFonts w:hint="eastAsia" w:ascii="Times New Roman" w:hAnsi="Times New Roman" w:cs="Times New Roman"/>
          <w:color w:val="auto"/>
          <w:sz w:val="15"/>
          <w:szCs w:val="15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ascii="Times New Roman" w:hAnsi="Times New Roman" w:cs="Times New Roman"/>
          <w:color w:val="auto"/>
          <w:sz w:val="15"/>
          <w:szCs w:val="15"/>
        </w:rPr>
        <w:t>Abbreviation: MRI, Magnetic resonance imaging; qMRI, Quantitative MRI;</w:t>
      </w:r>
      <w:r>
        <w:rPr>
          <w:rFonts w:hint="eastAsia" w:ascii="Times New Roman" w:hAnsi="Times New Roman" w:cs="Times New Roman"/>
          <w:color w:val="auto"/>
          <w:sz w:val="15"/>
          <w:szCs w:val="15"/>
        </w:rPr>
        <w:t xml:space="preserve"> </w:t>
      </w:r>
      <w:r>
        <w:rPr>
          <w:rFonts w:ascii="Times New Roman" w:hAnsi="Times New Roman" w:cs="Times New Roman"/>
          <w:color w:val="auto"/>
          <w:sz w:val="15"/>
          <w:szCs w:val="15"/>
        </w:rPr>
        <w:t>DCE-MRI</w:t>
      </w:r>
      <w:r>
        <w:rPr>
          <w:rFonts w:hint="eastAsia" w:ascii="Times New Roman" w:hAnsi="Times New Roman" w:cs="Times New Roman"/>
          <w:color w:val="auto"/>
          <w:sz w:val="15"/>
          <w:szCs w:val="15"/>
        </w:rPr>
        <w:t xml:space="preserve">, </w:t>
      </w:r>
      <w:r>
        <w:rPr>
          <w:rFonts w:ascii="Times New Roman" w:hAnsi="Times New Roman" w:cs="Times New Roman"/>
          <w:color w:val="auto"/>
          <w:sz w:val="15"/>
          <w:szCs w:val="15"/>
        </w:rPr>
        <w:t>Dynamic contrast-enhanced MRI</w:t>
      </w:r>
      <w:r>
        <w:rPr>
          <w:rFonts w:hint="eastAsia" w:ascii="Times New Roman" w:hAnsi="Times New Roman" w:cs="Times New Roman"/>
          <w:color w:val="auto"/>
          <w:sz w:val="15"/>
          <w:szCs w:val="15"/>
        </w:rPr>
        <w:t xml:space="preserve">; </w:t>
      </w:r>
      <w:r>
        <w:rPr>
          <w:rFonts w:ascii="Times New Roman" w:hAnsi="Times New Roman" w:cs="Times New Roman"/>
          <w:color w:val="auto"/>
          <w:sz w:val="15"/>
          <w:szCs w:val="15"/>
        </w:rPr>
        <w:t>T1WI, T1-Weighted Imaging; T2WI, T2-Weighted Imaging; DWI, Diffusion-Weighted Imaging; NEX, Number of Excitations</w:t>
      </w:r>
      <w:r>
        <w:rPr>
          <w:rFonts w:hint="eastAsia" w:ascii="Times New Roman" w:hAnsi="Times New Roman" w:cs="Times New Roman"/>
          <w:color w:val="auto"/>
          <w:sz w:val="15"/>
          <w:szCs w:val="15"/>
        </w:rPr>
        <w:t>; FOV, F</w:t>
      </w:r>
      <w:r>
        <w:rPr>
          <w:rFonts w:ascii="Times New Roman" w:hAnsi="Times New Roman" w:cs="Times New Roman"/>
          <w:color w:val="auto"/>
          <w:sz w:val="15"/>
          <w:szCs w:val="15"/>
        </w:rPr>
        <w:t>ield of view</w:t>
      </w:r>
      <w:r>
        <w:rPr>
          <w:rFonts w:hint="eastAsia" w:ascii="Times New Roman" w:hAnsi="Times New Roman" w:cs="Times New Roman"/>
          <w:color w:val="auto"/>
          <w:sz w:val="15"/>
          <w:szCs w:val="15"/>
          <w:lang w:val="en-US" w:eastAsia="zh-CN"/>
        </w:rPr>
        <w:t>.</w:t>
      </w:r>
    </w:p>
    <w:p w14:paraId="0A89717A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Table S2.</w:t>
      </w:r>
      <w:r>
        <w:rPr>
          <w:rFonts w:ascii="Times New Roman" w:hAnsi="Times New Roman" w:cs="Times New Roman"/>
          <w:color w:val="auto"/>
        </w:rPr>
        <w:t xml:space="preserve"> Results of </w:t>
      </w:r>
      <w:r>
        <w:rPr>
          <w:rFonts w:hint="eastAsia" w:ascii="Times New Roman" w:hAnsi="Times New Roman" w:cs="Times New Roman"/>
          <w:color w:val="auto"/>
        </w:rPr>
        <w:t>multicollinearity</w:t>
      </w:r>
      <w:r>
        <w:rPr>
          <w:rFonts w:ascii="Times New Roman" w:hAnsi="Times New Roman" w:cs="Times New Roman"/>
          <w:color w:val="auto"/>
        </w:rPr>
        <w:t xml:space="preserve"> analysis for 10 significant </w:t>
      </w:r>
      <w:r>
        <w:rPr>
          <w:rFonts w:hint="eastAsia" w:ascii="Times New Roman" w:hAnsi="Times New Roman" w:cs="Times New Roman"/>
          <w:color w:val="auto"/>
        </w:rPr>
        <w:t>qMRI variables</w:t>
      </w:r>
      <w:r>
        <w:rPr>
          <w:rFonts w:ascii="Times New Roman" w:hAnsi="Times New Roman" w:cs="Times New Roman"/>
          <w:color w:val="auto"/>
        </w:rPr>
        <w:t>.</w:t>
      </w:r>
    </w:p>
    <w:tbl>
      <w:tblPr>
        <w:tblStyle w:val="4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8"/>
        <w:gridCol w:w="1776"/>
      </w:tblGrid>
      <w:tr w14:paraId="4153C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56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5D30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Variable</w:t>
            </w:r>
          </w:p>
        </w:tc>
        <w:tc>
          <w:tcPr>
            <w:tcW w:w="1043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CF6C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VIF</w:t>
            </w:r>
          </w:p>
        </w:tc>
      </w:tr>
      <w:tr w14:paraId="5466D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56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475A1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bidi="ar"/>
              </w:rPr>
              <w:t>△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T1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 mapping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vertAlign w:val="subscript"/>
                <w:lang w:bidi="ar"/>
              </w:rPr>
              <w:t>l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vertAlign w:val="subscript"/>
                <w:lang w:bidi="ar"/>
              </w:rPr>
              <w:t>ocal</w:t>
            </w:r>
          </w:p>
        </w:tc>
        <w:tc>
          <w:tcPr>
            <w:tcW w:w="1043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666F3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143.73</w:t>
            </w:r>
          </w:p>
        </w:tc>
      </w:tr>
      <w:tr w14:paraId="3896D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FB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△T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vertAlign w:val="subscript"/>
                <w:lang w:bidi="ar"/>
              </w:rPr>
              <w:t>l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vertAlign w:val="subscript"/>
                <w:lang w:bidi="ar"/>
              </w:rPr>
              <w:t>ocal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B9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117.491</w:t>
            </w:r>
          </w:p>
        </w:tc>
      </w:tr>
      <w:tr w14:paraId="3EA12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5D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△T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vertAlign w:val="subscript"/>
                <w:lang w:bidi="ar"/>
              </w:rPr>
              <w:t>tumor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4B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62.257</w:t>
            </w:r>
          </w:p>
        </w:tc>
      </w:tr>
      <w:tr w14:paraId="007D3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E1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bidi="ar"/>
              </w:rPr>
              <w:t>△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T1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 mapping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vertAlign w:val="subscript"/>
                <w:lang w:bidi="ar"/>
              </w:rPr>
              <w:t>tumor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37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60.673</w:t>
            </w:r>
          </w:p>
        </w:tc>
      </w:tr>
      <w:tr w14:paraId="37C56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7F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T1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 mapping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vertAlign w:val="subscript"/>
                <w:lang w:bidi="ar"/>
              </w:rPr>
              <w:t>l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vertAlign w:val="subscript"/>
                <w:lang w:bidi="ar"/>
              </w:rPr>
              <w:t>ocal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A9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49.062</w:t>
            </w:r>
          </w:p>
        </w:tc>
      </w:tr>
      <w:tr w14:paraId="1E2F9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9B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T1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 mapping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vertAlign w:val="subscript"/>
                <w:lang w:bidi="ar"/>
              </w:rPr>
              <w:t>tumor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1B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27.392</w:t>
            </w:r>
          </w:p>
        </w:tc>
      </w:tr>
      <w:tr w14:paraId="47642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B6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ADC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vertAlign w:val="subscript"/>
                <w:lang w:bidi="ar"/>
              </w:rPr>
              <w:t>tumor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31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3.855</w:t>
            </w:r>
          </w:p>
        </w:tc>
      </w:tr>
      <w:tr w14:paraId="6E4EA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4A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ADC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vertAlign w:val="subscript"/>
                <w:lang w:bidi="ar"/>
              </w:rPr>
              <w:t>l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vertAlign w:val="subscript"/>
                <w:lang w:bidi="ar"/>
              </w:rPr>
              <w:t>ocal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87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3.753</w:t>
            </w:r>
          </w:p>
        </w:tc>
      </w:tr>
      <w:tr w14:paraId="7E852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9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E7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T2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 mapping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vertAlign w:val="subscript"/>
                <w:lang w:bidi="ar"/>
              </w:rPr>
              <w:t>l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vertAlign w:val="subscript"/>
                <w:lang w:bidi="ar"/>
              </w:rPr>
              <w:t>ocal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1C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3.103</w:t>
            </w:r>
          </w:p>
        </w:tc>
      </w:tr>
      <w:tr w14:paraId="6D224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56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56064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T2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 mapping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vertAlign w:val="subscript"/>
                <w:lang w:bidi="ar"/>
              </w:rPr>
              <w:t>tumor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493E1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2.938</w:t>
            </w:r>
          </w:p>
        </w:tc>
      </w:tr>
    </w:tbl>
    <w:p w14:paraId="56D3BDF1">
      <w:pPr>
        <w:rPr>
          <w:rFonts w:ascii="Times New Roman" w:hAnsi="Times New Roman" w:cs="Times New Roman"/>
          <w:color w:val="auto"/>
          <w:sz w:val="15"/>
          <w:szCs w:val="15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15"/>
          <w:szCs w:val="15"/>
          <w:lang w:bidi="ar"/>
        </w:rPr>
        <w:t xml:space="preserve">Abbreviation: </w:t>
      </w:r>
      <w:r>
        <w:rPr>
          <w:rFonts w:hint="eastAsia" w:ascii="Times New Roman" w:hAnsi="Times New Roman" w:cs="Times New Roman"/>
          <w:color w:val="auto"/>
          <w:sz w:val="15"/>
          <w:szCs w:val="15"/>
        </w:rPr>
        <w:t>qMRI</w:t>
      </w:r>
      <w:r>
        <w:rPr>
          <w:rFonts w:ascii="Times New Roman" w:hAnsi="Times New Roman" w:cs="Times New Roman"/>
          <w:color w:val="auto"/>
          <w:sz w:val="15"/>
          <w:szCs w:val="15"/>
        </w:rPr>
        <w:t>, Quantitative magnetic resonance imaging</w:t>
      </w:r>
      <w:r>
        <w:rPr>
          <w:rFonts w:hint="eastAsia" w:ascii="Times New Roman" w:hAnsi="Times New Roman" w:cs="Times New Roman"/>
          <w:color w:val="auto"/>
          <w:sz w:val="15"/>
          <w:szCs w:val="15"/>
        </w:rPr>
        <w:t xml:space="preserve">; </w:t>
      </w:r>
      <w:r>
        <w:rPr>
          <w:rFonts w:hint="eastAsia" w:ascii="Times New Roman" w:hAnsi="Times New Roman" w:eastAsia="宋体" w:cs="Times New Roman"/>
          <w:color w:val="auto"/>
          <w:kern w:val="0"/>
          <w:sz w:val="15"/>
          <w:szCs w:val="15"/>
          <w:lang w:bidi="ar"/>
        </w:rPr>
        <w:t>VIF, Variance inflation factor; ADC, A</w:t>
      </w:r>
      <w:r>
        <w:rPr>
          <w:rFonts w:ascii="Times New Roman" w:hAnsi="Times New Roman" w:cs="Times New Roman"/>
          <w:color w:val="auto"/>
          <w:sz w:val="15"/>
          <w:szCs w:val="15"/>
        </w:rPr>
        <w:t>pparent diffusion coefficient</w:t>
      </w:r>
      <w:r>
        <w:rPr>
          <w:rFonts w:hint="eastAsia" w:ascii="Times New Roman" w:hAnsi="Times New Roman" w:cs="Times New Roman"/>
          <w:color w:val="auto"/>
          <w:sz w:val="15"/>
          <w:szCs w:val="15"/>
        </w:rPr>
        <w:t>.</w:t>
      </w:r>
    </w:p>
    <w:p w14:paraId="2EC5C4A9">
      <w:pPr>
        <w:rPr>
          <w:rFonts w:hint="eastAsia" w:ascii="Times New Roman" w:hAnsi="Times New Roman" w:cs="Times New Roman"/>
          <w:color w:val="auto"/>
          <w:sz w:val="15"/>
          <w:szCs w:val="15"/>
          <w:lang w:val="en-US" w:eastAsia="zh-CN"/>
        </w:rPr>
      </w:pPr>
    </w:p>
    <w:p w14:paraId="14190634">
      <w:pPr>
        <w:rPr>
          <w:rFonts w:hint="eastAsia" w:ascii="Times New Roman" w:hAnsi="Times New Roman" w:cs="Times New Roman"/>
          <w:color w:val="auto"/>
          <w:sz w:val="15"/>
          <w:szCs w:val="15"/>
          <w:lang w:val="en-US" w:eastAsia="zh-CN"/>
        </w:rPr>
      </w:pPr>
    </w:p>
    <w:p w14:paraId="425DADB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Table S3.</w:t>
      </w:r>
      <w:r>
        <w:rPr>
          <w:rFonts w:ascii="Times New Roman" w:hAnsi="Times New Roman" w:cs="Times New Roman"/>
          <w:color w:val="auto"/>
        </w:rPr>
        <w:t xml:space="preserve"> Importance ranking of radiomics features selected by LASSO regression analysis.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455"/>
        <w:gridCol w:w="3173"/>
        <w:gridCol w:w="988"/>
        <w:gridCol w:w="1446"/>
      </w:tblGrid>
      <w:tr w14:paraId="696B2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pct"/>
            <w:vMerge w:val="restart"/>
            <w:tcBorders>
              <w:top w:val="single" w:color="auto" w:sz="12" w:space="0"/>
            </w:tcBorders>
            <w:vAlign w:val="center"/>
          </w:tcPr>
          <w:p w14:paraId="6F5E7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Image type</w:t>
            </w:r>
          </w:p>
        </w:tc>
        <w:tc>
          <w:tcPr>
            <w:tcW w:w="854" w:type="pct"/>
            <w:vMerge w:val="restart"/>
            <w:tcBorders>
              <w:top w:val="single" w:color="auto" w:sz="12" w:space="0"/>
            </w:tcBorders>
            <w:vAlign w:val="center"/>
          </w:tcPr>
          <w:p w14:paraId="75A98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Feature Class</w:t>
            </w:r>
          </w:p>
        </w:tc>
        <w:tc>
          <w:tcPr>
            <w:tcW w:w="1863" w:type="pct"/>
            <w:vMerge w:val="restart"/>
            <w:tcBorders>
              <w:top w:val="single" w:color="auto" w:sz="12" w:space="0"/>
              <w:left w:val="nil"/>
              <w:right w:val="nil"/>
            </w:tcBorders>
            <w:noWrap/>
            <w:vAlign w:val="center"/>
          </w:tcPr>
          <w:p w14:paraId="1EDF2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Features</w:t>
            </w:r>
          </w:p>
        </w:tc>
        <w:tc>
          <w:tcPr>
            <w:tcW w:w="1429" w:type="pct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1551D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Weight Importance</w:t>
            </w:r>
          </w:p>
        </w:tc>
      </w:tr>
      <w:tr w14:paraId="26F81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pct"/>
            <w:vMerge w:val="continue"/>
            <w:tcBorders>
              <w:bottom w:val="single" w:color="auto" w:sz="4" w:space="0"/>
            </w:tcBorders>
            <w:vAlign w:val="center"/>
          </w:tcPr>
          <w:p w14:paraId="6C5A6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pct"/>
            <w:vMerge w:val="continue"/>
            <w:tcBorders>
              <w:bottom w:val="single" w:color="auto" w:sz="4" w:space="0"/>
            </w:tcBorders>
            <w:vAlign w:val="center"/>
          </w:tcPr>
          <w:p w14:paraId="4CDEC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</w:p>
        </w:tc>
        <w:tc>
          <w:tcPr>
            <w:tcW w:w="1863" w:type="pct"/>
            <w:vMerge w:val="continue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F606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06E5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XG B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oost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353F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Random Forest</w:t>
            </w:r>
          </w:p>
        </w:tc>
      </w:tr>
      <w:tr w14:paraId="6AD26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pct"/>
            <w:tcBorders>
              <w:top w:val="single" w:color="auto" w:sz="4" w:space="0"/>
            </w:tcBorders>
          </w:tcPr>
          <w:p w14:paraId="0E309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wavelet-LLL</w:t>
            </w:r>
          </w:p>
        </w:tc>
        <w:tc>
          <w:tcPr>
            <w:tcW w:w="854" w:type="pct"/>
            <w:tcBorders>
              <w:top w:val="single" w:color="auto" w:sz="4" w:space="0"/>
            </w:tcBorders>
          </w:tcPr>
          <w:p w14:paraId="7A1FD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GLCM</w:t>
            </w:r>
          </w:p>
        </w:tc>
        <w:tc>
          <w:tcPr>
            <w:tcW w:w="1863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7CE7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Cluster shade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68AF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0.234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BDD1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0.078</w:t>
            </w:r>
          </w:p>
        </w:tc>
      </w:tr>
      <w:tr w14:paraId="4B558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pct"/>
          </w:tcPr>
          <w:p w14:paraId="39C23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wavelet-LHH</w:t>
            </w:r>
          </w:p>
        </w:tc>
        <w:tc>
          <w:tcPr>
            <w:tcW w:w="854" w:type="pct"/>
          </w:tcPr>
          <w:p w14:paraId="5707C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GLDM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0C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Dependence entropy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C7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0.098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6B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0.110</w:t>
            </w:r>
          </w:p>
        </w:tc>
      </w:tr>
      <w:tr w14:paraId="7A23B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pct"/>
          </w:tcPr>
          <w:p w14:paraId="004D4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wavelet-HLH</w:t>
            </w:r>
          </w:p>
        </w:tc>
        <w:tc>
          <w:tcPr>
            <w:tcW w:w="854" w:type="pct"/>
          </w:tcPr>
          <w:p w14:paraId="4EB8A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FO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6F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Kurtosis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5A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0.070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5D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0.069</w:t>
            </w:r>
          </w:p>
        </w:tc>
      </w:tr>
      <w:tr w14:paraId="342A9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pct"/>
          </w:tcPr>
          <w:p w14:paraId="3E244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wavelet-LLL</w:t>
            </w:r>
          </w:p>
        </w:tc>
        <w:tc>
          <w:tcPr>
            <w:tcW w:w="854" w:type="pct"/>
          </w:tcPr>
          <w:p w14:paraId="3AC8E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FO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CE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90 Percentile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54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0.070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01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0.077</w:t>
            </w:r>
          </w:p>
        </w:tc>
      </w:tr>
      <w:tr w14:paraId="1D0AC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pct"/>
          </w:tcPr>
          <w:p w14:paraId="6A2F9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wavelet-HLH</w:t>
            </w:r>
          </w:p>
        </w:tc>
        <w:tc>
          <w:tcPr>
            <w:tcW w:w="854" w:type="pct"/>
          </w:tcPr>
          <w:p w14:paraId="77981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GLSZM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15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Small area low gray level emphasis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EC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0.068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07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0.048</w:t>
            </w:r>
          </w:p>
        </w:tc>
      </w:tr>
      <w:tr w14:paraId="075A4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pct"/>
          </w:tcPr>
          <w:p w14:paraId="60813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wavelet-HHH</w:t>
            </w:r>
          </w:p>
        </w:tc>
        <w:tc>
          <w:tcPr>
            <w:tcW w:w="854" w:type="pct"/>
          </w:tcPr>
          <w:p w14:paraId="487FE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GLRLM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38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Low gray level run emphasis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89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0.064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D1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0.099</w:t>
            </w:r>
          </w:p>
        </w:tc>
      </w:tr>
      <w:tr w14:paraId="3758B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pct"/>
          </w:tcPr>
          <w:p w14:paraId="1CD8F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wavelet-HHH</w:t>
            </w:r>
          </w:p>
        </w:tc>
        <w:tc>
          <w:tcPr>
            <w:tcW w:w="854" w:type="pct"/>
          </w:tcPr>
          <w:p w14:paraId="69AFD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GLSZM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78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Small area emphasis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AB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0.063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F5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0.087</w:t>
            </w:r>
          </w:p>
        </w:tc>
      </w:tr>
      <w:tr w14:paraId="25D2E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pct"/>
          </w:tcPr>
          <w:p w14:paraId="47616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wavelet-HLL</w:t>
            </w:r>
          </w:p>
        </w:tc>
        <w:tc>
          <w:tcPr>
            <w:tcW w:w="854" w:type="pct"/>
          </w:tcPr>
          <w:p w14:paraId="479B6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NGTDM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27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Strength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D5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0.050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04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0.064</w:t>
            </w:r>
          </w:p>
        </w:tc>
      </w:tr>
      <w:tr w14:paraId="0C19B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pct"/>
          </w:tcPr>
          <w:p w14:paraId="0DD36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wavelet-HHH</w:t>
            </w:r>
          </w:p>
        </w:tc>
        <w:tc>
          <w:tcPr>
            <w:tcW w:w="854" w:type="pct"/>
          </w:tcPr>
          <w:p w14:paraId="25A4E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GLSZM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BD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Gray level variance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45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0.047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0C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0.059</w:t>
            </w:r>
          </w:p>
        </w:tc>
      </w:tr>
      <w:tr w14:paraId="7DAF9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pct"/>
          </w:tcPr>
          <w:p w14:paraId="13C9B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wavelet-LLH</w:t>
            </w:r>
          </w:p>
        </w:tc>
        <w:tc>
          <w:tcPr>
            <w:tcW w:w="854" w:type="pct"/>
          </w:tcPr>
          <w:p w14:paraId="0300A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GLSZM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A7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Size zone nonuniformity normalized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82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0.043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EA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0.029</w:t>
            </w:r>
          </w:p>
        </w:tc>
      </w:tr>
      <w:tr w14:paraId="61808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pct"/>
          </w:tcPr>
          <w:p w14:paraId="0942B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wavelet-HHL</w:t>
            </w:r>
          </w:p>
        </w:tc>
        <w:tc>
          <w:tcPr>
            <w:tcW w:w="854" w:type="pct"/>
          </w:tcPr>
          <w:p w14:paraId="44618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GLSZM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CF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Large area high gray level emphasis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EE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0.039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EE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0.029</w:t>
            </w:r>
          </w:p>
        </w:tc>
      </w:tr>
      <w:tr w14:paraId="7E7D0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pct"/>
          </w:tcPr>
          <w:p w14:paraId="193EF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wavelet-HHH</w:t>
            </w:r>
          </w:p>
        </w:tc>
        <w:tc>
          <w:tcPr>
            <w:tcW w:w="854" w:type="pct"/>
          </w:tcPr>
          <w:p w14:paraId="502DF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GLSZM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FD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Small area low gray level emphasis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52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0.032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42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0.035</w:t>
            </w:r>
          </w:p>
        </w:tc>
      </w:tr>
      <w:tr w14:paraId="12151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pct"/>
          </w:tcPr>
          <w:p w14:paraId="67888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wavelet-LHL</w:t>
            </w:r>
          </w:p>
        </w:tc>
        <w:tc>
          <w:tcPr>
            <w:tcW w:w="854" w:type="pct"/>
          </w:tcPr>
          <w:p w14:paraId="7FF0D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FO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53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Mean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EA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0.028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A6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0.034</w:t>
            </w:r>
          </w:p>
        </w:tc>
      </w:tr>
      <w:tr w14:paraId="53192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pct"/>
          </w:tcPr>
          <w:p w14:paraId="41C6B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wavelet-LLL</w:t>
            </w:r>
          </w:p>
        </w:tc>
        <w:tc>
          <w:tcPr>
            <w:tcW w:w="854" w:type="pct"/>
          </w:tcPr>
          <w:p w14:paraId="677B3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FO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64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Skewness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72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0.026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C4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0.055</w:t>
            </w:r>
          </w:p>
        </w:tc>
      </w:tr>
      <w:tr w14:paraId="05CCB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pct"/>
          </w:tcPr>
          <w:p w14:paraId="7AABC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wavelet-LLL</w:t>
            </w:r>
          </w:p>
        </w:tc>
        <w:tc>
          <w:tcPr>
            <w:tcW w:w="854" w:type="pct"/>
          </w:tcPr>
          <w:p w14:paraId="4644E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FO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AC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10 Percentile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DC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0.025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1A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0.044</w:t>
            </w:r>
          </w:p>
        </w:tc>
      </w:tr>
      <w:tr w14:paraId="00C93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pct"/>
          </w:tcPr>
          <w:p w14:paraId="48BD3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wavelet-HLH</w:t>
            </w:r>
          </w:p>
        </w:tc>
        <w:tc>
          <w:tcPr>
            <w:tcW w:w="854" w:type="pct"/>
          </w:tcPr>
          <w:p w14:paraId="08DF1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GLCM</w:t>
            </w:r>
          </w:p>
        </w:tc>
        <w:tc>
          <w:tcPr>
            <w:tcW w:w="186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936B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Sum entropy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D6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0.023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90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0.036</w:t>
            </w:r>
          </w:p>
        </w:tc>
      </w:tr>
      <w:tr w14:paraId="0C90D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pct"/>
            <w:tcBorders>
              <w:bottom w:val="single" w:color="auto" w:sz="12" w:space="0"/>
            </w:tcBorders>
          </w:tcPr>
          <w:p w14:paraId="1A918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wavelet-HHH</w:t>
            </w:r>
          </w:p>
        </w:tc>
        <w:tc>
          <w:tcPr>
            <w:tcW w:w="854" w:type="pct"/>
            <w:tcBorders>
              <w:bottom w:val="single" w:color="auto" w:sz="12" w:space="0"/>
            </w:tcBorders>
          </w:tcPr>
          <w:p w14:paraId="26CF0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GLSZM</w:t>
            </w:r>
          </w:p>
        </w:tc>
        <w:tc>
          <w:tcPr>
            <w:tcW w:w="1863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2597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Gray level nonuniformity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D382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0.020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F28D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bidi="ar"/>
              </w:rPr>
              <w:t>0.046</w:t>
            </w:r>
          </w:p>
        </w:tc>
      </w:tr>
    </w:tbl>
    <w:p w14:paraId="2C02EBB2">
      <w:pPr>
        <w:rPr>
          <w:rFonts w:ascii="Times New Roman" w:hAnsi="Times New Roman" w:cs="Times New Roman"/>
          <w:color w:val="auto"/>
          <w:sz w:val="15"/>
          <w:szCs w:val="15"/>
        </w:rPr>
      </w:pPr>
      <w:r>
        <w:rPr>
          <w:rFonts w:ascii="Times New Roman" w:hAnsi="Times New Roman" w:cs="Times New Roman"/>
          <w:color w:val="auto"/>
          <w:sz w:val="15"/>
          <w:szCs w:val="15"/>
        </w:rPr>
        <w:t>Note: Bolded variables represent the top ten by importance ranking.</w:t>
      </w:r>
    </w:p>
    <w:p w14:paraId="357C0FF4">
      <w:pPr>
        <w:rPr>
          <w:rFonts w:ascii="Times New Roman" w:hAnsi="Times New Roman" w:cs="Times New Roman"/>
          <w:color w:val="auto"/>
          <w:sz w:val="15"/>
          <w:szCs w:val="15"/>
        </w:rPr>
      </w:pPr>
      <w:r>
        <w:rPr>
          <w:rFonts w:hint="eastAsia" w:ascii="Times New Roman" w:hAnsi="Times New Roman" w:cs="Times New Roman"/>
          <w:color w:val="auto"/>
          <w:sz w:val="15"/>
          <w:szCs w:val="15"/>
        </w:rPr>
        <w:t xml:space="preserve">Abbreviation: </w:t>
      </w:r>
      <w:r>
        <w:rPr>
          <w:rFonts w:ascii="Times New Roman" w:hAnsi="Times New Roman" w:cs="Times New Roman"/>
          <w:color w:val="auto"/>
          <w:sz w:val="15"/>
          <w:szCs w:val="15"/>
        </w:rPr>
        <w:t>FO</w:t>
      </w:r>
      <w:r>
        <w:rPr>
          <w:rFonts w:hint="eastAsia" w:ascii="Times New Roman" w:hAnsi="Times New Roman" w:cs="Times New Roman"/>
          <w:color w:val="auto"/>
          <w:sz w:val="15"/>
          <w:szCs w:val="15"/>
        </w:rPr>
        <w:t>, F</w:t>
      </w:r>
      <w:r>
        <w:rPr>
          <w:rFonts w:ascii="Times New Roman" w:hAnsi="Times New Roman" w:cs="Times New Roman"/>
          <w:color w:val="auto"/>
          <w:sz w:val="15"/>
          <w:szCs w:val="15"/>
        </w:rPr>
        <w:t>irst-order; GLCM</w:t>
      </w:r>
      <w:r>
        <w:rPr>
          <w:rFonts w:hint="eastAsia" w:ascii="Times New Roman" w:hAnsi="Times New Roman" w:cs="Times New Roman"/>
          <w:color w:val="auto"/>
          <w:sz w:val="15"/>
          <w:szCs w:val="15"/>
        </w:rPr>
        <w:t>, G</w:t>
      </w:r>
      <w:r>
        <w:rPr>
          <w:rFonts w:ascii="Times New Roman" w:hAnsi="Times New Roman" w:cs="Times New Roman"/>
          <w:color w:val="auto"/>
          <w:sz w:val="15"/>
          <w:szCs w:val="15"/>
        </w:rPr>
        <w:t>ray level co-occurrence matrix; GLDM</w:t>
      </w:r>
      <w:r>
        <w:rPr>
          <w:rFonts w:hint="eastAsia" w:ascii="Times New Roman" w:hAnsi="Times New Roman" w:cs="Times New Roman"/>
          <w:color w:val="auto"/>
          <w:sz w:val="15"/>
          <w:szCs w:val="15"/>
        </w:rPr>
        <w:t>,</w:t>
      </w:r>
      <w:r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color w:val="auto"/>
          <w:sz w:val="15"/>
          <w:szCs w:val="15"/>
        </w:rPr>
        <w:t>G</w:t>
      </w:r>
      <w:r>
        <w:rPr>
          <w:rFonts w:ascii="Times New Roman" w:hAnsi="Times New Roman" w:cs="Times New Roman"/>
          <w:color w:val="auto"/>
          <w:sz w:val="15"/>
          <w:szCs w:val="15"/>
        </w:rPr>
        <w:t>ray level dependence matrix; GLRLM</w:t>
      </w:r>
      <w:r>
        <w:rPr>
          <w:rFonts w:hint="eastAsia" w:ascii="Times New Roman" w:hAnsi="Times New Roman" w:cs="Times New Roman"/>
          <w:color w:val="auto"/>
          <w:sz w:val="15"/>
          <w:szCs w:val="15"/>
        </w:rPr>
        <w:t>,</w:t>
      </w:r>
      <w:r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color w:val="auto"/>
          <w:sz w:val="15"/>
          <w:szCs w:val="15"/>
        </w:rPr>
        <w:t>G</w:t>
      </w:r>
      <w:r>
        <w:rPr>
          <w:rFonts w:ascii="Times New Roman" w:hAnsi="Times New Roman" w:cs="Times New Roman"/>
          <w:color w:val="auto"/>
          <w:sz w:val="15"/>
          <w:szCs w:val="15"/>
        </w:rPr>
        <w:t>ray level run length matrix; GLSZM</w:t>
      </w:r>
      <w:r>
        <w:rPr>
          <w:rFonts w:hint="eastAsia" w:ascii="Times New Roman" w:hAnsi="Times New Roman" w:cs="Times New Roman"/>
          <w:color w:val="auto"/>
          <w:sz w:val="15"/>
          <w:szCs w:val="15"/>
        </w:rPr>
        <w:t>,</w:t>
      </w:r>
      <w:r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color w:val="auto"/>
          <w:sz w:val="15"/>
          <w:szCs w:val="15"/>
        </w:rPr>
        <w:t>G</w:t>
      </w:r>
      <w:r>
        <w:rPr>
          <w:rFonts w:ascii="Times New Roman" w:hAnsi="Times New Roman" w:cs="Times New Roman"/>
          <w:color w:val="auto"/>
          <w:sz w:val="15"/>
          <w:szCs w:val="15"/>
        </w:rPr>
        <w:t>ray level size zone matrix; NGTDM</w:t>
      </w:r>
      <w:r>
        <w:rPr>
          <w:rFonts w:hint="eastAsia" w:ascii="Times New Roman" w:hAnsi="Times New Roman" w:cs="Times New Roman"/>
          <w:color w:val="auto"/>
          <w:sz w:val="15"/>
          <w:szCs w:val="15"/>
        </w:rPr>
        <w:t>, N</w:t>
      </w:r>
      <w:r>
        <w:rPr>
          <w:rFonts w:ascii="Times New Roman" w:hAnsi="Times New Roman" w:cs="Times New Roman"/>
          <w:color w:val="auto"/>
          <w:sz w:val="15"/>
          <w:szCs w:val="15"/>
        </w:rPr>
        <w:t>eighboring gray tone difference matrix</w:t>
      </w:r>
      <w:r>
        <w:rPr>
          <w:rFonts w:hint="eastAsia" w:ascii="Times New Roman" w:hAnsi="Times New Roman" w:cs="Times New Roman"/>
          <w:color w:val="auto"/>
          <w:sz w:val="15"/>
          <w:szCs w:val="15"/>
        </w:rPr>
        <w:t>.</w:t>
      </w:r>
    </w:p>
    <w:p w14:paraId="5C2C8601">
      <w:pPr>
        <w:rPr>
          <w:color w:val="auto"/>
        </w:rPr>
      </w:pPr>
    </w:p>
    <w:p w14:paraId="35D0FE62">
      <w:pPr>
        <w:rPr>
          <w:rFonts w:hint="eastAsia" w:ascii="Times New Roman" w:hAnsi="Times New Roman" w:cs="Times New Roman"/>
          <w:color w:val="auto"/>
          <w:sz w:val="15"/>
          <w:szCs w:val="15"/>
          <w:lang w:val="en-US" w:eastAsia="zh-CN"/>
        </w:rPr>
      </w:pPr>
    </w:p>
    <w:bookmarkEnd w:id="0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C185D"/>
    <w:rsid w:val="0B574A70"/>
    <w:rsid w:val="21E4571C"/>
    <w:rsid w:val="41CE6B33"/>
    <w:rsid w:val="4C404189"/>
    <w:rsid w:val="50E9096F"/>
    <w:rsid w:val="5CB964B8"/>
    <w:rsid w:val="62727CCD"/>
    <w:rsid w:val="6C9E35F4"/>
    <w:rsid w:val="71E87F09"/>
    <w:rsid w:val="73A1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  <w:style w:type="character" w:customStyle="1" w:styleId="7">
    <w:name w:val="页脚 字符"/>
    <w:basedOn w:val="5"/>
    <w:link w:val="3"/>
    <w:qFormat/>
    <w:uiPriority w:val="0"/>
    <w:rPr>
      <w:rFonts w:hint="default"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469</Words>
  <Characters>2464</Characters>
  <Lines>0</Lines>
  <Paragraphs>0</Paragraphs>
  <TotalTime>0</TotalTime>
  <ScaleCrop>false</ScaleCrop>
  <LinksUpToDate>false</LinksUpToDate>
  <CharactersWithSpaces>2752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2025-12-09T07:53:00Z</dcterms:created>
  <dc:creator>Administrator</dc:creator>
  <cp:lastModifiedBy>lfp</cp:lastModifiedBy>
  <dcterms:modified xsi:type="dcterms:W3CDTF">2026-03-14T02:43:08Z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eyJoZGlkIjoiODZlYWNjYTFmYzlmMWEyY2M3ZDBhNDUwMGJiN2ViYjAiLCJ1c2VySWQiOiIxMDA0MTcyMjMzIn0=</vt:lpwstr>
  </property>
  <property fmtid="{D5CDD505-2E9C-101B-9397-08002B2CF9AE}" pid="4" name="ICV">
    <vt:lpwstr>87B19D0C8E294D6F8CAABFFA9DF4C1FB_12</vt:lpwstr>
  </property>
</Properties>
</file>