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29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Supplementary Materials</w:t>
      </w:r>
    </w:p>
    <w:p w14:paraId="5947ED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DA25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Methods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condition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eastAsia"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ryptococcus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variant identification</w:t>
      </w:r>
    </w:p>
    <w:p w14:paraId="3DD37C19">
      <w:pPr>
        <w:widowControl w:val="0"/>
        <w:jc w:val="both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Primers: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Forward primer ITS1: 5'-TCCGTAGGTGAACCTGCGG-3'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Reverse primer ITS4: 5'-TCCTCCGCTTATTGATATGC-3'</w:t>
      </w:r>
    </w:p>
    <w:p w14:paraId="373D2C5A">
      <w:pPr>
        <w:widowControl w:val="0"/>
        <w:jc w:val="both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BA7D33">
      <w:pPr>
        <w:widowControl w:val="0"/>
        <w:jc w:val="both"/>
        <w:rPr>
          <w:rFonts w:ascii="Times New Roman Bold" w:hAnsi="Times New Roman Bold" w:cs="Times New Roman Bold" w:eastAsiaTheme="minorEastAsia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PCR 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reaction system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eastAsia"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ryptococcus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variant identification</w:t>
      </w:r>
    </w:p>
    <w:tbl>
      <w:tblPr>
        <w:tblStyle w:val="5"/>
        <w:tblW w:w="0" w:type="auto"/>
        <w:tblInd w:w="0" w:type="dxa"/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6"/>
        <w:gridCol w:w="1323"/>
      </w:tblGrid>
      <w:tr w14:paraId="4897D7A2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6663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Component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A6AA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Volume (μL)</w:t>
            </w:r>
          </w:p>
        </w:tc>
      </w:tr>
      <w:tr w14:paraId="5AEC6177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2DA3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2X EasyTaq PCR SuperMix (+dye)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FA2A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7E35889C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8744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DNA (20 ng)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A2DA4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6FFD9FB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071D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ITS1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6697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F9BB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AE5C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ITS4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1C263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6F60AD8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0D04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ddH2O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221D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36203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A339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18C1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</w:tbl>
    <w:p w14:paraId="265007CE">
      <w:pPr>
        <w:rPr>
          <w:rFonts w:ascii="Times New Roman Bold" w:hAnsi="Times New Roman Bold" w:cs="Times New Roman Bold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93A471">
      <w:pPr>
        <w:rPr>
          <w:rFonts w:ascii="Times New Roman Bold" w:hAnsi="Times New Roman Bold" w:cs="Times New Roman Bol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Bold" w:hAnsi="Times New Roman Bold" w:cs="Times New Roman Bold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 Reaction Conditions:</w:t>
      </w:r>
    </w:p>
    <w:p w14:paraId="6CB54B4E">
      <w:pPr>
        <w:rPr>
          <w:rFonts w:ascii="Times New Roman Bold" w:hAnsi="Times New Roman Bold" w:cs="Times New Roman Bold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C6052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Initial denaturation: 94°C for 5 minutes.</w:t>
      </w:r>
    </w:p>
    <w:p w14:paraId="6CEE5B13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Denaturation: 94°C for 60 seconds.</w:t>
      </w:r>
    </w:p>
    <w:p w14:paraId="1762C6FB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Annealing: 50°C for 60 seconds.</w:t>
      </w:r>
    </w:p>
    <w:p w14:paraId="5161A4C3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Extension: 72°C for 60 seconds.</w:t>
      </w:r>
    </w:p>
    <w:p w14:paraId="78B50F41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Repeat steps 2-4 for 30 cycles.</w:t>
      </w:r>
    </w:p>
    <w:p w14:paraId="06C2129C">
      <w:pP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Final extension: 72°C for 10 minut</w:t>
      </w: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es.</w:t>
      </w:r>
    </w:p>
    <w:p w14:paraId="33B44B3C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6D2C7BF">
      <w:pPr>
        <w:rPr>
          <w:rFonts w:hint="default" w:ascii="Times New Roman" w:hAnsi="Times New Roman" w:cs="Times New Roman"/>
        </w:rPr>
      </w:pPr>
    </w:p>
    <w:p w14:paraId="3D9B281E">
      <w:pP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Methods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condition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Cryptococcus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genotype identification</w:t>
      </w:r>
    </w:p>
    <w:p w14:paraId="19501FE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Primers:</w:t>
      </w:r>
    </w:p>
    <w:p w14:paraId="5A8C7E40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For the Cryptococcus neoformans:</w:t>
      </w:r>
    </w:p>
    <w:p w14:paraId="552CBC6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Forward primer CNF: 5'-AAGCCTCTCATCCATATCTT-3'</w:t>
      </w:r>
    </w:p>
    <w:p w14:paraId="5FED7381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Reverse primer CNR: 5'-TTCAACCACGAATATGTA-3'</w:t>
      </w:r>
    </w:p>
    <w:p w14:paraId="42BB3E59">
      <w:pPr>
        <w:rPr>
          <w:rFonts w:ascii="Times New Roman Bold" w:hAnsi="Times New Roman Bold" w:cs="Times New Roman Bold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5E6372">
      <w:pPr>
        <w:rPr>
          <w:rFonts w:ascii="Times New Roman Bold" w:hAnsi="Times New Roman Bold" w:cs="Times New Roman Bold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condition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Cryptococcus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genotype</w:t>
      </w:r>
      <w:bookmarkEnd w:id="0"/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identification</w:t>
      </w:r>
    </w:p>
    <w:tbl>
      <w:tblPr>
        <w:tblStyle w:val="5"/>
        <w:tblW w:w="0" w:type="auto"/>
        <w:tblInd w:w="0" w:type="dxa"/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6"/>
        <w:gridCol w:w="1373"/>
      </w:tblGrid>
      <w:tr w14:paraId="3BCECCD4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6FBAF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Component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E9D2D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Volume (μL)</w:t>
            </w:r>
          </w:p>
        </w:tc>
      </w:tr>
      <w:tr w14:paraId="0FA2D896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08A7C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2X EasyTaq PCR SuperMix (+dye)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E5158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68541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DFF0A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DNA (20 ng)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6D7BB6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CE06DF8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3AA5F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CNF/CGF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25F96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2CCAB8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0D464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CNF/CGR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DBA93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C20C628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440FE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ddH2O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BD6B3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16D9961B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6D8B5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13C88">
            <w:pPr>
              <w:widowControl w:val="0"/>
              <w:jc w:val="both"/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 w:eastAsiaTheme="minorEastAsia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</w:tbl>
    <w:p w14:paraId="6C68C424">
      <w:pPr>
        <w:widowControl w:val="0"/>
        <w:jc w:val="both"/>
        <w:rPr>
          <w:rFonts w:ascii="Times New Roman Bold" w:hAnsi="Times New Roman Bold" w:cs="Times New Roman Bold" w:eastAsiaTheme="minorEastAsia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</w:pPr>
    </w:p>
    <w:p w14:paraId="5E0447E5">
      <w:pPr>
        <w:widowControl w:val="0"/>
        <w:jc w:val="both"/>
        <w:rPr>
          <w:rFonts w:ascii="Times New Roman Bold" w:hAnsi="Times New Roman Bold" w:cs="Times New Roman Bold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Bold" w:hAnsi="Times New Roman Bold" w:cs="Times New Roman Bold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PCR Reaction Conditions:</w:t>
      </w:r>
    </w:p>
    <w:p w14:paraId="35D5696A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Initial denaturation: 94°C for 3 minutes.</w:t>
      </w:r>
    </w:p>
    <w:p w14:paraId="5B165C47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Denaturation: 94°C for 30 seconds.</w:t>
      </w:r>
    </w:p>
    <w:p w14:paraId="7EF7CFA2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Annealing: 52°C for 30 seconds.</w:t>
      </w:r>
    </w:p>
    <w:p w14:paraId="2B66B1E7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Extension: 72°C for 1.5 minutes.</w:t>
      </w:r>
    </w:p>
    <w:p w14:paraId="6CFF042B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Repeat steps 2-4 for 35 cycles.</w:t>
      </w:r>
    </w:p>
    <w:p w14:paraId="1546D91B">
      <w:pPr>
        <w:widowControl w:val="0"/>
        <w:jc w:val="both"/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Final extension: 72°C for 10 minutes.</w:t>
      </w:r>
    </w:p>
    <w:p w14:paraId="3F504D51">
      <w:pPr>
        <w:rPr>
          <w:rFonts w:ascii="Times New Roman Bold" w:hAnsi="Times New Roman Bold" w:cs="Times New Roman Bold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CFCB38">
      <w:pP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Methods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PCR condition for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Cryptococcus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ating identification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Identification</w:t>
      </w:r>
    </w:p>
    <w:p w14:paraId="5AAFB9A0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Primers:</w:t>
      </w:r>
    </w:p>
    <w:p w14:paraId="0F5C9E1B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α-mating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type specific:</w:t>
      </w:r>
    </w:p>
    <w:p w14:paraId="697A9FFB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Forward primer α -mating-type-specific F: 5'-CTTCACTGCCATCTTCACCA-3'</w:t>
      </w:r>
    </w:p>
    <w:p w14:paraId="38332622">
      <w:pP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Reverse primer α -mating-type-specific R: 5'-GACACAAAGGGTCATGCCA-3'</w:t>
      </w:r>
    </w:p>
    <w:p w14:paraId="4CD4F0F8">
      <w:pPr>
        <w:ind w:firstLine="24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Bold" w:hAnsi="Times New Roman Bold" w:cs="Times New Roman Bold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Fragment size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：101-bp</w:t>
      </w:r>
    </w:p>
    <w:p w14:paraId="602AC6F3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mating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type specific:</w:t>
      </w:r>
    </w:p>
    <w:p w14:paraId="1DD97CA0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Forward primer A- mating-type-specific F: 5'-CGCCTTCACTGCTACCTTCT-3'</w:t>
      </w:r>
    </w:p>
    <w:p w14:paraId="6B8D0393">
      <w:pP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Reverse primer A- mating-type-specific R: 5'-AACGCAAGAGTAAGTCGGGC-3'</w:t>
      </w:r>
    </w:p>
    <w:p w14:paraId="0F482CAA">
      <w:pPr>
        <w:ind w:firstLine="24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Bold" w:hAnsi="Times New Roman Bold" w:cs="Times New Roman Bold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Fragment size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：117-bp</w:t>
      </w:r>
    </w:p>
    <w:p w14:paraId="311F6B11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D240ACA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PCR reaction system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Cryptococcus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mating identification</w:t>
      </w:r>
    </w:p>
    <w:tbl>
      <w:tblPr>
        <w:tblStyle w:val="5"/>
        <w:tblW w:w="0" w:type="auto"/>
        <w:tblInd w:w="0" w:type="dxa"/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1350"/>
      </w:tblGrid>
      <w:tr w14:paraId="4DB0510A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61DA1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Component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45970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Volume (μL)</w:t>
            </w:r>
          </w:p>
        </w:tc>
      </w:tr>
      <w:tr w14:paraId="153F8D8D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A0769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DNA (20 ng)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B9E88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DB1E199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2B9FF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2X EasyTaq PCR SuperMix (+dye)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E09E3D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19E1318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867B3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α -mating primer F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DA9A6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C24746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5F869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α -mating primer R (5 μmol/L)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005B0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943319">
        <w:tblPrEx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4259E4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ddH2O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EB31C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06F4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9AD3B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32C4CD">
            <w:pP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68E33C7B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 w14:paraId="7D8886E6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 w14:paraId="3C373C1E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 Reaction Conditions:</w:t>
      </w:r>
    </w:p>
    <w:p w14:paraId="6175F300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Initial denaturation: 95°C for 3 minutes.</w:t>
      </w:r>
    </w:p>
    <w:p w14:paraId="76306A6A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Denaturation: 94°C for 1 minute.</w:t>
      </w:r>
    </w:p>
    <w:p w14:paraId="540E82D0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Annealing: 57.5°C for 1 minute.</w:t>
      </w:r>
    </w:p>
    <w:p w14:paraId="2F7C296F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Extension: 72°C for 1 minute.</w:t>
      </w:r>
    </w:p>
    <w:p w14:paraId="536230DB">
      <w:pP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Repeat steps 2-4 for 30 cycles.</w:t>
      </w:r>
    </w:p>
    <w:p w14:paraId="0C855D3D">
      <w:pP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t>Final extension: 72°C for 10 minutes.</w:t>
      </w:r>
    </w:p>
    <w:p w14:paraId="6D644EAD">
      <w:pP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87286B">
      <w:pP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Methods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PCR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condition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ascii="Times New Roman Bold" w:hAnsi="Times New Roman Bold" w:cs="Times New Roman Bold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Cryptococcus </w:t>
      </w:r>
      <w:r>
        <w:rPr>
          <w:rFonts w:ascii="Times New Roman Bold" w:hAnsi="Times New Roman Bold" w:cs="Times New Roman Bold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MLST identification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822"/>
        <w:gridCol w:w="1938"/>
        <w:gridCol w:w="1512"/>
      </w:tblGrid>
      <w:tr w14:paraId="3AC4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7D643A74">
            <w:pPr>
              <w:spacing w:after="0" w:line="240" w:lineRule="auto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Gene</w:t>
            </w:r>
          </w:p>
        </w:tc>
        <w:tc>
          <w:tcPr>
            <w:tcW w:w="2950" w:type="dxa"/>
            <w:vAlign w:val="center"/>
          </w:tcPr>
          <w:p w14:paraId="43AD8B0D">
            <w:pPr>
              <w:pStyle w:val="4"/>
              <w:jc w:val="center"/>
              <w:rPr>
                <w:rFonts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rimer</w:t>
            </w:r>
            <w:r>
              <w:rPr>
                <w:rFonts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 Bold" w:hAnsi="Times New Roman Bold" w:cs="Times New Roman Bold"/>
                <w:b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5'-3')</w:t>
            </w:r>
          </w:p>
          <w:p w14:paraId="1FDC69A9">
            <w:pPr>
              <w:spacing w:after="0" w:line="240" w:lineRule="auto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202BC9D0">
            <w:pPr>
              <w:spacing w:after="0" w:line="240" w:lineRule="auto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PCR Amplification Conditions:</w:t>
            </w:r>
          </w:p>
        </w:tc>
        <w:tc>
          <w:tcPr>
            <w:tcW w:w="1942" w:type="dxa"/>
            <w:vAlign w:val="center"/>
          </w:tcPr>
          <w:p w14:paraId="46EB79BB">
            <w:pPr>
              <w:spacing w:after="0" w:line="24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Fragment size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bp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)</w:t>
            </w:r>
          </w:p>
        </w:tc>
      </w:tr>
      <w:tr w14:paraId="7071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5E18FFC7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CAP59</w:t>
            </w:r>
          </w:p>
          <w:p w14:paraId="0C4F7D3C">
            <w:pPr>
              <w:spacing w:after="0" w:line="240" w:lineRule="auto"/>
              <w:ind w:firstLine="422" w:firstLineChars="20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0A741A65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 :CTCTACGTCGAGCAAGTCAAG R:TCCGCTGCACAAGTGATACCC</w:t>
            </w:r>
          </w:p>
          <w:p w14:paraId="697CA0C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2559646F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94°C3min;35cycles: 94°C30s, 56°C30s, 72°C1min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31875BC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584002A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559</w:t>
            </w:r>
          </w:p>
        </w:tc>
      </w:tr>
      <w:tr w14:paraId="67C6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6ED0037A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GPD1</w:t>
            </w:r>
          </w:p>
          <w:p w14:paraId="515CF8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70FFB714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F:CCACCGAACCCTTCTAGGATA R:CTTCTTGGCACCTCCCTTGAG</w:t>
            </w:r>
          </w:p>
          <w:p w14:paraId="538BC4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31EE91DD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94°Cmin;35cycles: 94°C45s, 63°C1min, 72°C2min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6FC93B4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1EC6870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543</w:t>
            </w:r>
          </w:p>
        </w:tc>
      </w:tr>
      <w:tr w14:paraId="178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1C8B7090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IGS1</w:t>
            </w:r>
          </w:p>
          <w:p w14:paraId="7051983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00BB6EEA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F:ATCCTTTGCAGACGACTTGA R:GTGATCAGTGCATTGCATGA</w:t>
            </w:r>
          </w:p>
          <w:p w14:paraId="1B4821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27E954C2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94°C3min;35cycles: 94°C30s, 60°C30s, 72°C1min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3C2EAA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4CC345F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723</w:t>
            </w:r>
          </w:p>
        </w:tc>
      </w:tr>
      <w:tr w14:paraId="4708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156F3FF6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LAC1</w:t>
            </w:r>
          </w:p>
          <w:p w14:paraId="1731DD1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3B812BAF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F:AACATGTTCCCTGGGCCTGTG R:ATGAGAATTGAATCGCCTTGT</w:t>
            </w:r>
          </w:p>
          <w:p w14:paraId="4D29B7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20D86186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94°C3min;30cycles: 94°C30s, 58°C30s, 72°C 1min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14CD99F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6949088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469</w:t>
            </w:r>
          </w:p>
        </w:tc>
      </w:tr>
      <w:tr w14:paraId="1612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5CBC836E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PLB1</w:t>
            </w:r>
          </w:p>
          <w:p w14:paraId="7D89997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37CBC688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F:CTTCAGGCGGAGAGAGGTTT R:GATTTGGCGTTGGTTTCAGT</w:t>
            </w:r>
          </w:p>
          <w:p w14:paraId="438E67E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39878C5E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94°C3min;30cycles: 94°C45s, 61°C45s, 72°C1min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7781503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0D04068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532</w:t>
            </w:r>
          </w:p>
        </w:tc>
      </w:tr>
      <w:tr w14:paraId="4CD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4239936D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SOD1</w:t>
            </w:r>
          </w:p>
          <w:p w14:paraId="6991C1B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5C35ADB3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CNF:AAGCCT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CTCATCCATAT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CTT CNR:TTCAACCACGAATATGTA CGF:GATCCTCACGCCATTACG CGR:GAATGATGCGCTTAGTTGGA</w:t>
            </w:r>
          </w:p>
          <w:p w14:paraId="3501D23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1E4CB2DF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94°C3min;35cycles: 94°C30s, 52°C30s, 72°C1.5min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7B678A5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631233D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535</w:t>
            </w:r>
          </w:p>
        </w:tc>
      </w:tr>
      <w:tr w14:paraId="583D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 w14:paraId="39EF7E37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URA5</w:t>
            </w:r>
          </w:p>
          <w:p w14:paraId="5D1C5B4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50" w:type="dxa"/>
            <w:vAlign w:val="center"/>
          </w:tcPr>
          <w:p w14:paraId="480D5D9F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F:ATGTCCTCCCAAGCCCTCGAC R:TTAAGACCTCTGAACACCGTACTC</w:t>
            </w:r>
          </w:p>
          <w:p w14:paraId="47603A7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1380B97F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94°C3min;35cycles: 94°C45s, 63°C1min， 72°C2min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72°C 10min</w:t>
            </w:r>
          </w:p>
          <w:p w14:paraId="3907C24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942" w:type="dxa"/>
            <w:vAlign w:val="center"/>
          </w:tcPr>
          <w:p w14:paraId="5844AD1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601</w:t>
            </w:r>
          </w:p>
        </w:tc>
      </w:tr>
    </w:tbl>
    <w:p w14:paraId="26FC80DD">
      <w:pP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1DB7D6A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8134F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Figure</w:t>
      </w:r>
      <w:r>
        <w:rPr>
          <w:rFonts w:ascii="Times New Roman" w:hAnsi="Times New Roman" w:cs="Times New Roman"/>
          <w:b/>
          <w:bCs/>
          <w:sz w:val="36"/>
          <w:szCs w:val="36"/>
        </w:rPr>
        <w:t>s</w:t>
      </w:r>
    </w:p>
    <w:p w14:paraId="52F0A6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E871D4">
      <w:pPr>
        <w:widowControl w:val="0"/>
        <w:adjustRightInd/>
        <w:snapToGrid/>
        <w:spacing w:before="0" w:after="0" w:line="480" w:lineRule="auto"/>
        <w:ind w:left="0"/>
        <w:jc w:val="both"/>
        <w:outlineLvl w:val="9"/>
        <w:rPr>
          <w:rFonts w:ascii="Arial" w:hAnsi="Arial" w:eastAsia="等线" w:cs="Arial"/>
          <w:i/>
          <w:snapToGrid w:val="0"/>
          <w:color w:val="000000"/>
          <w:kern w:val="2"/>
          <w:sz w:val="21"/>
          <w:szCs w:val="20"/>
          <w:lang w:val="en-US" w:eastAsia="zh-CN" w:bidi="en-US"/>
        </w:rPr>
      </w:pPr>
      <w:r>
        <w:rPr>
          <w:rFonts w:ascii="Arial" w:hAnsi="Arial" w:eastAsia="等线" w:cs="Arial"/>
          <w:i/>
          <w:snapToGrid/>
          <w:color w:val="000000"/>
          <w:kern w:val="2"/>
          <w:sz w:val="21"/>
          <w:szCs w:val="20"/>
          <w:lang w:val="en-US" w:eastAsia="zh-CN" w:bidi="en-US"/>
        </w:rPr>
        <w:drawing>
          <wp:inline distT="0" distB="0" distL="0" distR="0">
            <wp:extent cx="8229600" cy="2244090"/>
            <wp:effectExtent l="0" t="0" r="0" b="3810"/>
            <wp:docPr id="17277213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21369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588D">
      <w:pPr>
        <w:widowControl w:val="0"/>
        <w:adjustRightInd/>
        <w:snapToGrid/>
        <w:spacing w:before="0" w:after="0" w:line="480" w:lineRule="auto"/>
        <w:ind w:left="0"/>
        <w:jc w:val="both"/>
        <w:outlineLvl w:val="9"/>
        <w:rPr>
          <w:rFonts w:ascii="Arial" w:hAnsi="Arial" w:eastAsia="等线" w:cs="Arial"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</w:pP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>Figure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</w:t>
      </w:r>
      <w:r>
        <w:rPr>
          <w:rFonts w:hint="eastAsia"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zh-CN" w:bidi="en-US"/>
        </w:rPr>
        <w:t>S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1. PCR amplification for mating type determination of </w:t>
      </w:r>
      <w:r>
        <w:rPr>
          <w:rFonts w:ascii="Arial" w:hAnsi="Arial" w:eastAsia="等线" w:cs="Arial"/>
          <w:b/>
          <w:bCs/>
          <w:i/>
          <w:iCs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C. neoformans 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clinical isolates. </w:t>
      </w:r>
      <w:r>
        <w:rPr>
          <w:rFonts w:ascii="Arial" w:hAnsi="Arial" w:eastAsia="等线" w:cs="Arial"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 </w:t>
      </w:r>
    </w:p>
    <w:p w14:paraId="1269BF6D">
      <w:pPr>
        <w:widowControl w:val="0"/>
        <w:adjustRightInd/>
        <w:snapToGrid/>
        <w:spacing w:before="0" w:after="0" w:line="480" w:lineRule="auto"/>
        <w:ind w:left="0"/>
        <w:jc w:val="both"/>
        <w:outlineLvl w:val="9"/>
        <w:rPr>
          <w:rFonts w:ascii="Arial" w:hAnsi="Arial" w:eastAsia="等线" w:cs="Arial"/>
          <w:i/>
          <w:snapToGrid w:val="0"/>
          <w:color w:val="000000"/>
          <w:kern w:val="2"/>
          <w:sz w:val="21"/>
          <w:szCs w:val="20"/>
          <w:lang w:val="en-US" w:eastAsia="zh-CN" w:bidi="en-US"/>
        </w:rPr>
      </w:pP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M: DL2000 DNA Marker (fragment sizes: 100 bp, 250 bp, 500 bp, 750 bp, 1000 bp, 2000 bp)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;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Lane 1: </w:t>
      </w:r>
      <w:r>
        <w:rPr>
          <w:rFonts w:ascii="Arial" w:hAnsi="Arial" w:eastAsia="等线" w:cs="Arial"/>
          <w:i/>
          <w:iCs w:val="0"/>
          <w:snapToGrid w:val="0"/>
          <w:color w:val="000000"/>
          <w:kern w:val="2"/>
          <w:sz w:val="21"/>
          <w:szCs w:val="20"/>
          <w:lang w:val="en-US" w:eastAsia="zh-CN" w:bidi="en-US"/>
        </w:rPr>
        <w:t>C. neoformans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H99 (MATα) positive control. Lanes 2–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9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: Clinical isolates tested in this study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(ID: 1061, 701, 705, 850, 864, 908, 1070, 1076)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. Lane 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10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: NTC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(No-template control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: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nuclease-free water)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;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"+" indicates amplification with MATα-specific primers; "-" indicates amplification with MAT</w:t>
      </w:r>
      <w:r>
        <w:rPr>
          <w:rFonts w:hint="eastAsia"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a</w:t>
      </w:r>
      <w:r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  <w:t>-specific primers. The presence of a specific band only in the “+” lanes confirms the α mating type for all isolates.</w:t>
      </w:r>
    </w:p>
    <w:p w14:paraId="748D697F">
      <w:pPr>
        <w:widowControl w:val="0"/>
        <w:adjustRightInd w:val="0"/>
        <w:snapToGrid w:val="0"/>
        <w:spacing w:before="60" w:after="60" w:line="280" w:lineRule="atLeast"/>
        <w:ind w:left="0" w:firstLine="420" w:firstLineChars="200"/>
        <w:jc w:val="both"/>
        <w:outlineLvl w:val="9"/>
        <w:rPr>
          <w:rFonts w:ascii="Arial" w:hAnsi="Arial" w:eastAsia="等线" w:cs="Arial"/>
          <w:i w:val="0"/>
          <w:iCs/>
          <w:snapToGrid w:val="0"/>
          <w:color w:val="000000"/>
          <w:kern w:val="2"/>
          <w:sz w:val="21"/>
          <w:szCs w:val="20"/>
          <w:lang w:val="en-US" w:eastAsia="zh-CN" w:bidi="en-US"/>
        </w:rPr>
      </w:pPr>
      <w:r>
        <w:rPr>
          <w:rFonts w:ascii="Arial" w:hAnsi="Arial" w:eastAsia="等线" w:cs="Arial"/>
          <w:i w:val="0"/>
          <w:iCs/>
          <w:snapToGrid/>
          <w:color w:val="000000"/>
          <w:kern w:val="2"/>
          <w:sz w:val="21"/>
          <w:szCs w:val="20"/>
          <w:lang w:val="en-US" w:eastAsia="zh-CN" w:bidi="en-US"/>
        </w:rPr>
        <w:drawing>
          <wp:inline distT="0" distB="0" distL="0" distR="0">
            <wp:extent cx="4251960" cy="5162550"/>
            <wp:effectExtent l="0" t="0" r="5715" b="0"/>
            <wp:docPr id="22598656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86562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610" cy="51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AE31">
      <w:pPr>
        <w:widowControl w:val="0"/>
        <w:adjustRightInd/>
        <w:snapToGrid/>
        <w:spacing w:before="0" w:after="0" w:line="480" w:lineRule="auto"/>
        <w:ind w:left="0"/>
        <w:jc w:val="both"/>
        <w:outlineLvl w:val="9"/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</w:pP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>Figure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zh-CN" w:bidi="en-US"/>
        </w:rPr>
        <w:t xml:space="preserve"> S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2. Antifungal susceptibility testing of </w:t>
      </w:r>
      <w:r>
        <w:rPr>
          <w:rFonts w:ascii="Arial" w:hAnsi="Arial" w:eastAsia="等线" w:cs="Arial"/>
          <w:b/>
          <w:bCs/>
          <w:i/>
          <w:iCs/>
          <w:snapToGrid w:val="0"/>
          <w:color w:val="000000"/>
          <w:kern w:val="2"/>
          <w:sz w:val="21"/>
          <w:szCs w:val="20"/>
          <w:lang w:val="en-US" w:eastAsia="de-DE" w:bidi="en-US"/>
        </w:rPr>
        <w:t>C. neoformans</w:t>
      </w:r>
      <w:r>
        <w:rPr>
          <w:rFonts w:ascii="Arial" w:hAnsi="Arial" w:eastAsia="等线" w:cs="Arial"/>
          <w:b/>
          <w:bCs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 xml:space="preserve"> strains 1061 and 908 using the ATB FUNGUS 3 kit.</w:t>
      </w:r>
    </w:p>
    <w:p w14:paraId="576871F8">
      <w:pPr>
        <w:widowControl w:val="0"/>
        <w:adjustRightInd/>
        <w:snapToGrid/>
        <w:spacing w:before="0" w:after="0" w:line="480" w:lineRule="auto"/>
        <w:ind w:left="0"/>
        <w:jc w:val="both"/>
        <w:outlineLvl w:val="9"/>
        <w:rPr>
          <w:rFonts w:ascii="Arial" w:hAnsi="Arial" w:eastAsia="等线" w:cs="Arial"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</w:pPr>
      <w:r>
        <w:rPr>
          <w:rFonts w:hint="eastAsia" w:ascii="Arial" w:hAnsi="Arial" w:eastAsia="等线" w:cs="Arial"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>Red solid circles indicate the specific wells of the microtiter plate corresponding to the minimum inhibitory concentration (MIC) of each antifungal agent</w:t>
      </w:r>
      <w:r>
        <w:rPr>
          <w:rFonts w:ascii="Arial" w:hAnsi="Arial" w:eastAsia="等线" w:cs="Arial"/>
          <w:i w:val="0"/>
          <w:snapToGrid w:val="0"/>
          <w:color w:val="000000"/>
          <w:kern w:val="2"/>
          <w:sz w:val="21"/>
          <w:szCs w:val="20"/>
          <w:lang w:val="en-US" w:eastAsia="de-DE" w:bidi="en-US"/>
        </w:rPr>
        <w:t>. Both strains had identical MICs for 5-fluorocytosine (5-FC; ≤4 μg/mL), amphotericin B (AMB; ≤0.5 μg/mL), itraconazole (ITR; ≤0.125 μg/mL), and voriconazole (VCZ; ≤0.06 μg/mL). A difference was observed in fluconazole (FCZ) susceptibility, with MICs ≤1 μg/mL for strain 1061 and 2 μg/mL for strain 908.</w:t>
      </w:r>
    </w:p>
    <w:p w14:paraId="7F281A8B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1"/>
        </w:rPr>
      </w:pPr>
    </w:p>
    <w:p w14:paraId="79AD7C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264ED9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9410B">
    <w:pPr>
      <w:pStyle w:val="2"/>
      <w:rPr>
        <w:color w:val="000000" w:themeColor="text1"/>
        <w14:textFill>
          <w14:solidFill>
            <w14:schemeClr w14:val="tx1"/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FEE75">
                          <w:pPr>
                            <w:pStyle w:val="2"/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FEE75">
                    <w:pPr>
                      <w:pStyle w:val="2"/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WZlMTRkMjRkMWY0OTM5Y2Q3MjkxNTVkYzU3YzMifQ=="/>
  </w:docVars>
  <w:rsids>
    <w:rsidRoot w:val="77714C77"/>
    <w:rsid w:val="003E197A"/>
    <w:rsid w:val="02794227"/>
    <w:rsid w:val="0F046CBD"/>
    <w:rsid w:val="15554512"/>
    <w:rsid w:val="17943185"/>
    <w:rsid w:val="238812B1"/>
    <w:rsid w:val="28FB32A8"/>
    <w:rsid w:val="3A3079D3"/>
    <w:rsid w:val="400D6394"/>
    <w:rsid w:val="57993016"/>
    <w:rsid w:val="620E2B38"/>
    <w:rsid w:val="66B94E34"/>
    <w:rsid w:val="6717752F"/>
    <w:rsid w:val="672216E7"/>
    <w:rsid w:val="6E315A41"/>
    <w:rsid w:val="77714C77"/>
    <w:rsid w:val="781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586</Words>
  <Characters>3861</Characters>
  <Lines>0</Lines>
  <Paragraphs>0</Paragraphs>
  <TotalTime>4</TotalTime>
  <ScaleCrop>false</ScaleCrop>
  <LinksUpToDate>false</LinksUpToDate>
  <CharactersWithSpaces>4320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2024-07-02T02:19:00Z</dcterms:created>
  <dc:creator>虎头宋宋、</dc:creator>
  <cp:lastModifiedBy>simple</cp:lastModifiedBy>
  <dcterms:modified xsi:type="dcterms:W3CDTF">2026-03-18T15:45:49Z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8C920590E71944CC90A4DA3CEF7916FB_13</vt:lpwstr>
  </property>
  <property fmtid="{D5CDD505-2E9C-101B-9397-08002B2CF9AE}" pid="4" name="KSOTemplateDocerSaveRecord">
    <vt:lpwstr>eyJoZGlkIjoiMzEwNTM5NzYwMDRjMzkwZTVkZjY2ODkwMGIxNGU0OTUiLCJ1c2VySWQiOiI2NDM1NzcwNjkifQ==</vt:lpwstr>
  </property>
</Properties>
</file>