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B8A7A">
      <w:pPr>
        <w:snapToGrid w:val="0"/>
        <w:spacing w:line="480" w:lineRule="auto"/>
        <w:rPr>
          <w:rFonts w:hint="eastAsia" w:ascii="Arial" w:hAnsi="Arial" w:cs="Arial"/>
          <w:b/>
          <w:bCs/>
          <w:szCs w:val="21"/>
          <w14:ligatures w14:val="standardContextual"/>
        </w:rPr>
      </w:pPr>
      <w:r>
        <w:rPr>
          <w:rFonts w:hint="eastAsia" w:ascii="Arial" w:hAnsi="Arial" w:cs="Arial"/>
          <w:b/>
          <w:bCs/>
          <w:szCs w:val="21"/>
          <w14:ligatures w14:val="standardContextual"/>
        </w:rPr>
        <w:t>Supplementary Information for</w:t>
      </w:r>
    </w:p>
    <w:p w14:paraId="07017F70">
      <w:pPr>
        <w:snapToGrid w:val="0"/>
        <w:spacing w:line="480" w:lineRule="auto"/>
        <w:rPr>
          <w:rFonts w:hint="eastAsia" w:ascii="Arial" w:hAnsi="Arial" w:cs="Arial"/>
          <w:b w:val="0"/>
          <w:bCs w:val="0"/>
          <w:szCs w:val="21"/>
          <w14:ligatures w14:val="standardContextual"/>
        </w:rPr>
      </w:pPr>
      <w:r>
        <w:rPr>
          <w:rFonts w:hint="eastAsia" w:ascii="Arial" w:hAnsi="Arial" w:cs="Arial"/>
          <w:b w:val="0"/>
          <w:bCs w:val="0"/>
          <w:szCs w:val="21"/>
          <w14:ligatures w14:val="standardContextual"/>
        </w:rPr>
        <w:t>Yin-Hua Li-Shi Formula Exerts Anti-Atopic Dermatitis Effects Through Luteolin Targeting AKT/MAPK-IL-6/IL-17 Axis</w:t>
      </w:r>
    </w:p>
    <w:p w14:paraId="17B13A1B">
      <w:pPr>
        <w:rPr>
          <w:rFonts w:hint="eastAsia" w:ascii="Arial" w:hAnsi="Arial" w:cs="Arial"/>
          <w:b w:val="0"/>
          <w:bCs w:val="0"/>
          <w:szCs w:val="21"/>
          <w14:ligatures w14:val="standardContextual"/>
        </w:rPr>
      </w:pPr>
      <w:r>
        <w:rPr>
          <w:rFonts w:hint="eastAsia" w:ascii="Arial" w:hAnsi="Arial" w:cs="Arial"/>
          <w:b w:val="0"/>
          <w:bCs w:val="0"/>
          <w:szCs w:val="21"/>
          <w14:ligatures w14:val="standardContextual"/>
        </w:rPr>
        <w:br w:type="page"/>
      </w:r>
    </w:p>
    <w:p w14:paraId="485E649F">
      <w:pPr>
        <w:snapToGrid w:val="0"/>
        <w:spacing w:line="480" w:lineRule="auto"/>
        <w:rPr>
          <w:rFonts w:hint="eastAsia" w:ascii="Arial" w:hAnsi="Arial" w:cs="Arial" w:eastAsiaTheme="minorEastAsia"/>
          <w:b/>
          <w:bCs/>
          <w:szCs w:val="21"/>
          <w:lang w:val="en-US" w:eastAsia="zh-CN"/>
          <w14:ligatures w14:val="standardContextual"/>
        </w:rPr>
      </w:pPr>
      <w:r>
        <w:rPr>
          <w:rFonts w:hint="default" w:ascii="Arial" w:hAnsi="Arial" w:cs="Arial"/>
          <w:b/>
          <w:bCs/>
          <w:szCs w:val="21"/>
          <w14:ligatures w14:val="standardContextual"/>
        </w:rPr>
        <w:t>Table S1</w:t>
      </w:r>
      <w:r>
        <w:rPr>
          <w:rFonts w:hint="eastAsia" w:ascii="Arial" w:hAnsi="Arial" w:cs="Arial"/>
          <w:b/>
          <w:bCs/>
          <w:szCs w:val="21"/>
          <w:lang w:val="en-US" w:eastAsia="zh-CN"/>
          <w14:ligatures w14:val="standardContextual"/>
        </w:rPr>
        <w:t xml:space="preserve"> Detailed UPLC-MS/MS parameters.</w:t>
      </w:r>
      <w:bookmarkStart w:id="0" w:name="_GoBack"/>
      <w:bookmarkEnd w:id="0"/>
    </w:p>
    <w:tbl>
      <w:tblPr>
        <w:tblW w:w="1028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3960"/>
        <w:gridCol w:w="2680"/>
        <w:gridCol w:w="688"/>
      </w:tblGrid>
      <w:tr w14:paraId="14F6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B5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Part I. Instrumentation and Reagents</w:t>
            </w:r>
          </w:p>
        </w:tc>
      </w:tr>
      <w:tr w14:paraId="6DEA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7BE5F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39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7E741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Specification/Model</w:t>
            </w: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56130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Manufacturer/Brand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079F2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A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0B4CA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UPLC System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C11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ACQUITY UPLC I-Class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AD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Waters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079C5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1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1EF5E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 Spectrometer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AD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Thermo Orbitrap QE HF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556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Thermo Fisher Scientific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7EA80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D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5F96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Chromatographic Column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16E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ACQUITY UPLC HSS T3 column (1.8 µm, 2.1 × 100 mm)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F9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Waters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D6463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8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3CA02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Methanol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106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LC-MS Grade (Cat. No.: A452-4)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526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Thermo Fisher Scientific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218C2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7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596AB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Acetonitrile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41A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LC-MS Grade (Cat. No.: A998-4)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998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Thermo Fisher Scientific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B0BF9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B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1FB5D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Formic Acid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8EE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LC-MS Grade (Cat. No.: A117-50)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C1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Thermo Fisher Scientific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79084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4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B9C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Water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A6D1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Ultrapure Water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8C50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In-house preparation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8F4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B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A7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Part II. Chromatographic Conditions (UPLC)</w:t>
            </w:r>
          </w:p>
        </w:tc>
      </w:tr>
      <w:tr w14:paraId="0027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51626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Parameter</w:t>
            </w:r>
          </w:p>
        </w:tc>
        <w:tc>
          <w:tcPr>
            <w:tcW w:w="39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3442E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</w:t>
            </w: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5A5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7D6D4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0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2C15A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Mobile Phase 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D0F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Water (with 0.1% formic acid, v/v)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507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3F87E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B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6360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Mobile Phase B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5AD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Acetonitrile (with 0.1% formic acid, v/v)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5AF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C69FE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3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6766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Gradient Program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0FE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Time (min)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AF3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A%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11D7D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B%</w:t>
            </w:r>
          </w:p>
        </w:tc>
      </w:tr>
      <w:tr w14:paraId="3F4E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1DCC18E8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FD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1AD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1FAD4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6A8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060FFA13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CDD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526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540FD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FF6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07E1D497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B43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2E4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5D7F9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946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283006FE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33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589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47EDA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36B2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75A12F23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133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DB8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0E4A1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4BC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7B7BE27A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6F8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9E4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363E5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F01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04324610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AD5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9D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223C4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DDC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3FD938EE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C4A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72A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45846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63D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4941F84F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83A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48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0BE3F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E4E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518C4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Flow Rate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C4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0.35mL/min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A43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DEB67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A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49AC4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Column Temperature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649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℃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40F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CC1A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4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526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Injection Volume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0046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2μL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419B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E2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3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A5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Part III. Mass Spectrometric Conditions (MS/MS)</w:t>
            </w:r>
          </w:p>
        </w:tc>
      </w:tr>
      <w:tr w14:paraId="4801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67D70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Parameter</w:t>
            </w:r>
          </w:p>
        </w:tc>
        <w:tc>
          <w:tcPr>
            <w:tcW w:w="39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240D9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Ion Mode (ESI+)</w:t>
            </w: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53236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Ion Mode (ESI-)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8A439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E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66623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Spray Voltage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983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3800V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66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-3200V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5BF1E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A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41836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Capillary Temperature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6D8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320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℃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78C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℃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E2D88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F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575C0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Sheath Gas Flow Rate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032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35Arb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29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35Arb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7A56A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1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430C1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Auxiliary Gas Flow Rate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111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8Arb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11A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8Arb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A6363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5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66DA2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Full Scan Range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1AE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m/z 100-1500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C5C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m/z 100-1500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76AD4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D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55903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Full MS Resolution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1C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60,000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B2E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60,000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758A9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6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14580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MS/MS Resolution (HCD)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4B3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15,000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A74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15,000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CE6FE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2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5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0D1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Collision Energy (HCD, NCE)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FBFC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10, 20, 40 eV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3000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10, 20, 40 eV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AB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AB9B7D8">
      <w:pPr>
        <w:snapToGrid w:val="0"/>
        <w:spacing w:line="480" w:lineRule="auto"/>
        <w:rPr>
          <w:rFonts w:hint="default" w:ascii="Arial" w:hAnsi="Arial" w:cs="Arial"/>
          <w:b/>
          <w:bCs/>
          <w:szCs w:val="21"/>
          <w14:ligatures w14:val="standardContextual"/>
        </w:rPr>
      </w:pPr>
    </w:p>
    <w:sectPr>
      <w:pgSz w:w="12240" w:h="15840"/>
      <w:pgMar w:top="1378" w:right="1700" w:bottom="278" w:left="1680" w:header="720" w:footer="720" w:gutter="0"/>
      <w:lnNumType w:countBy="1" w:restart="continuous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32A78"/>
    <w:rsid w:val="55B55D4B"/>
    <w:rsid w:val="764E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2024-02-28T01:10:00Z</dcterms:created>
  <dc:creator>wangx</dc:creator>
  <cp:lastModifiedBy>烛火和枫叶</cp:lastModifiedBy>
  <dcterms:modified xsi:type="dcterms:W3CDTF">2026-02-08T06:41:26Z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D985E6C08FA94868A3658BF36A8F3CD2_12</vt:lpwstr>
  </property>
  <property fmtid="{D5CDD505-2E9C-101B-9397-08002B2CF9AE}" pid="4" name="KSOTemplateDocerSaveRecord">
    <vt:lpwstr>eyJoZGlkIjoiNDZhZTM0OTQzZmM4ZjJjOWU5ZmNhMzIwMjEwOGIxMDUiLCJ1c2VySWQiOiIyMDQ2NDM2NjQifQ==</vt:lpwstr>
  </property>
</Properties>
</file>