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BBAF7">
      <w:pPr>
        <w:pStyle w:val="2"/>
        <w:keepLines w:val="0"/>
        <w:spacing w:before="240" w:after="60" w:line="480" w:lineRule="auto"/>
        <w:rPr>
          <w:rFonts w:hint="default" w:ascii="Arial" w:hAnsi="Arial" w:eastAsia="Times New Roman" w:cs="Arial"/>
          <w:b/>
          <w:bCs/>
          <w:color w:val="auto"/>
          <w:kern w:val="32"/>
          <w:sz w:val="32"/>
          <w:szCs w:val="32"/>
          <w:lang w:val="en-US" w:eastAsia="zh-CN"/>
        </w:rPr>
      </w:pPr>
      <w:r>
        <w:rPr>
          <w:rFonts w:hint="default" w:ascii="Arial" w:hAnsi="Arial" w:eastAsia="Times New Roman" w:cs="Arial"/>
          <w:b/>
          <w:bCs/>
          <w:color w:val="auto"/>
          <w:kern w:val="32"/>
          <w:sz w:val="32"/>
          <w:szCs w:val="32"/>
          <w:lang w:val="en-US" w:eastAsia="zh-CN"/>
        </w:rPr>
        <w:t>Supplementary Material</w:t>
      </w:r>
    </w:p>
    <w:p w14:paraId="2A39812D">
      <w:pPr>
        <w:pStyle w:val="3"/>
        <w:keepLines w:val="0"/>
        <w:spacing w:before="240" w:after="60" w:line="480" w:lineRule="auto"/>
        <w:rPr>
          <w:rFonts w:hint="default" w:ascii="Arial" w:hAnsi="Arial" w:eastAsia="Times New Roman" w:cs="Arial"/>
          <w:b/>
          <w:bCs/>
          <w:i/>
          <w:iCs/>
          <w:color w:val="auto"/>
          <w:sz w:val="28"/>
          <w:szCs w:val="28"/>
          <w:lang w:val="en-US" w:eastAsia="en-US"/>
        </w:rPr>
      </w:pPr>
      <w:r>
        <w:rPr>
          <w:rFonts w:hint="default" w:ascii="Arial" w:hAnsi="Arial" w:eastAsia="Times New Roman" w:cs="Arial"/>
          <w:b/>
          <w:bCs/>
          <w:i/>
          <w:iCs/>
          <w:color w:val="auto"/>
          <w:sz w:val="28"/>
          <w:szCs w:val="28"/>
          <w:lang w:val="en-US" w:eastAsia="en-US"/>
        </w:rPr>
        <w:t>Supplementary Appendix 1. Overview of survey domains and example items</w:t>
      </w:r>
    </w:p>
    <w:p w14:paraId="33BD09FC"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/>
        <w:textAlignment w:val="auto"/>
        <w:rPr>
          <w:rFonts w:hint="default" w:ascii="Arial" w:hAnsi="Arial" w:cs="Arial"/>
          <w:color w:val="auto"/>
          <w:sz w:val="20"/>
          <w:szCs w:val="20"/>
        </w:rPr>
      </w:pPr>
      <w:r>
        <w:rPr>
          <w:rFonts w:hint="default" w:ascii="Arial" w:hAnsi="Arial" w:cs="Arial"/>
          <w:color w:val="auto"/>
          <w:sz w:val="20"/>
          <w:szCs w:val="20"/>
          <w:lang w:val="en-US" w:eastAsia="zh-CN"/>
        </w:rPr>
        <w:t>Supplementary</w:t>
      </w:r>
      <w:r>
        <w:rPr>
          <w:rFonts w:hint="eastAsia" w:ascii="Arial" w:hAnsi="Arial" w:cs="Arial"/>
          <w:color w:val="auto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color w:val="auto"/>
          <w:sz w:val="20"/>
          <w:szCs w:val="20"/>
        </w:rPr>
        <w:t>Appendix 1 provides an overview of the major domains of the Geriatric‑Focused Vascular ERAS Nursing Pra</w:t>
      </w:r>
      <w:bookmarkStart w:id="0" w:name="_GoBack"/>
      <w:bookmarkEnd w:id="0"/>
      <w:r>
        <w:rPr>
          <w:rFonts w:hint="default" w:ascii="Arial" w:hAnsi="Arial" w:cs="Arial"/>
          <w:color w:val="auto"/>
          <w:sz w:val="20"/>
          <w:szCs w:val="20"/>
        </w:rPr>
        <w:t>ctices Questionnaire and illustrates how these domains were mapped to ERAS guideline recommendations. The table is designed to demonstrate the linkage between specific guideline statements and nurse‑reported items.</w:t>
      </w:r>
    </w:p>
    <w:p w14:paraId="6D236662">
      <w:pPr>
        <w:widowControl w:val="0"/>
        <w:spacing w:after="0" w:line="480" w:lineRule="auto"/>
        <w:rPr>
          <w:rFonts w:hint="default" w:ascii="Arial" w:hAnsi="Arial" w:eastAsia="Times New Roman" w:cs="Arial"/>
          <w:b w:val="0"/>
          <w:bCs w:val="0"/>
          <w:color w:val="auto"/>
          <w:sz w:val="20"/>
        </w:rPr>
      </w:pPr>
      <w:r>
        <w:rPr>
          <w:rFonts w:hint="default" w:ascii="Arial" w:hAnsi="Arial" w:eastAsia="Times New Roman" w:cs="Arial"/>
          <w:b/>
          <w:bCs/>
          <w:color w:val="auto"/>
          <w:sz w:val="20"/>
          <w:lang w:val="en-US" w:eastAsia="zh-CN"/>
        </w:rPr>
        <w:t>Supplementary</w:t>
      </w:r>
      <w:r>
        <w:rPr>
          <w:rFonts w:hint="eastAsia" w:ascii="Arial" w:hAnsi="Arial" w:eastAsia="Times New Roman" w:cs="Arial"/>
          <w:b/>
          <w:bCs/>
          <w:color w:val="auto"/>
          <w:sz w:val="20"/>
          <w:lang w:val="en-US" w:eastAsia="zh-CN"/>
        </w:rPr>
        <w:t xml:space="preserve"> </w:t>
      </w:r>
      <w:r>
        <w:rPr>
          <w:rFonts w:hint="default" w:ascii="Arial" w:hAnsi="Arial" w:eastAsia="Times New Roman" w:cs="Arial"/>
          <w:b/>
          <w:bCs/>
          <w:color w:val="auto"/>
          <w:sz w:val="20"/>
        </w:rPr>
        <w:t xml:space="preserve">Table </w:t>
      </w:r>
      <w:r>
        <w:rPr>
          <w:rFonts w:hint="eastAsia" w:ascii="Arial" w:hAnsi="Arial" w:eastAsia="宋体" w:cs="Arial"/>
          <w:b/>
          <w:bCs/>
          <w:color w:val="auto"/>
          <w:sz w:val="20"/>
          <w:lang w:val="en-US" w:eastAsia="zh-CN"/>
        </w:rPr>
        <w:t>S</w:t>
      </w:r>
      <w:r>
        <w:rPr>
          <w:rFonts w:hint="default" w:ascii="Arial" w:hAnsi="Arial" w:eastAsia="Times New Roman" w:cs="Arial"/>
          <w:b/>
          <w:bCs/>
          <w:color w:val="auto"/>
          <w:sz w:val="20"/>
        </w:rPr>
        <w:t xml:space="preserve">1: </w:t>
      </w:r>
      <w:r>
        <w:rPr>
          <w:rFonts w:hint="default" w:ascii="Arial" w:hAnsi="Arial" w:eastAsia="Times New Roman" w:cs="Arial"/>
          <w:b w:val="0"/>
          <w:bCs w:val="0"/>
          <w:color w:val="auto"/>
          <w:sz w:val="20"/>
        </w:rPr>
        <w:t>Survey domains and example items mapped to ERAS recommendations</w:t>
      </w:r>
    </w:p>
    <w:p w14:paraId="7D91E973"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/>
        <w:textAlignment w:val="auto"/>
        <w:rPr>
          <w:rFonts w:hint="default" w:ascii="Arial" w:hAnsi="Arial" w:cs="Arial"/>
          <w:b/>
          <w:bCs/>
          <w:color w:val="auto"/>
          <w:sz w:val="20"/>
          <w:szCs w:val="20"/>
        </w:rPr>
        <w:sectPr>
          <w:footerReference r:id="rId4" w:type="default"/>
          <w:pgSz w:w="11906" w:h="16838"/>
          <w:pgMar w:top="1440" w:right="1800" w:bottom="1440" w:left="1800" w:header="851" w:footer="992" w:gutter="0"/>
          <w:lnNumType w:countBy="1" w:restart="continuous"/>
          <w:cols w:space="425" w:num="1"/>
          <w:docGrid w:type="lines" w:linePitch="312" w:charSpace="0"/>
        </w:sectPr>
      </w:pPr>
    </w:p>
    <w:p w14:paraId="30519415"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/>
        <w:textAlignment w:val="auto"/>
        <w:rPr>
          <w:rFonts w:hint="default" w:ascii="Arial" w:hAnsi="Arial" w:cs="Arial"/>
          <w:b/>
          <w:bCs/>
          <w:color w:val="auto"/>
          <w:sz w:val="20"/>
          <w:szCs w:val="20"/>
        </w:rPr>
      </w:pP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7"/>
        <w:gridCol w:w="3363"/>
        <w:gridCol w:w="3587"/>
        <w:gridCol w:w="3089"/>
      </w:tblGrid>
      <w:tr w14:paraId="6AA19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0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693E6D1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Domain</w:t>
            </w:r>
          </w:p>
        </w:tc>
        <w:tc>
          <w:tcPr>
            <w:tcW w:w="1276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4F56BA0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ERAS/SVS recommendation (simplified)</w:t>
            </w:r>
          </w:p>
        </w:tc>
        <w:tc>
          <w:tcPr>
            <w:tcW w:w="1361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0FEA962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Example nurse‑level item (Chinese questionnaire)</w:t>
            </w:r>
          </w:p>
        </w:tc>
        <w:tc>
          <w:tcPr>
            <w:tcW w:w="1172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5E24AB7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Response scale</w:t>
            </w:r>
          </w:p>
        </w:tc>
      </w:tr>
      <w:tr w14:paraId="5B202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3B49EA8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Preoperative education and optimisation</w:t>
            </w:r>
          </w:p>
        </w:tc>
        <w:tc>
          <w:tcPr>
            <w:tcW w:w="127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4FDF321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Provide structured counselling regarding procedure, risks, benefits, and recovery expectations for open aortic surgery</w:t>
            </w:r>
          </w:p>
        </w:tc>
        <w:tc>
          <w:tcPr>
            <w:tcW w:w="1361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0F306B3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“For patients aged 65 years and older undergoing open or hybrid aortic surgery, I provide or reinforce structured verbal and written information about the procedure and expected recovery.”</w:t>
            </w:r>
          </w:p>
        </w:tc>
        <w:tc>
          <w:tcPr>
            <w:tcW w:w="117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4C0AF2C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5‑point frequency (never–always)</w:t>
            </w:r>
          </w:p>
        </w:tc>
      </w:tr>
      <w:tr w14:paraId="196DD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2D88E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Frailty and cognitive/delirium risk assessment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18631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Assess frailty and cognitive status preoperatively and consider in planning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3D210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“In my unit, older vascular patients are routinely assessed for frailty (for example, using a structured tool or documented clinical judgement) before surgery.”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62C92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5‑point frequency (never–always)</w:t>
            </w:r>
          </w:p>
        </w:tc>
      </w:tr>
      <w:tr w14:paraId="2408D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CB9E7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Intraoperative and PACU nursing care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8FA62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Maintain normothermia and support multimodal, opioid‑sparing analgesia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3258A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“During and immediately after surgery, I actively monitor and maintain patients’ body temperature using warming devices according to protocol.”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C25B0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5‑point frequency (never–always)</w:t>
            </w:r>
          </w:p>
        </w:tc>
      </w:tr>
      <w:tr w14:paraId="11100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643FE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Postoperative ward‑based care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D7A65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Promote early mobilisation, early oral intake and prevention of postoperative delirium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2D6A5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“On the first day after surgery, I encourage medically stable older patients to sit out of bed and begin walking with assistance.”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46BE7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5‑point frequency (never–always)</w:t>
            </w:r>
          </w:p>
        </w:tc>
      </w:tr>
      <w:tr w14:paraId="64186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A2F1F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Discharge planning and transitional care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AB81D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Provide structured discharge information and coordinate follow‑up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6543C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“Before discharge, I provide older vascular patients and their family members with clear instructions about wound care, medication adherence and when to seek urgent help.”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C5748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5‑point frequency (never–always)</w:t>
            </w:r>
          </w:p>
        </w:tc>
      </w:tr>
      <w:tr w14:paraId="5A961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B9214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Geriatric‑focused ERAS elements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BCB37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Adapt ERAS to frail and cognitively impaired patients, involve caregivers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138E5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“When caring for frail or cognitively impaired older vascular patients, I involve family caregivers in planning and explaining postoperative care and rehabilitation.”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63B60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5‑point frequency (never–always)</w:t>
            </w:r>
          </w:p>
        </w:tc>
      </w:tr>
      <w:tr w14:paraId="0A274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7FB86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Attitudes and perceived tailoring</w:t>
            </w:r>
          </w:p>
        </w:tc>
        <w:tc>
          <w:tcPr>
            <w:tcW w:w="12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F3E60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Adapt ERAS pathways to older and frail populations</w:t>
            </w: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2A683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“Our hospital’s ERAS pathway is adequately adapted to the needs of frail older vascular patients.”</w:t>
            </w:r>
          </w:p>
        </w:tc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BA60E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5‑point agreement (strongly disagree–strongly agree)</w:t>
            </w:r>
          </w:p>
        </w:tc>
      </w:tr>
      <w:tr w14:paraId="523A7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515E379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Barriers and facilitators</w:t>
            </w:r>
          </w:p>
        </w:tc>
        <w:tc>
          <w:tcPr>
            <w:tcW w:w="1276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5DD365E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Ensure adequate staffing, training and resources to support ERAS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3F32C23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“Limited nurse staffing in my unit makes it difficult to implement early mobilisation for older vascular patients.”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3091FC9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textAlignment w:val="auto"/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hint="default" w:ascii="Arial" w:hAnsi="Arial" w:cs="Arial"/>
                <w:b w:val="0"/>
                <w:color w:val="auto"/>
                <w:sz w:val="20"/>
                <w:szCs w:val="20"/>
              </w:rPr>
              <w:t>4‑point barrier scale (not a barrier–major barrier)</w:t>
            </w:r>
          </w:p>
        </w:tc>
      </w:tr>
    </w:tbl>
    <w:p w14:paraId="50523019"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/>
        <w:textAlignment w:val="auto"/>
        <w:rPr>
          <w:rFonts w:hint="default" w:ascii="Arial" w:hAnsi="Arial" w:cs="Arial"/>
          <w:b/>
          <w:bCs/>
          <w:color w:val="auto"/>
          <w:sz w:val="20"/>
          <w:szCs w:val="20"/>
        </w:rPr>
        <w:sectPr>
          <w:pgSz w:w="15840" w:h="12240" w:orient="landscape"/>
          <w:pgMar w:top="1800" w:right="1440" w:bottom="1800" w:left="1440" w:header="720" w:footer="720" w:gutter="0"/>
          <w:lnNumType w:countBy="1" w:restart="continuous"/>
          <w:pgNumType w:fmt="decimal" w:start="1"/>
          <w:cols w:space="720" w:num="1"/>
        </w:sectPr>
      </w:pPr>
    </w:p>
    <w:p w14:paraId="2D380EB0"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/>
        <w:textAlignment w:val="auto"/>
        <w:rPr>
          <w:rFonts w:hint="default" w:ascii="Arial" w:hAnsi="Arial" w:eastAsia="宋体" w:cs="Arial"/>
          <w:color w:val="auto"/>
          <w:sz w:val="20"/>
          <w:szCs w:val="20"/>
          <w:lang w:eastAsia="zh-CN"/>
        </w:rPr>
      </w:pPr>
    </w:p>
    <w:p w14:paraId="7AD6EEE3">
      <w:pPr>
        <w:rPr>
          <w:color w:val="auto"/>
        </w:rPr>
      </w:pPr>
    </w:p>
    <w:p w14:paraId="288C0712"/>
    <w:sectPr>
      <w:lnNumType w:countBy="1" w:restart="continuous"/>
      <w:pgNumType w:fmt="decimal" w:start="1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1">
      <wne:macro wne:macroName="MATHTYPECOMMANDS.UILIB.MTCOMMAND_INSERTINLINEEQN"/>
    </wne:keymap>
    <wne:keymap wne:kcmPrimary="0451">
      <wne:macro wne:macroName="MATHTYPECOMMANDS.UILIB.MTCOMMAND_INSERTDISPEQN"/>
    </wne:keymap>
    <wne:keymap wne:kcmPrimary="0551">
      <wne:macro wne:macroName="MATHTYPECOMMANDS.UILIB.MTCOMMAND_INSERTRIGHTNUMBEREDDISPEQN"/>
    </wne:keymap>
    <wne:keymap wne:kcmPrimary="0751">
      <wne:macro wne:macroName="MATHTYPECOMMANDS.UILIB.MTCOMMAND_INSERTLEFTNUMBEREDDISPEQN"/>
    </wne:keymap>
    <wne:keymap wne:kcmPrimary="04DC">
      <wne:macro wne:macroName="MATHTYPECOMMANDS.UILIB.MTCOMMAND_TEXTOGGLE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EE09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898F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C898F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B146F"/>
    <w:rsid w:val="008F118C"/>
    <w:rsid w:val="00DC2F77"/>
    <w:rsid w:val="01797E36"/>
    <w:rsid w:val="01812466"/>
    <w:rsid w:val="0207465D"/>
    <w:rsid w:val="03583858"/>
    <w:rsid w:val="03AC683A"/>
    <w:rsid w:val="043C185E"/>
    <w:rsid w:val="055C132D"/>
    <w:rsid w:val="05AD1BE9"/>
    <w:rsid w:val="06144AFE"/>
    <w:rsid w:val="06AA11A6"/>
    <w:rsid w:val="07724E37"/>
    <w:rsid w:val="080A5EB3"/>
    <w:rsid w:val="08171C81"/>
    <w:rsid w:val="08535CDD"/>
    <w:rsid w:val="09B253B3"/>
    <w:rsid w:val="09D7281A"/>
    <w:rsid w:val="09EC76B2"/>
    <w:rsid w:val="0A084923"/>
    <w:rsid w:val="0A5645F9"/>
    <w:rsid w:val="0B975F66"/>
    <w:rsid w:val="0BF53262"/>
    <w:rsid w:val="0C230DF6"/>
    <w:rsid w:val="0D2A390A"/>
    <w:rsid w:val="0D672AD6"/>
    <w:rsid w:val="101E2C47"/>
    <w:rsid w:val="10C26667"/>
    <w:rsid w:val="11200211"/>
    <w:rsid w:val="11351A81"/>
    <w:rsid w:val="11357601"/>
    <w:rsid w:val="115D157E"/>
    <w:rsid w:val="120E3219"/>
    <w:rsid w:val="1273662A"/>
    <w:rsid w:val="12974472"/>
    <w:rsid w:val="12B15EBF"/>
    <w:rsid w:val="14161A7F"/>
    <w:rsid w:val="14B628CB"/>
    <w:rsid w:val="151205FC"/>
    <w:rsid w:val="1527064A"/>
    <w:rsid w:val="15A3750D"/>
    <w:rsid w:val="16231107"/>
    <w:rsid w:val="169E2657"/>
    <w:rsid w:val="16CD7683"/>
    <w:rsid w:val="16DB5005"/>
    <w:rsid w:val="171C7C58"/>
    <w:rsid w:val="17405F0E"/>
    <w:rsid w:val="1761330E"/>
    <w:rsid w:val="177B16DD"/>
    <w:rsid w:val="18816E4A"/>
    <w:rsid w:val="18C80E97"/>
    <w:rsid w:val="19FB5FCA"/>
    <w:rsid w:val="1A3232A2"/>
    <w:rsid w:val="1A371C81"/>
    <w:rsid w:val="1A6F3939"/>
    <w:rsid w:val="1A6F5B8C"/>
    <w:rsid w:val="1B66485B"/>
    <w:rsid w:val="1D064CC4"/>
    <w:rsid w:val="1D7B7E7D"/>
    <w:rsid w:val="1E2A686E"/>
    <w:rsid w:val="1FF72DF1"/>
    <w:rsid w:val="22B90479"/>
    <w:rsid w:val="25653D41"/>
    <w:rsid w:val="271D5736"/>
    <w:rsid w:val="283B343B"/>
    <w:rsid w:val="28653C18"/>
    <w:rsid w:val="28F3548C"/>
    <w:rsid w:val="294644ED"/>
    <w:rsid w:val="2A081D55"/>
    <w:rsid w:val="2B0003EE"/>
    <w:rsid w:val="2B0913DF"/>
    <w:rsid w:val="2B144608"/>
    <w:rsid w:val="2B8B5D4D"/>
    <w:rsid w:val="2D5F4DF5"/>
    <w:rsid w:val="2DA32C44"/>
    <w:rsid w:val="2DB463C6"/>
    <w:rsid w:val="2E1A0F93"/>
    <w:rsid w:val="2E4D2601"/>
    <w:rsid w:val="2E620EB2"/>
    <w:rsid w:val="2E671B3F"/>
    <w:rsid w:val="2E69352F"/>
    <w:rsid w:val="2E7438E5"/>
    <w:rsid w:val="2EB23FFA"/>
    <w:rsid w:val="2F343CF1"/>
    <w:rsid w:val="2FB606EF"/>
    <w:rsid w:val="300D7777"/>
    <w:rsid w:val="309A0DD7"/>
    <w:rsid w:val="31DE7B44"/>
    <w:rsid w:val="329C4952"/>
    <w:rsid w:val="336010C7"/>
    <w:rsid w:val="34544A3A"/>
    <w:rsid w:val="35BE5615"/>
    <w:rsid w:val="35CE5B68"/>
    <w:rsid w:val="36942078"/>
    <w:rsid w:val="37066B72"/>
    <w:rsid w:val="380B04EE"/>
    <w:rsid w:val="38BB60E9"/>
    <w:rsid w:val="3AAF2BC8"/>
    <w:rsid w:val="3ABF6737"/>
    <w:rsid w:val="3B095CAB"/>
    <w:rsid w:val="3B802E05"/>
    <w:rsid w:val="3C4B19ED"/>
    <w:rsid w:val="3D0B60E4"/>
    <w:rsid w:val="3D9C74D5"/>
    <w:rsid w:val="3F843BD8"/>
    <w:rsid w:val="411325AE"/>
    <w:rsid w:val="414E0F67"/>
    <w:rsid w:val="42065DF1"/>
    <w:rsid w:val="42AA26AE"/>
    <w:rsid w:val="430C669E"/>
    <w:rsid w:val="430E47FE"/>
    <w:rsid w:val="43864330"/>
    <w:rsid w:val="44ED0CA8"/>
    <w:rsid w:val="45A904E0"/>
    <w:rsid w:val="46BB3E4F"/>
    <w:rsid w:val="46C97C03"/>
    <w:rsid w:val="47B40579"/>
    <w:rsid w:val="47B83392"/>
    <w:rsid w:val="47E45662"/>
    <w:rsid w:val="486D14F5"/>
    <w:rsid w:val="48B32B2A"/>
    <w:rsid w:val="494644D7"/>
    <w:rsid w:val="498C7B7B"/>
    <w:rsid w:val="4A6435BD"/>
    <w:rsid w:val="4BF20C5B"/>
    <w:rsid w:val="4C760FD5"/>
    <w:rsid w:val="4E880A8C"/>
    <w:rsid w:val="4EDF5E72"/>
    <w:rsid w:val="50374C6C"/>
    <w:rsid w:val="504D0EFB"/>
    <w:rsid w:val="511A43D2"/>
    <w:rsid w:val="51267057"/>
    <w:rsid w:val="513A6CF7"/>
    <w:rsid w:val="51A230F7"/>
    <w:rsid w:val="5203021C"/>
    <w:rsid w:val="52217B24"/>
    <w:rsid w:val="53041A34"/>
    <w:rsid w:val="53B45BDE"/>
    <w:rsid w:val="54324007"/>
    <w:rsid w:val="5527578A"/>
    <w:rsid w:val="558F6A58"/>
    <w:rsid w:val="56487BA0"/>
    <w:rsid w:val="570001EC"/>
    <w:rsid w:val="577F4757"/>
    <w:rsid w:val="585D5E5B"/>
    <w:rsid w:val="592B3838"/>
    <w:rsid w:val="5A185B07"/>
    <w:rsid w:val="5BE93161"/>
    <w:rsid w:val="5BFA528F"/>
    <w:rsid w:val="5C182FA3"/>
    <w:rsid w:val="5C947FB9"/>
    <w:rsid w:val="5D092F30"/>
    <w:rsid w:val="5D3E611E"/>
    <w:rsid w:val="5DB7126E"/>
    <w:rsid w:val="5E633BD0"/>
    <w:rsid w:val="60AE7FB9"/>
    <w:rsid w:val="60CE765A"/>
    <w:rsid w:val="611D1171"/>
    <w:rsid w:val="61526F7D"/>
    <w:rsid w:val="615C1FED"/>
    <w:rsid w:val="6288488F"/>
    <w:rsid w:val="642B3519"/>
    <w:rsid w:val="64AA5E21"/>
    <w:rsid w:val="65CB2187"/>
    <w:rsid w:val="66C37B75"/>
    <w:rsid w:val="67307F6C"/>
    <w:rsid w:val="67637D09"/>
    <w:rsid w:val="68504C3B"/>
    <w:rsid w:val="68A93C95"/>
    <w:rsid w:val="68AB6624"/>
    <w:rsid w:val="698B5B82"/>
    <w:rsid w:val="6A3246A3"/>
    <w:rsid w:val="6A6E5F7D"/>
    <w:rsid w:val="6BB20CFD"/>
    <w:rsid w:val="6BCC33F8"/>
    <w:rsid w:val="6BF90953"/>
    <w:rsid w:val="6CF63A92"/>
    <w:rsid w:val="6D523D64"/>
    <w:rsid w:val="6F1F1DBD"/>
    <w:rsid w:val="705B570C"/>
    <w:rsid w:val="719901C0"/>
    <w:rsid w:val="71B85827"/>
    <w:rsid w:val="72A65FE3"/>
    <w:rsid w:val="7371012D"/>
    <w:rsid w:val="7438078F"/>
    <w:rsid w:val="75151DA7"/>
    <w:rsid w:val="7577027A"/>
    <w:rsid w:val="75A85130"/>
    <w:rsid w:val="77810DF6"/>
    <w:rsid w:val="787E59C7"/>
    <w:rsid w:val="79011476"/>
    <w:rsid w:val="79607C42"/>
    <w:rsid w:val="7A06790A"/>
    <w:rsid w:val="7A55265D"/>
    <w:rsid w:val="7D7E410B"/>
    <w:rsid w:val="7E7C2E97"/>
    <w:rsid w:val="7F420713"/>
    <w:rsid w:val="7FB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180" w:after="18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Compact"/>
    <w:basedOn w:val="4"/>
    <w:qFormat/>
    <w:uiPriority w:val="0"/>
    <w:pPr>
      <w:spacing w:before="36" w:after="36"/>
    </w:pPr>
  </w:style>
  <w:style w:type="table" w:customStyle="1" w:styleId="9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2024-08-21T09:05:00Z</dcterms:created>
  <dc:creator>86188</dc:creator>
  <cp:lastModifiedBy>USER</cp:lastModifiedBy>
  <dcterms:modified xsi:type="dcterms:W3CDTF">2026-03-14T02:51:18Z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88247B95048840AF919925E0179DC5CE_12</vt:lpwstr>
  </property>
  <property fmtid="{D5CDD505-2E9C-101B-9397-08002B2CF9AE}" pid="4" name="KSOTemplateDocerSaveRecord">
    <vt:lpwstr>eyJoZGlkIjoiNmFmNmZlNTcwZTk5MWIzOTA5MjhlMDE1ZWQ0MDYzYjQiLCJ1c2VySWQiOiI0NjcwMDk4MDUifQ==</vt:lpwstr>
  </property>
</Properties>
</file>