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C87" w:rsidRPr="00B51C87" w:rsidRDefault="00B51C87" w:rsidP="00B51C87">
      <w:pPr>
        <w:pStyle w:val="Ttulo1"/>
        <w:jc w:val="center"/>
      </w:pPr>
      <w:r w:rsidRPr="00B51C87">
        <w:rPr>
          <w:sz w:val="36"/>
        </w:rPr>
        <w:t>Supplementary Material</w:t>
      </w:r>
    </w:p>
    <w:p w:rsidR="00B51C87" w:rsidRDefault="00B51C87" w:rsidP="001F19E8">
      <w:pPr>
        <w:jc w:val="center"/>
        <w:rPr>
          <w:rFonts w:cs="Arial"/>
          <w:b/>
        </w:rPr>
      </w:pPr>
      <w:r>
        <w:rPr>
          <w:i/>
          <w:sz w:val="22"/>
        </w:rPr>
        <w:t>Manuscript title: Combined versus sequential surgery in lamellar macular holes: a multicenter observational study</w:t>
      </w:r>
    </w:p>
    <w:p w:rsidR="00C641C5" w:rsidRDefault="00CA4182">
      <w:pPr>
        <w:jc w:val="center"/>
      </w:pPr>
      <w:r>
        <w:t>Manuscript ID: 593498</w:t>
      </w:r>
    </w:p>
    <w:p w:rsidR="00C641C5" w:rsidRDefault="00CA4182">
      <w:r>
        <w:br/>
      </w:r>
      <w:r>
        <w:br w:type="page"/>
      </w:r>
    </w:p>
    <w:p w:rsidR="001F19E8" w:rsidRPr="00FC3F58" w:rsidRDefault="001F19E8" w:rsidP="001F19E8">
      <w:pPr>
        <w:rPr>
          <w:rFonts w:cs="Arial"/>
          <w:b/>
        </w:rPr>
      </w:pPr>
      <w:proofErr w:type="gramStart"/>
      <w:r w:rsidRPr="00FC3F58">
        <w:rPr>
          <w:rFonts w:cs="Arial"/>
          <w:b/>
        </w:rPr>
        <w:lastRenderedPageBreak/>
        <w:t>Supplementary Table S1.</w:t>
      </w:r>
      <w:proofErr w:type="gramEnd"/>
      <w:r w:rsidRPr="00FC3F58">
        <w:rPr>
          <w:rFonts w:cs="Arial"/>
          <w:b/>
        </w:rPr>
        <w:t xml:space="preserve"> OCT-based criteria for lamellar macular </w:t>
      </w:r>
      <w:proofErr w:type="gramStart"/>
      <w:r w:rsidRPr="00FC3F58">
        <w:rPr>
          <w:rFonts w:cs="Arial"/>
          <w:b/>
        </w:rPr>
        <w:t>hole</w:t>
      </w:r>
      <w:proofErr w:type="gramEnd"/>
      <w:r w:rsidRPr="00FC3F58">
        <w:rPr>
          <w:rFonts w:cs="Arial"/>
          <w:b/>
        </w:rPr>
        <w:t xml:space="preserve"> diagnosis and subtype classification</w:t>
      </w:r>
    </w:p>
    <w:p w:rsidR="001F19E8" w:rsidRPr="00FC3F58" w:rsidRDefault="001F19E8" w:rsidP="001F19E8">
      <w:pPr>
        <w:rPr>
          <w:rFonts w:cs="Arial"/>
          <w:b/>
        </w:rPr>
      </w:pPr>
    </w:p>
    <w:tbl>
      <w:tblPr>
        <w:tblW w:w="0" w:type="auto"/>
        <w:tblCellSpacing w:w="15" w:type="dxa"/>
        <w:tblCellMar>
          <w:top w:w="15" w:type="dxa"/>
          <w:left w:w="15" w:type="dxa"/>
          <w:bottom w:w="15" w:type="dxa"/>
          <w:right w:w="15" w:type="dxa"/>
        </w:tblCellMar>
        <w:tblLook w:val="04A0"/>
      </w:tblPr>
      <w:tblGrid>
        <w:gridCol w:w="1463"/>
        <w:gridCol w:w="7131"/>
      </w:tblGrid>
      <w:tr w:rsidR="001F19E8" w:rsidRPr="00FC3F58" w:rsidTr="00C6044C">
        <w:trPr>
          <w:tblHeader/>
          <w:tblCellSpacing w:w="15" w:type="dxa"/>
        </w:trPr>
        <w:tc>
          <w:tcPr>
            <w:tcW w:w="1418" w:type="dxa"/>
            <w:vAlign w:val="center"/>
            <w:hideMark/>
          </w:tcPr>
          <w:p w:rsidR="001F19E8" w:rsidRPr="00FC3F58" w:rsidRDefault="001F19E8" w:rsidP="00C6044C">
            <w:pPr>
              <w:rPr>
                <w:rFonts w:cs="Arial"/>
                <w:b/>
                <w:bCs/>
              </w:rPr>
            </w:pPr>
            <w:r w:rsidRPr="00FC3F58">
              <w:rPr>
                <w:rFonts w:cs="Arial"/>
                <w:b/>
                <w:bCs/>
              </w:rPr>
              <w:t>Category</w:t>
            </w:r>
          </w:p>
        </w:tc>
        <w:tc>
          <w:tcPr>
            <w:tcW w:w="7086" w:type="dxa"/>
            <w:vAlign w:val="center"/>
            <w:hideMark/>
          </w:tcPr>
          <w:p w:rsidR="001F19E8" w:rsidRPr="00FC3F58" w:rsidRDefault="001F19E8" w:rsidP="00C6044C">
            <w:pPr>
              <w:rPr>
                <w:rFonts w:cs="Arial"/>
                <w:b/>
                <w:bCs/>
              </w:rPr>
            </w:pPr>
            <w:r w:rsidRPr="00FC3F58">
              <w:rPr>
                <w:rFonts w:cs="Arial"/>
                <w:b/>
                <w:bCs/>
              </w:rPr>
              <w:t>Description</w:t>
            </w:r>
          </w:p>
        </w:tc>
      </w:tr>
      <w:tr w:rsidR="001F19E8" w:rsidRPr="00FC3F58" w:rsidTr="00C6044C">
        <w:trPr>
          <w:tblCellSpacing w:w="15" w:type="dxa"/>
        </w:trPr>
        <w:tc>
          <w:tcPr>
            <w:tcW w:w="1418" w:type="dxa"/>
            <w:vAlign w:val="center"/>
            <w:hideMark/>
          </w:tcPr>
          <w:p w:rsidR="001F19E8" w:rsidRPr="00FC3F58" w:rsidRDefault="001F19E8" w:rsidP="00C6044C">
            <w:pPr>
              <w:rPr>
                <w:rFonts w:cs="Arial"/>
              </w:rPr>
            </w:pPr>
            <w:r w:rsidRPr="00FC3F58">
              <w:rPr>
                <w:rFonts w:cs="Arial"/>
                <w:b/>
              </w:rPr>
              <w:t>Mandatory criteria</w:t>
            </w:r>
            <w:r w:rsidRPr="00FC3F58">
              <w:rPr>
                <w:rFonts w:cs="Arial"/>
              </w:rPr>
              <w:t xml:space="preserve"> </w:t>
            </w:r>
          </w:p>
        </w:tc>
        <w:tc>
          <w:tcPr>
            <w:tcW w:w="7086" w:type="dxa"/>
            <w:vAlign w:val="center"/>
            <w:hideMark/>
          </w:tcPr>
          <w:p w:rsidR="001F19E8" w:rsidRPr="00FC3F58" w:rsidRDefault="001F19E8" w:rsidP="00C6044C">
            <w:pPr>
              <w:rPr>
                <w:rFonts w:cs="Arial"/>
              </w:rPr>
            </w:pPr>
            <w:r w:rsidRPr="00FC3F58">
              <w:rPr>
                <w:rFonts w:cs="Arial"/>
              </w:rPr>
              <w:t>1. Irregular foveal contour with abnormal, non-linear morphology of the foveal depression.</w:t>
            </w:r>
          </w:p>
          <w:p w:rsidR="001F19E8" w:rsidRPr="00FC3F58" w:rsidRDefault="001F19E8" w:rsidP="00C6044C">
            <w:pPr>
              <w:rPr>
                <w:rFonts w:cs="Arial"/>
              </w:rPr>
            </w:pPr>
            <w:r w:rsidRPr="00FC3F58">
              <w:rPr>
                <w:rFonts w:cs="Arial"/>
              </w:rPr>
              <w:t>2. Foveal cavity with undermined edges.</w:t>
            </w:r>
          </w:p>
          <w:p w:rsidR="001F19E8" w:rsidRPr="00FC3F58" w:rsidRDefault="001F19E8" w:rsidP="00C6044C">
            <w:pPr>
              <w:rPr>
                <w:rFonts w:cs="Arial"/>
              </w:rPr>
            </w:pPr>
            <w:r w:rsidRPr="00FC3F58">
              <w:rPr>
                <w:rFonts w:cs="Arial"/>
              </w:rPr>
              <w:t xml:space="preserve">3. Presence of at least one additional sign indicative of foveal tissue loss (e.g., </w:t>
            </w:r>
            <w:proofErr w:type="spellStart"/>
            <w:r w:rsidRPr="00FC3F58">
              <w:rPr>
                <w:rFonts w:cs="Arial"/>
              </w:rPr>
              <w:t>pseudoperculum</w:t>
            </w:r>
            <w:proofErr w:type="spellEnd"/>
            <w:r w:rsidRPr="00FC3F58">
              <w:rPr>
                <w:rFonts w:cs="Arial"/>
              </w:rPr>
              <w:t xml:space="preserve"> or thinning of the foveal center or surrounding area).</w:t>
            </w:r>
          </w:p>
          <w:p w:rsidR="001F19E8" w:rsidRPr="00FC3F58" w:rsidRDefault="001F19E8" w:rsidP="00C6044C">
            <w:pPr>
              <w:rPr>
                <w:rFonts w:cs="Arial"/>
              </w:rPr>
            </w:pPr>
            <w:r w:rsidRPr="00FC3F58">
              <w:rPr>
                <w:rFonts w:cs="Arial"/>
              </w:rPr>
              <w:t>4. Absence of a full-thickness retinal defect involving all retinal layers, distinguishing LMHs from f</w:t>
            </w:r>
            <w:r w:rsidR="00612EB3">
              <w:rPr>
                <w:rFonts w:cs="Arial"/>
              </w:rPr>
              <w:t>ull-thickness macular holes</w:t>
            </w:r>
            <w:r w:rsidRPr="00FC3F58">
              <w:rPr>
                <w:rFonts w:cs="Arial"/>
              </w:rPr>
              <w:t>.</w:t>
            </w:r>
          </w:p>
        </w:tc>
      </w:tr>
      <w:tr w:rsidR="001F19E8" w:rsidRPr="00FC3F58" w:rsidTr="00C6044C">
        <w:trPr>
          <w:tblCellSpacing w:w="15" w:type="dxa"/>
        </w:trPr>
        <w:tc>
          <w:tcPr>
            <w:tcW w:w="1418" w:type="dxa"/>
            <w:vAlign w:val="center"/>
            <w:hideMark/>
          </w:tcPr>
          <w:p w:rsidR="001F19E8" w:rsidRPr="00FC3F58" w:rsidRDefault="001F19E8" w:rsidP="00C6044C">
            <w:pPr>
              <w:rPr>
                <w:rFonts w:cs="Arial"/>
                <w:b/>
              </w:rPr>
            </w:pPr>
            <w:r w:rsidRPr="00FC3F58">
              <w:rPr>
                <w:rFonts w:cs="Arial"/>
                <w:b/>
              </w:rPr>
              <w:t>Associated features (may be present)</w:t>
            </w:r>
          </w:p>
        </w:tc>
        <w:tc>
          <w:tcPr>
            <w:tcW w:w="7086" w:type="dxa"/>
            <w:vAlign w:val="center"/>
            <w:hideMark/>
          </w:tcPr>
          <w:p w:rsidR="001F19E8" w:rsidRPr="00FC3F58" w:rsidRDefault="001F19E8" w:rsidP="00C6044C">
            <w:pPr>
              <w:rPr>
                <w:rFonts w:cs="Arial"/>
              </w:rPr>
            </w:pPr>
            <w:r w:rsidRPr="00FC3F58">
              <w:rPr>
                <w:rFonts w:cs="Arial"/>
              </w:rPr>
              <w:t xml:space="preserve">1. </w:t>
            </w:r>
            <w:proofErr w:type="spellStart"/>
            <w:r w:rsidRPr="00FC3F58">
              <w:rPr>
                <w:rFonts w:cs="Arial"/>
              </w:rPr>
              <w:t>Epiretinal</w:t>
            </w:r>
            <w:proofErr w:type="spellEnd"/>
            <w:r w:rsidRPr="00FC3F58">
              <w:rPr>
                <w:rFonts w:cs="Arial"/>
              </w:rPr>
              <w:t xml:space="preserve"> proliferation.</w:t>
            </w:r>
          </w:p>
          <w:p w:rsidR="001F19E8" w:rsidRPr="00FC3F58" w:rsidRDefault="001F19E8" w:rsidP="00C6044C">
            <w:pPr>
              <w:rPr>
                <w:rFonts w:cs="Arial"/>
              </w:rPr>
            </w:pPr>
            <w:r w:rsidRPr="00FC3F58">
              <w:rPr>
                <w:rFonts w:cs="Arial"/>
              </w:rPr>
              <w:t>2. Foveal bump.</w:t>
            </w:r>
          </w:p>
          <w:p w:rsidR="001F19E8" w:rsidRPr="00FC3F58" w:rsidRDefault="001F19E8" w:rsidP="00C6044C">
            <w:pPr>
              <w:rPr>
                <w:rFonts w:cs="Arial"/>
              </w:rPr>
            </w:pPr>
            <w:r w:rsidRPr="00FC3F58">
              <w:rPr>
                <w:rFonts w:cs="Arial"/>
              </w:rPr>
              <w:t>3. Disruption of the ellipsoid zone.</w:t>
            </w:r>
          </w:p>
        </w:tc>
      </w:tr>
      <w:tr w:rsidR="001F19E8" w:rsidRPr="00FC3F58" w:rsidTr="00C6044C">
        <w:trPr>
          <w:tblCellSpacing w:w="15" w:type="dxa"/>
        </w:trPr>
        <w:tc>
          <w:tcPr>
            <w:tcW w:w="1418" w:type="dxa"/>
            <w:vAlign w:val="center"/>
            <w:hideMark/>
          </w:tcPr>
          <w:p w:rsidR="001F19E8" w:rsidRPr="00FC3F58" w:rsidRDefault="001F19E8" w:rsidP="00C6044C">
            <w:pPr>
              <w:rPr>
                <w:rFonts w:cs="Arial"/>
                <w:b/>
              </w:rPr>
            </w:pPr>
            <w:proofErr w:type="spellStart"/>
            <w:r w:rsidRPr="00FC3F58">
              <w:rPr>
                <w:rFonts w:cs="Arial"/>
                <w:b/>
              </w:rPr>
              <w:t>Tractional</w:t>
            </w:r>
            <w:proofErr w:type="spellEnd"/>
            <w:r w:rsidRPr="00FC3F58">
              <w:rPr>
                <w:rFonts w:cs="Arial"/>
                <w:b/>
              </w:rPr>
              <w:t xml:space="preserve"> subtype</w:t>
            </w:r>
          </w:p>
        </w:tc>
        <w:tc>
          <w:tcPr>
            <w:tcW w:w="7086" w:type="dxa"/>
            <w:vAlign w:val="center"/>
            <w:hideMark/>
          </w:tcPr>
          <w:p w:rsidR="001F19E8" w:rsidRPr="00FC3F58" w:rsidRDefault="001F19E8" w:rsidP="00C6044C">
            <w:pPr>
              <w:rPr>
                <w:rFonts w:cs="Arial"/>
              </w:rPr>
            </w:pPr>
            <w:r w:rsidRPr="00FC3F58">
              <w:rPr>
                <w:rFonts w:cs="Arial"/>
              </w:rPr>
              <w:t>Splitting (</w:t>
            </w:r>
            <w:proofErr w:type="spellStart"/>
            <w:r w:rsidRPr="00FC3F58">
              <w:rPr>
                <w:rFonts w:cs="Arial"/>
              </w:rPr>
              <w:t>schisis</w:t>
            </w:r>
            <w:proofErr w:type="spellEnd"/>
            <w:r w:rsidRPr="00FC3F58">
              <w:rPr>
                <w:rFonts w:cs="Arial"/>
              </w:rPr>
              <w:t xml:space="preserve">) of the retinal layers, typically between the outer nuclear and outer </w:t>
            </w:r>
            <w:proofErr w:type="spellStart"/>
            <w:r w:rsidRPr="00FC3F58">
              <w:rPr>
                <w:rFonts w:cs="Arial"/>
              </w:rPr>
              <w:t>plexiform</w:t>
            </w:r>
            <w:proofErr w:type="spellEnd"/>
            <w:r w:rsidRPr="00FC3F58">
              <w:rPr>
                <w:rFonts w:cs="Arial"/>
              </w:rPr>
              <w:t xml:space="preserve"> layers, with a characteristic “moustache-shaped” configuration. This subtype is usually associated with an </w:t>
            </w:r>
            <w:proofErr w:type="spellStart"/>
            <w:r w:rsidRPr="00FC3F58">
              <w:rPr>
                <w:rFonts w:cs="Arial"/>
              </w:rPr>
              <w:t>epiretinal</w:t>
            </w:r>
            <w:proofErr w:type="spellEnd"/>
            <w:r w:rsidRPr="00FC3F58">
              <w:rPr>
                <w:rFonts w:cs="Arial"/>
              </w:rPr>
              <w:t xml:space="preserve"> membrane (ERM) exerting traction on the retinal surface. Ellipsoid zone involvement is less frequent than in degene</w:t>
            </w:r>
            <w:r w:rsidR="00612EB3">
              <w:rPr>
                <w:rFonts w:cs="Arial"/>
              </w:rPr>
              <w:t>rative LMHs</w:t>
            </w:r>
            <w:r w:rsidRPr="00FC3F58">
              <w:rPr>
                <w:rFonts w:cs="Arial"/>
              </w:rPr>
              <w:t>.</w:t>
            </w:r>
          </w:p>
        </w:tc>
      </w:tr>
      <w:tr w:rsidR="001F19E8" w:rsidRPr="00FC3F58" w:rsidTr="00C6044C">
        <w:trPr>
          <w:tblCellSpacing w:w="15" w:type="dxa"/>
        </w:trPr>
        <w:tc>
          <w:tcPr>
            <w:tcW w:w="1418" w:type="dxa"/>
            <w:vAlign w:val="center"/>
            <w:hideMark/>
          </w:tcPr>
          <w:p w:rsidR="001F19E8" w:rsidRPr="00FC3F58" w:rsidRDefault="001F19E8" w:rsidP="00C6044C">
            <w:pPr>
              <w:rPr>
                <w:rFonts w:cs="Arial"/>
                <w:b/>
              </w:rPr>
            </w:pPr>
            <w:r w:rsidRPr="00FC3F58">
              <w:rPr>
                <w:rFonts w:cs="Arial"/>
                <w:b/>
              </w:rPr>
              <w:t>Degenerative subtype</w:t>
            </w:r>
          </w:p>
        </w:tc>
        <w:tc>
          <w:tcPr>
            <w:tcW w:w="7086" w:type="dxa"/>
            <w:vAlign w:val="center"/>
            <w:hideMark/>
          </w:tcPr>
          <w:p w:rsidR="001F19E8" w:rsidRPr="00FC3F58" w:rsidRDefault="001F19E8" w:rsidP="00C6044C">
            <w:pPr>
              <w:rPr>
                <w:rFonts w:cs="Arial"/>
              </w:rPr>
            </w:pPr>
            <w:r w:rsidRPr="00FC3F58">
              <w:rPr>
                <w:rFonts w:cs="Arial"/>
              </w:rPr>
              <w:t xml:space="preserve">Deep foveal </w:t>
            </w:r>
            <w:proofErr w:type="spellStart"/>
            <w:r w:rsidRPr="00FC3F58">
              <w:rPr>
                <w:rFonts w:cs="Arial"/>
              </w:rPr>
              <w:t>cavitation</w:t>
            </w:r>
            <w:proofErr w:type="spellEnd"/>
            <w:r w:rsidRPr="00FC3F58">
              <w:rPr>
                <w:rFonts w:cs="Arial"/>
              </w:rPr>
              <w:t xml:space="preserve"> with a “top-hat” configuration and smooth, rounded edges. It is typically associated with the presence of homogeneous, medium-reflective ectopic foveal tissue in direct contact with the retinal surface, without evidence of traction. Disruption of t</w:t>
            </w:r>
            <w:r w:rsidR="00612EB3">
              <w:rPr>
                <w:rFonts w:cs="Arial"/>
              </w:rPr>
              <w:t>he ellipsoid zone is common</w:t>
            </w:r>
            <w:r w:rsidRPr="00FC3F58">
              <w:rPr>
                <w:rFonts w:cs="Arial"/>
              </w:rPr>
              <w:t>.</w:t>
            </w:r>
          </w:p>
        </w:tc>
      </w:tr>
      <w:tr w:rsidR="001F19E8" w:rsidRPr="00FC3F58" w:rsidTr="00C6044C">
        <w:trPr>
          <w:tblCellSpacing w:w="15" w:type="dxa"/>
        </w:trPr>
        <w:tc>
          <w:tcPr>
            <w:tcW w:w="1418" w:type="dxa"/>
            <w:vAlign w:val="center"/>
            <w:hideMark/>
          </w:tcPr>
          <w:p w:rsidR="001F19E8" w:rsidRPr="00FC3F58" w:rsidRDefault="001F19E8" w:rsidP="00C6044C">
            <w:pPr>
              <w:rPr>
                <w:rFonts w:cs="Arial"/>
                <w:b/>
              </w:rPr>
            </w:pPr>
            <w:r w:rsidRPr="00FC3F58">
              <w:rPr>
                <w:rFonts w:cs="Arial"/>
                <w:b/>
              </w:rPr>
              <w:t>Mixed subtype</w:t>
            </w:r>
          </w:p>
        </w:tc>
        <w:tc>
          <w:tcPr>
            <w:tcW w:w="7086" w:type="dxa"/>
            <w:vAlign w:val="center"/>
            <w:hideMark/>
          </w:tcPr>
          <w:p w:rsidR="001F19E8" w:rsidRPr="00FC3F58" w:rsidRDefault="001F19E8" w:rsidP="00C6044C">
            <w:pPr>
              <w:rPr>
                <w:rFonts w:cs="Arial"/>
              </w:rPr>
            </w:pPr>
            <w:r w:rsidRPr="00FC3F58">
              <w:rPr>
                <w:rFonts w:cs="Arial"/>
              </w:rPr>
              <w:t xml:space="preserve">Foveal </w:t>
            </w:r>
            <w:proofErr w:type="spellStart"/>
            <w:r w:rsidRPr="00FC3F58">
              <w:rPr>
                <w:rFonts w:cs="Arial"/>
              </w:rPr>
              <w:t>invagination</w:t>
            </w:r>
            <w:proofErr w:type="spellEnd"/>
            <w:r w:rsidRPr="00FC3F58">
              <w:rPr>
                <w:rFonts w:cs="Arial"/>
              </w:rPr>
              <w:t xml:space="preserve"> with a steep </w:t>
            </w:r>
            <w:proofErr w:type="spellStart"/>
            <w:r w:rsidRPr="00FC3F58">
              <w:rPr>
                <w:rFonts w:cs="Arial"/>
              </w:rPr>
              <w:t>cavitation</w:t>
            </w:r>
            <w:proofErr w:type="spellEnd"/>
            <w:r w:rsidRPr="00FC3F58">
              <w:rPr>
                <w:rFonts w:cs="Arial"/>
              </w:rPr>
              <w:t xml:space="preserve"> toward the fovea. Both ERM and ectopic tissue may coexist. These cases usually present a foveal opening with nearly normal retinal thickness, in contrast to degenerative LMHs, which show </w:t>
            </w:r>
            <w:r w:rsidRPr="00FC3F58">
              <w:rPr>
                <w:rFonts w:cs="Arial"/>
              </w:rPr>
              <w:lastRenderedPageBreak/>
              <w:t xml:space="preserve">greater tissue loss. The term </w:t>
            </w:r>
            <w:r w:rsidRPr="00DE2EAF">
              <w:rPr>
                <w:rStyle w:val="nfasis"/>
                <w:rFonts w:cs="Arial"/>
                <w:b w:val="0"/>
              </w:rPr>
              <w:t xml:space="preserve">lamellar macular </w:t>
            </w:r>
            <w:proofErr w:type="spellStart"/>
            <w:r w:rsidRPr="00DE2EAF">
              <w:rPr>
                <w:rStyle w:val="nfasis"/>
                <w:rFonts w:cs="Arial"/>
                <w:b w:val="0"/>
              </w:rPr>
              <w:t>pseudohole</w:t>
            </w:r>
            <w:proofErr w:type="spellEnd"/>
            <w:r w:rsidRPr="00FC3F58">
              <w:rPr>
                <w:rFonts w:cs="Arial"/>
              </w:rPr>
              <w:t xml:space="preserve"> is sometimes used to describe simila</w:t>
            </w:r>
            <w:r w:rsidR="00612EB3">
              <w:rPr>
                <w:rFonts w:cs="Arial"/>
              </w:rPr>
              <w:t>r morphological features</w:t>
            </w:r>
            <w:r w:rsidRPr="00FC3F58">
              <w:rPr>
                <w:rFonts w:cs="Arial"/>
              </w:rPr>
              <w:t>.</w:t>
            </w:r>
          </w:p>
        </w:tc>
      </w:tr>
    </w:tbl>
    <w:p w:rsidR="00612EB3" w:rsidRPr="00612EB3" w:rsidRDefault="00612EB3" w:rsidP="00612EB3">
      <w:pPr>
        <w:rPr>
          <w:rFonts w:cs="Arial"/>
          <w:sz w:val="18"/>
          <w:szCs w:val="18"/>
        </w:rPr>
      </w:pPr>
      <w:r w:rsidRPr="00612EB3">
        <w:rPr>
          <w:rFonts w:cs="Arial"/>
          <w:b/>
          <w:sz w:val="18"/>
          <w:szCs w:val="18"/>
        </w:rPr>
        <w:lastRenderedPageBreak/>
        <w:t xml:space="preserve">Notes: </w:t>
      </w:r>
      <w:r w:rsidRPr="00612EB3">
        <w:rPr>
          <w:rFonts w:cs="Arial"/>
          <w:sz w:val="18"/>
          <w:szCs w:val="18"/>
        </w:rPr>
        <w:t>The diagnostic and subtype-classification criteria summarized in this table were based on previously published OCT definitions and morphological criteria.</w:t>
      </w:r>
      <w:r w:rsidRPr="00612EB3">
        <w:rPr>
          <w:rFonts w:cs="Arial"/>
          <w:sz w:val="18"/>
          <w:szCs w:val="18"/>
          <w:vertAlign w:val="subscript"/>
        </w:rPr>
        <w:t>12–18</w:t>
      </w:r>
    </w:p>
    <w:p w:rsidR="001F19E8" w:rsidRPr="00612EB3" w:rsidRDefault="00612EB3" w:rsidP="00612EB3">
      <w:pPr>
        <w:rPr>
          <w:rFonts w:cs="Arial"/>
          <w:sz w:val="18"/>
          <w:szCs w:val="18"/>
        </w:rPr>
      </w:pPr>
      <w:r w:rsidRPr="00612EB3">
        <w:rPr>
          <w:rFonts w:cs="Arial"/>
          <w:sz w:val="18"/>
          <w:szCs w:val="18"/>
        </w:rPr>
        <w:t>Bold text indicates table headings and labels only.</w:t>
      </w:r>
    </w:p>
    <w:p w:rsidR="00B55FA4" w:rsidRDefault="00B55FA4" w:rsidP="001F19E8">
      <w:pPr>
        <w:rPr>
          <w:rFonts w:cs="Arial"/>
          <w:b/>
        </w:rPr>
      </w:pPr>
    </w:p>
    <w:p w:rsidR="00B55FA4" w:rsidRDefault="00B55FA4" w:rsidP="001F19E8">
      <w:pPr>
        <w:rPr>
          <w:rFonts w:cs="Arial"/>
          <w:b/>
        </w:rPr>
      </w:pPr>
    </w:p>
    <w:p w:rsidR="001F19E8" w:rsidRDefault="001F19E8" w:rsidP="001F19E8">
      <w:pPr>
        <w:rPr>
          <w:rFonts w:cs="Arial"/>
          <w:b/>
        </w:rPr>
      </w:pPr>
      <w:proofErr w:type="gramStart"/>
      <w:r w:rsidRPr="00F028FB">
        <w:rPr>
          <w:rFonts w:cs="Arial"/>
          <w:b/>
        </w:rPr>
        <w:t>Supplementary Table S2.</w:t>
      </w:r>
      <w:proofErr w:type="gramEnd"/>
      <w:r w:rsidRPr="00F028FB">
        <w:rPr>
          <w:rFonts w:cs="Arial"/>
          <w:b/>
        </w:rPr>
        <w:t xml:space="preserve"> Availability of 1-year BCVA by surgical modality</w:t>
      </w:r>
    </w:p>
    <w:tbl>
      <w:tblPr>
        <w:tblW w:w="0" w:type="auto"/>
        <w:tblCellSpacing w:w="15" w:type="dxa"/>
        <w:tblCellMar>
          <w:top w:w="15" w:type="dxa"/>
          <w:left w:w="15" w:type="dxa"/>
          <w:bottom w:w="15" w:type="dxa"/>
          <w:right w:w="15" w:type="dxa"/>
        </w:tblCellMar>
        <w:tblLook w:val="04A0"/>
      </w:tblPr>
      <w:tblGrid>
        <w:gridCol w:w="3136"/>
        <w:gridCol w:w="1729"/>
        <w:gridCol w:w="1944"/>
        <w:gridCol w:w="2119"/>
      </w:tblGrid>
      <w:tr w:rsidR="001F19E8" w:rsidRPr="00515739" w:rsidTr="00B55FA4">
        <w:trPr>
          <w:tblHeader/>
          <w:tblCellSpacing w:w="15" w:type="dxa"/>
        </w:trPr>
        <w:tc>
          <w:tcPr>
            <w:tcW w:w="0" w:type="auto"/>
            <w:vAlign w:val="center"/>
            <w:hideMark/>
          </w:tcPr>
          <w:p w:rsidR="001F19E8" w:rsidRPr="00515739" w:rsidRDefault="001F19E8" w:rsidP="00C6044C">
            <w:pPr>
              <w:spacing w:line="240" w:lineRule="auto"/>
              <w:jc w:val="center"/>
              <w:rPr>
                <w:rFonts w:ascii="Times New Roman" w:hAnsi="Times New Roman"/>
                <w:b/>
                <w:bCs/>
                <w:sz w:val="24"/>
                <w:lang w:val="es-ES" w:eastAsia="es-ES"/>
              </w:rPr>
            </w:pPr>
            <w:proofErr w:type="spellStart"/>
            <w:r w:rsidRPr="00515739">
              <w:rPr>
                <w:rFonts w:ascii="Times New Roman" w:hAnsi="Times New Roman"/>
                <w:b/>
                <w:bCs/>
                <w:sz w:val="24"/>
                <w:lang w:val="es-ES" w:eastAsia="es-ES"/>
              </w:rPr>
              <w:t>Surgical</w:t>
            </w:r>
            <w:proofErr w:type="spellEnd"/>
            <w:r w:rsidRPr="00515739">
              <w:rPr>
                <w:rFonts w:ascii="Times New Roman" w:hAnsi="Times New Roman"/>
                <w:b/>
                <w:bCs/>
                <w:sz w:val="24"/>
                <w:lang w:val="es-ES" w:eastAsia="es-ES"/>
              </w:rPr>
              <w:t xml:space="preserve"> </w:t>
            </w:r>
            <w:proofErr w:type="spellStart"/>
            <w:r w:rsidRPr="00515739">
              <w:rPr>
                <w:rFonts w:ascii="Times New Roman" w:hAnsi="Times New Roman"/>
                <w:b/>
                <w:bCs/>
                <w:sz w:val="24"/>
                <w:lang w:val="es-ES" w:eastAsia="es-ES"/>
              </w:rPr>
              <w:t>modality</w:t>
            </w:r>
            <w:proofErr w:type="spellEnd"/>
          </w:p>
        </w:tc>
        <w:tc>
          <w:tcPr>
            <w:tcW w:w="1699" w:type="dxa"/>
            <w:vAlign w:val="center"/>
            <w:hideMark/>
          </w:tcPr>
          <w:p w:rsidR="001F19E8" w:rsidRPr="00515739" w:rsidRDefault="001F19E8" w:rsidP="00C6044C">
            <w:pPr>
              <w:spacing w:line="240" w:lineRule="auto"/>
              <w:jc w:val="right"/>
              <w:rPr>
                <w:rFonts w:ascii="Times New Roman" w:hAnsi="Times New Roman"/>
                <w:b/>
                <w:bCs/>
                <w:sz w:val="24"/>
                <w:lang w:val="es-ES" w:eastAsia="es-ES"/>
              </w:rPr>
            </w:pPr>
            <w:proofErr w:type="spellStart"/>
            <w:r w:rsidRPr="00515739">
              <w:rPr>
                <w:rFonts w:ascii="Times New Roman" w:hAnsi="Times New Roman"/>
                <w:b/>
                <w:bCs/>
                <w:sz w:val="24"/>
                <w:lang w:val="es-ES" w:eastAsia="es-ES"/>
              </w:rPr>
              <w:t>Eyes</w:t>
            </w:r>
            <w:proofErr w:type="spellEnd"/>
            <w:r w:rsidRPr="00515739">
              <w:rPr>
                <w:rFonts w:ascii="Times New Roman" w:hAnsi="Times New Roman"/>
                <w:b/>
                <w:bCs/>
                <w:sz w:val="24"/>
                <w:lang w:val="es-ES" w:eastAsia="es-ES"/>
              </w:rPr>
              <w:t xml:space="preserve"> </w:t>
            </w:r>
            <w:proofErr w:type="spellStart"/>
            <w:r w:rsidRPr="00515739">
              <w:rPr>
                <w:rFonts w:ascii="Times New Roman" w:hAnsi="Times New Roman"/>
                <w:b/>
                <w:bCs/>
                <w:sz w:val="24"/>
                <w:lang w:val="es-ES" w:eastAsia="es-ES"/>
              </w:rPr>
              <w:t>included</w:t>
            </w:r>
            <w:proofErr w:type="spellEnd"/>
            <w:r w:rsidRPr="00515739">
              <w:rPr>
                <w:rFonts w:ascii="Times New Roman" w:hAnsi="Times New Roman"/>
                <w:b/>
                <w:bCs/>
                <w:sz w:val="24"/>
                <w:lang w:val="es-ES" w:eastAsia="es-ES"/>
              </w:rPr>
              <w:t>, n</w:t>
            </w:r>
          </w:p>
        </w:tc>
        <w:tc>
          <w:tcPr>
            <w:tcW w:w="1914" w:type="dxa"/>
            <w:vAlign w:val="center"/>
            <w:hideMark/>
          </w:tcPr>
          <w:p w:rsidR="001F19E8" w:rsidRPr="00515739" w:rsidRDefault="001F19E8" w:rsidP="00C6044C">
            <w:pPr>
              <w:spacing w:line="240" w:lineRule="auto"/>
              <w:jc w:val="right"/>
              <w:rPr>
                <w:rFonts w:ascii="Times New Roman" w:hAnsi="Times New Roman"/>
                <w:b/>
                <w:bCs/>
                <w:sz w:val="24"/>
                <w:lang w:val="es-ES" w:eastAsia="es-ES"/>
              </w:rPr>
            </w:pPr>
            <w:r w:rsidRPr="00515739">
              <w:rPr>
                <w:rFonts w:ascii="Times New Roman" w:hAnsi="Times New Roman"/>
                <w:b/>
                <w:bCs/>
                <w:sz w:val="24"/>
                <w:lang w:val="es-ES" w:eastAsia="es-ES"/>
              </w:rPr>
              <w:t xml:space="preserve">1-year BCVA </w:t>
            </w:r>
            <w:proofErr w:type="spellStart"/>
            <w:r w:rsidRPr="00515739">
              <w:rPr>
                <w:rFonts w:ascii="Times New Roman" w:hAnsi="Times New Roman"/>
                <w:b/>
                <w:bCs/>
                <w:sz w:val="24"/>
                <w:lang w:val="es-ES" w:eastAsia="es-ES"/>
              </w:rPr>
              <w:t>available</w:t>
            </w:r>
            <w:proofErr w:type="spellEnd"/>
            <w:r w:rsidRPr="00515739">
              <w:rPr>
                <w:rFonts w:ascii="Times New Roman" w:hAnsi="Times New Roman"/>
                <w:b/>
                <w:bCs/>
                <w:sz w:val="24"/>
                <w:lang w:val="es-ES" w:eastAsia="es-ES"/>
              </w:rPr>
              <w:t>, n (%)</w:t>
            </w:r>
          </w:p>
        </w:tc>
        <w:tc>
          <w:tcPr>
            <w:tcW w:w="0" w:type="auto"/>
            <w:vAlign w:val="center"/>
            <w:hideMark/>
          </w:tcPr>
          <w:p w:rsidR="001F19E8" w:rsidRPr="00515739" w:rsidRDefault="001F19E8" w:rsidP="00C6044C">
            <w:pPr>
              <w:spacing w:line="240" w:lineRule="auto"/>
              <w:jc w:val="right"/>
              <w:rPr>
                <w:rFonts w:ascii="Times New Roman" w:hAnsi="Times New Roman"/>
                <w:b/>
                <w:bCs/>
                <w:sz w:val="24"/>
                <w:lang w:val="es-ES" w:eastAsia="es-ES"/>
              </w:rPr>
            </w:pPr>
            <w:r w:rsidRPr="00515739">
              <w:rPr>
                <w:rFonts w:ascii="Times New Roman" w:hAnsi="Times New Roman"/>
                <w:b/>
                <w:bCs/>
                <w:sz w:val="24"/>
                <w:lang w:val="es-ES" w:eastAsia="es-ES"/>
              </w:rPr>
              <w:t xml:space="preserve">1-year BCVA </w:t>
            </w:r>
            <w:proofErr w:type="spellStart"/>
            <w:r w:rsidRPr="00515739">
              <w:rPr>
                <w:rFonts w:ascii="Times New Roman" w:hAnsi="Times New Roman"/>
                <w:b/>
                <w:bCs/>
                <w:sz w:val="24"/>
                <w:lang w:val="es-ES" w:eastAsia="es-ES"/>
              </w:rPr>
              <w:t>missing</w:t>
            </w:r>
            <w:proofErr w:type="spellEnd"/>
            <w:r w:rsidRPr="00515739">
              <w:rPr>
                <w:rFonts w:ascii="Times New Roman" w:hAnsi="Times New Roman"/>
                <w:b/>
                <w:bCs/>
                <w:sz w:val="24"/>
                <w:lang w:val="es-ES" w:eastAsia="es-ES"/>
              </w:rPr>
              <w:t>, n (%)</w:t>
            </w:r>
          </w:p>
        </w:tc>
      </w:tr>
      <w:tr w:rsidR="001F19E8" w:rsidRPr="00515739" w:rsidTr="00B55FA4">
        <w:trPr>
          <w:tblCellSpacing w:w="15" w:type="dxa"/>
        </w:trPr>
        <w:tc>
          <w:tcPr>
            <w:tcW w:w="0" w:type="auto"/>
            <w:vAlign w:val="center"/>
            <w:hideMark/>
          </w:tcPr>
          <w:p w:rsidR="001F19E8" w:rsidRPr="00515739" w:rsidRDefault="001F19E8" w:rsidP="00C6044C">
            <w:pPr>
              <w:spacing w:line="240" w:lineRule="auto"/>
              <w:rPr>
                <w:rFonts w:ascii="Times New Roman" w:hAnsi="Times New Roman"/>
                <w:sz w:val="24"/>
                <w:lang w:val="es-ES" w:eastAsia="es-ES"/>
              </w:rPr>
            </w:pPr>
            <w:proofErr w:type="spellStart"/>
            <w:r w:rsidRPr="00515739">
              <w:rPr>
                <w:rFonts w:ascii="Times New Roman" w:hAnsi="Times New Roman"/>
                <w:sz w:val="24"/>
                <w:lang w:val="es-ES" w:eastAsia="es-ES"/>
              </w:rPr>
              <w:t>Combined</w:t>
            </w:r>
            <w:proofErr w:type="spellEnd"/>
            <w:r w:rsidRPr="00515739">
              <w:rPr>
                <w:rFonts w:ascii="Times New Roman" w:hAnsi="Times New Roman"/>
                <w:sz w:val="24"/>
                <w:lang w:val="es-ES" w:eastAsia="es-ES"/>
              </w:rPr>
              <w:t xml:space="preserve"> </w:t>
            </w:r>
            <w:proofErr w:type="spellStart"/>
            <w:r w:rsidRPr="00515739">
              <w:rPr>
                <w:rFonts w:ascii="Times New Roman" w:hAnsi="Times New Roman"/>
                <w:sz w:val="24"/>
                <w:lang w:val="es-ES" w:eastAsia="es-ES"/>
              </w:rPr>
              <w:t>surgery</w:t>
            </w:r>
            <w:proofErr w:type="spellEnd"/>
            <w:r w:rsidRPr="00515739">
              <w:rPr>
                <w:rFonts w:ascii="Times New Roman" w:hAnsi="Times New Roman"/>
                <w:sz w:val="24"/>
                <w:lang w:val="es-ES" w:eastAsia="es-ES"/>
              </w:rPr>
              <w:t xml:space="preserve"> (</w:t>
            </w:r>
            <w:proofErr w:type="spellStart"/>
            <w:r w:rsidRPr="00515739">
              <w:rPr>
                <w:rFonts w:ascii="Times New Roman" w:hAnsi="Times New Roman"/>
                <w:sz w:val="24"/>
                <w:lang w:val="es-ES" w:eastAsia="es-ES"/>
              </w:rPr>
              <w:t>phacovitrectomy</w:t>
            </w:r>
            <w:proofErr w:type="spellEnd"/>
            <w:r w:rsidRPr="00515739">
              <w:rPr>
                <w:rFonts w:ascii="Times New Roman" w:hAnsi="Times New Roman"/>
                <w:sz w:val="24"/>
                <w:lang w:val="es-ES" w:eastAsia="es-ES"/>
              </w:rPr>
              <w:t>)</w:t>
            </w:r>
          </w:p>
        </w:tc>
        <w:tc>
          <w:tcPr>
            <w:tcW w:w="1699" w:type="dxa"/>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101</w:t>
            </w:r>
          </w:p>
        </w:tc>
        <w:tc>
          <w:tcPr>
            <w:tcW w:w="1914" w:type="dxa"/>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73 (72.3)</w:t>
            </w:r>
          </w:p>
        </w:tc>
        <w:tc>
          <w:tcPr>
            <w:tcW w:w="0" w:type="auto"/>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28 (27.7)</w:t>
            </w:r>
          </w:p>
        </w:tc>
      </w:tr>
      <w:tr w:rsidR="001F19E8" w:rsidRPr="00515739" w:rsidTr="00B55FA4">
        <w:trPr>
          <w:tblCellSpacing w:w="15" w:type="dxa"/>
        </w:trPr>
        <w:tc>
          <w:tcPr>
            <w:tcW w:w="0" w:type="auto"/>
            <w:vAlign w:val="center"/>
            <w:hideMark/>
          </w:tcPr>
          <w:p w:rsidR="001F19E8" w:rsidRPr="00515739" w:rsidRDefault="001F19E8" w:rsidP="00C6044C">
            <w:pPr>
              <w:spacing w:line="240" w:lineRule="auto"/>
              <w:rPr>
                <w:rFonts w:ascii="Times New Roman" w:hAnsi="Times New Roman"/>
                <w:sz w:val="24"/>
                <w:lang w:val="es-ES" w:eastAsia="es-ES"/>
              </w:rPr>
            </w:pPr>
            <w:proofErr w:type="spellStart"/>
            <w:r w:rsidRPr="00515739">
              <w:rPr>
                <w:rFonts w:ascii="Times New Roman" w:hAnsi="Times New Roman"/>
                <w:sz w:val="24"/>
                <w:lang w:val="es-ES" w:eastAsia="es-ES"/>
              </w:rPr>
              <w:t>Sequential</w:t>
            </w:r>
            <w:proofErr w:type="spellEnd"/>
            <w:r w:rsidRPr="00515739">
              <w:rPr>
                <w:rFonts w:ascii="Times New Roman" w:hAnsi="Times New Roman"/>
                <w:sz w:val="24"/>
                <w:lang w:val="es-ES" w:eastAsia="es-ES"/>
              </w:rPr>
              <w:t xml:space="preserve">: PPV → </w:t>
            </w:r>
            <w:proofErr w:type="spellStart"/>
            <w:r w:rsidRPr="00515739">
              <w:rPr>
                <w:rFonts w:ascii="Times New Roman" w:hAnsi="Times New Roman"/>
                <w:sz w:val="24"/>
                <w:lang w:val="es-ES" w:eastAsia="es-ES"/>
              </w:rPr>
              <w:t>phacoemulsification</w:t>
            </w:r>
            <w:proofErr w:type="spellEnd"/>
          </w:p>
        </w:tc>
        <w:tc>
          <w:tcPr>
            <w:tcW w:w="1699" w:type="dxa"/>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30</w:t>
            </w:r>
          </w:p>
        </w:tc>
        <w:tc>
          <w:tcPr>
            <w:tcW w:w="1914" w:type="dxa"/>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29 (96.7)</w:t>
            </w:r>
          </w:p>
        </w:tc>
        <w:tc>
          <w:tcPr>
            <w:tcW w:w="0" w:type="auto"/>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1 (3.3)</w:t>
            </w:r>
          </w:p>
        </w:tc>
      </w:tr>
      <w:tr w:rsidR="001F19E8" w:rsidRPr="00515739" w:rsidTr="00B55FA4">
        <w:trPr>
          <w:tblCellSpacing w:w="15" w:type="dxa"/>
        </w:trPr>
        <w:tc>
          <w:tcPr>
            <w:tcW w:w="0" w:type="auto"/>
            <w:vAlign w:val="center"/>
            <w:hideMark/>
          </w:tcPr>
          <w:p w:rsidR="001F19E8" w:rsidRPr="00515739" w:rsidRDefault="001F19E8" w:rsidP="00C6044C">
            <w:pPr>
              <w:spacing w:line="240" w:lineRule="auto"/>
              <w:rPr>
                <w:rFonts w:ascii="Times New Roman" w:hAnsi="Times New Roman"/>
                <w:sz w:val="24"/>
                <w:lang w:val="es-ES" w:eastAsia="es-ES"/>
              </w:rPr>
            </w:pPr>
            <w:r w:rsidRPr="00515739">
              <w:rPr>
                <w:rFonts w:ascii="Times New Roman" w:hAnsi="Times New Roman"/>
                <w:sz w:val="24"/>
                <w:lang w:val="es-ES" w:eastAsia="es-ES"/>
              </w:rPr>
              <w:t xml:space="preserve">PPV in </w:t>
            </w:r>
            <w:proofErr w:type="spellStart"/>
            <w:r w:rsidRPr="00515739">
              <w:rPr>
                <w:rFonts w:ascii="Times New Roman" w:hAnsi="Times New Roman"/>
                <w:sz w:val="24"/>
                <w:lang w:val="es-ES" w:eastAsia="es-ES"/>
              </w:rPr>
              <w:t>pseudophakic</w:t>
            </w:r>
            <w:proofErr w:type="spellEnd"/>
            <w:r w:rsidRPr="00515739">
              <w:rPr>
                <w:rFonts w:ascii="Times New Roman" w:hAnsi="Times New Roman"/>
                <w:sz w:val="24"/>
                <w:lang w:val="es-ES" w:eastAsia="es-ES"/>
              </w:rPr>
              <w:t xml:space="preserve"> </w:t>
            </w:r>
            <w:proofErr w:type="spellStart"/>
            <w:r w:rsidRPr="00515739">
              <w:rPr>
                <w:rFonts w:ascii="Times New Roman" w:hAnsi="Times New Roman"/>
                <w:sz w:val="24"/>
                <w:lang w:val="es-ES" w:eastAsia="es-ES"/>
              </w:rPr>
              <w:t>eyes</w:t>
            </w:r>
            <w:proofErr w:type="spellEnd"/>
          </w:p>
        </w:tc>
        <w:tc>
          <w:tcPr>
            <w:tcW w:w="1699" w:type="dxa"/>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39</w:t>
            </w:r>
          </w:p>
        </w:tc>
        <w:tc>
          <w:tcPr>
            <w:tcW w:w="1914" w:type="dxa"/>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22 (56.4)</w:t>
            </w:r>
          </w:p>
        </w:tc>
        <w:tc>
          <w:tcPr>
            <w:tcW w:w="0" w:type="auto"/>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17 (43.6)</w:t>
            </w:r>
          </w:p>
        </w:tc>
      </w:tr>
      <w:tr w:rsidR="001F19E8" w:rsidRPr="00515739" w:rsidTr="00B55FA4">
        <w:trPr>
          <w:tblCellSpacing w:w="15" w:type="dxa"/>
        </w:trPr>
        <w:tc>
          <w:tcPr>
            <w:tcW w:w="0" w:type="auto"/>
            <w:vAlign w:val="center"/>
            <w:hideMark/>
          </w:tcPr>
          <w:p w:rsidR="001F19E8" w:rsidRPr="00515739" w:rsidRDefault="001F19E8" w:rsidP="00C6044C">
            <w:pPr>
              <w:spacing w:line="240" w:lineRule="auto"/>
              <w:rPr>
                <w:rFonts w:ascii="Times New Roman" w:hAnsi="Times New Roman"/>
                <w:sz w:val="24"/>
                <w:lang w:val="es-ES" w:eastAsia="es-ES"/>
              </w:rPr>
            </w:pPr>
            <w:r w:rsidRPr="00515739">
              <w:rPr>
                <w:rFonts w:ascii="Times New Roman" w:hAnsi="Times New Roman"/>
                <w:sz w:val="24"/>
                <w:lang w:val="es-ES" w:eastAsia="es-ES"/>
              </w:rPr>
              <w:t xml:space="preserve">PPV </w:t>
            </w:r>
            <w:proofErr w:type="spellStart"/>
            <w:r w:rsidRPr="00515739">
              <w:rPr>
                <w:rFonts w:ascii="Times New Roman" w:hAnsi="Times New Roman"/>
                <w:sz w:val="24"/>
                <w:lang w:val="es-ES" w:eastAsia="es-ES"/>
              </w:rPr>
              <w:t>without</w:t>
            </w:r>
            <w:proofErr w:type="spellEnd"/>
            <w:r w:rsidRPr="00515739">
              <w:rPr>
                <w:rFonts w:ascii="Times New Roman" w:hAnsi="Times New Roman"/>
                <w:sz w:val="24"/>
                <w:lang w:val="es-ES" w:eastAsia="es-ES"/>
              </w:rPr>
              <w:t xml:space="preserve"> </w:t>
            </w:r>
            <w:proofErr w:type="spellStart"/>
            <w:r w:rsidRPr="00515739">
              <w:rPr>
                <w:rFonts w:ascii="Times New Roman" w:hAnsi="Times New Roman"/>
                <w:sz w:val="24"/>
                <w:lang w:val="es-ES" w:eastAsia="es-ES"/>
              </w:rPr>
              <w:t>phacoemulsification</w:t>
            </w:r>
            <w:proofErr w:type="spellEnd"/>
          </w:p>
        </w:tc>
        <w:tc>
          <w:tcPr>
            <w:tcW w:w="1699" w:type="dxa"/>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5</w:t>
            </w:r>
          </w:p>
        </w:tc>
        <w:tc>
          <w:tcPr>
            <w:tcW w:w="1914" w:type="dxa"/>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2 (40.0)</w:t>
            </w:r>
          </w:p>
        </w:tc>
        <w:tc>
          <w:tcPr>
            <w:tcW w:w="0" w:type="auto"/>
            <w:vAlign w:val="center"/>
            <w:hideMark/>
          </w:tcPr>
          <w:p w:rsidR="001F19E8" w:rsidRPr="00515739" w:rsidRDefault="001F19E8" w:rsidP="00C6044C">
            <w:pPr>
              <w:spacing w:line="240" w:lineRule="auto"/>
              <w:jc w:val="right"/>
              <w:rPr>
                <w:rFonts w:ascii="Times New Roman" w:hAnsi="Times New Roman"/>
                <w:sz w:val="24"/>
                <w:lang w:val="es-ES" w:eastAsia="es-ES"/>
              </w:rPr>
            </w:pPr>
            <w:r w:rsidRPr="00515739">
              <w:rPr>
                <w:rFonts w:ascii="Times New Roman" w:hAnsi="Times New Roman"/>
                <w:sz w:val="24"/>
                <w:lang w:val="es-ES" w:eastAsia="es-ES"/>
              </w:rPr>
              <w:t>3 (60.0)</w:t>
            </w:r>
          </w:p>
        </w:tc>
      </w:tr>
      <w:tr w:rsidR="001F19E8" w:rsidRPr="00515739" w:rsidTr="00B55FA4">
        <w:trPr>
          <w:tblCellSpacing w:w="15" w:type="dxa"/>
        </w:trPr>
        <w:tc>
          <w:tcPr>
            <w:tcW w:w="0" w:type="auto"/>
            <w:vAlign w:val="center"/>
            <w:hideMark/>
          </w:tcPr>
          <w:p w:rsidR="001F19E8" w:rsidRPr="00DE2EAF" w:rsidRDefault="001F19E8" w:rsidP="00C6044C">
            <w:pPr>
              <w:spacing w:line="240" w:lineRule="auto"/>
              <w:rPr>
                <w:rFonts w:ascii="Times New Roman" w:hAnsi="Times New Roman"/>
                <w:sz w:val="24"/>
                <w:lang w:val="es-ES" w:eastAsia="es-ES"/>
              </w:rPr>
            </w:pPr>
            <w:r w:rsidRPr="00DE2EAF">
              <w:rPr>
                <w:rFonts w:ascii="Times New Roman" w:hAnsi="Times New Roman"/>
                <w:bCs/>
                <w:sz w:val="24"/>
                <w:lang w:val="es-ES" w:eastAsia="es-ES"/>
              </w:rPr>
              <w:t>Total</w:t>
            </w:r>
          </w:p>
        </w:tc>
        <w:tc>
          <w:tcPr>
            <w:tcW w:w="1699" w:type="dxa"/>
            <w:vAlign w:val="center"/>
            <w:hideMark/>
          </w:tcPr>
          <w:p w:rsidR="001F19E8" w:rsidRPr="00DE2EAF" w:rsidRDefault="001F19E8" w:rsidP="00C6044C">
            <w:pPr>
              <w:spacing w:line="240" w:lineRule="auto"/>
              <w:jc w:val="right"/>
              <w:rPr>
                <w:rFonts w:ascii="Times New Roman" w:hAnsi="Times New Roman"/>
                <w:sz w:val="24"/>
                <w:lang w:val="es-ES" w:eastAsia="es-ES"/>
              </w:rPr>
            </w:pPr>
            <w:r w:rsidRPr="00DE2EAF">
              <w:rPr>
                <w:rFonts w:ascii="Times New Roman" w:hAnsi="Times New Roman"/>
                <w:bCs/>
                <w:sz w:val="24"/>
                <w:lang w:val="es-ES" w:eastAsia="es-ES"/>
              </w:rPr>
              <w:t>175</w:t>
            </w:r>
          </w:p>
        </w:tc>
        <w:tc>
          <w:tcPr>
            <w:tcW w:w="1914" w:type="dxa"/>
            <w:vAlign w:val="center"/>
            <w:hideMark/>
          </w:tcPr>
          <w:p w:rsidR="001F19E8" w:rsidRPr="00DE2EAF" w:rsidRDefault="001F19E8" w:rsidP="00C6044C">
            <w:pPr>
              <w:spacing w:line="240" w:lineRule="auto"/>
              <w:jc w:val="right"/>
              <w:rPr>
                <w:rFonts w:ascii="Times New Roman" w:hAnsi="Times New Roman"/>
                <w:sz w:val="24"/>
                <w:lang w:val="es-ES" w:eastAsia="es-ES"/>
              </w:rPr>
            </w:pPr>
            <w:r w:rsidRPr="00DE2EAF">
              <w:rPr>
                <w:rFonts w:ascii="Times New Roman" w:hAnsi="Times New Roman"/>
                <w:bCs/>
                <w:sz w:val="24"/>
                <w:lang w:val="es-ES" w:eastAsia="es-ES"/>
              </w:rPr>
              <w:t>126 (72.0)</w:t>
            </w:r>
          </w:p>
        </w:tc>
        <w:tc>
          <w:tcPr>
            <w:tcW w:w="0" w:type="auto"/>
            <w:vAlign w:val="center"/>
            <w:hideMark/>
          </w:tcPr>
          <w:p w:rsidR="001F19E8" w:rsidRPr="00DE2EAF" w:rsidRDefault="001F19E8" w:rsidP="00C6044C">
            <w:pPr>
              <w:spacing w:line="240" w:lineRule="auto"/>
              <w:jc w:val="right"/>
              <w:rPr>
                <w:rFonts w:ascii="Times New Roman" w:hAnsi="Times New Roman"/>
                <w:sz w:val="24"/>
                <w:lang w:val="es-ES" w:eastAsia="es-ES"/>
              </w:rPr>
            </w:pPr>
            <w:r w:rsidRPr="00DE2EAF">
              <w:rPr>
                <w:rFonts w:ascii="Times New Roman" w:hAnsi="Times New Roman"/>
                <w:bCs/>
                <w:sz w:val="24"/>
                <w:lang w:val="es-ES" w:eastAsia="es-ES"/>
              </w:rPr>
              <w:t>49 (28.0)</w:t>
            </w:r>
          </w:p>
        </w:tc>
      </w:tr>
    </w:tbl>
    <w:p w:rsidR="001F19E8" w:rsidRDefault="001F19E8" w:rsidP="001F19E8">
      <w:pPr>
        <w:rPr>
          <w:rFonts w:cs="Arial"/>
          <w:b/>
        </w:rPr>
      </w:pPr>
      <w:r>
        <w:rPr>
          <w:sz w:val="18"/>
        </w:rPr>
        <w:t>Notes: Percentages are calculated within each surgical modality. The primary outcome was 1-year BCVA; eyes without a recorded 1-year BCVA were considered missing outcome data and were excluded from analyses requiring that outcome. Bold text indicates table headings and labels only.</w:t>
      </w:r>
    </w:p>
    <w:p w:rsidR="001F19E8" w:rsidRPr="00FC3F58" w:rsidRDefault="001F19E8" w:rsidP="001F19E8">
      <w:pPr>
        <w:rPr>
          <w:rFonts w:cs="Arial"/>
          <w:b/>
        </w:rPr>
      </w:pPr>
    </w:p>
    <w:p w:rsidR="00AC628F" w:rsidRDefault="00AC628F"/>
    <w:p w:rsidR="00465840" w:rsidRDefault="00465840"/>
    <w:p w:rsidR="00465840" w:rsidRDefault="00465840"/>
    <w:p w:rsidR="0037748C" w:rsidRDefault="0037748C"/>
    <w:p w:rsidR="0037748C" w:rsidRDefault="0037748C">
      <w:pPr>
        <w:rPr>
          <w:rFonts w:cs="Arial"/>
          <w:b/>
          <w:highlight w:val="yellow"/>
        </w:rPr>
      </w:pPr>
    </w:p>
    <w:p w:rsidR="0037748C" w:rsidRDefault="0037748C">
      <w:pPr>
        <w:rPr>
          <w:rFonts w:cs="Arial"/>
          <w:b/>
          <w:highlight w:val="yellow"/>
        </w:rPr>
      </w:pPr>
    </w:p>
    <w:p w:rsidR="00FC0104" w:rsidRDefault="00FC0104" w:rsidP="00B55FA4">
      <w:pPr>
        <w:autoSpaceDE w:val="0"/>
        <w:autoSpaceDN w:val="0"/>
        <w:adjustRightInd w:val="0"/>
        <w:spacing w:line="240" w:lineRule="auto"/>
        <w:rPr>
          <w:rFonts w:cs="Arial"/>
          <w:b/>
          <w:bCs/>
          <w:color w:val="1F1F1F"/>
          <w:sz w:val="25"/>
          <w:szCs w:val="25"/>
        </w:rPr>
      </w:pPr>
    </w:p>
    <w:p w:rsidR="00FC0104" w:rsidRDefault="00FC0104" w:rsidP="00B55FA4">
      <w:pPr>
        <w:autoSpaceDE w:val="0"/>
        <w:autoSpaceDN w:val="0"/>
        <w:adjustRightInd w:val="0"/>
        <w:spacing w:line="240" w:lineRule="auto"/>
        <w:rPr>
          <w:rFonts w:cs="Arial"/>
          <w:b/>
          <w:bCs/>
          <w:color w:val="1F1F1F"/>
          <w:sz w:val="25"/>
          <w:szCs w:val="25"/>
        </w:rPr>
      </w:pPr>
    </w:p>
    <w:p w:rsidR="00FC0104" w:rsidRDefault="00FC0104" w:rsidP="00B55FA4">
      <w:pPr>
        <w:autoSpaceDE w:val="0"/>
        <w:autoSpaceDN w:val="0"/>
        <w:adjustRightInd w:val="0"/>
        <w:spacing w:line="240" w:lineRule="auto"/>
        <w:rPr>
          <w:rFonts w:cs="Arial"/>
          <w:b/>
          <w:bCs/>
          <w:color w:val="1F1F1F"/>
          <w:sz w:val="25"/>
          <w:szCs w:val="25"/>
        </w:rPr>
      </w:pPr>
    </w:p>
    <w:p w:rsidR="00B55FA4" w:rsidRDefault="00B55FA4" w:rsidP="00B55FA4">
      <w:pPr>
        <w:autoSpaceDE w:val="0"/>
        <w:autoSpaceDN w:val="0"/>
        <w:adjustRightInd w:val="0"/>
        <w:spacing w:line="240" w:lineRule="auto"/>
        <w:rPr>
          <w:rFonts w:cs="Arial"/>
          <w:b/>
          <w:bCs/>
          <w:color w:val="1F1F1F"/>
          <w:sz w:val="25"/>
          <w:szCs w:val="25"/>
        </w:rPr>
      </w:pPr>
      <w:proofErr w:type="gramStart"/>
      <w:r>
        <w:rPr>
          <w:rFonts w:cs="Arial"/>
          <w:b/>
          <w:bCs/>
          <w:color w:val="1F1F1F"/>
          <w:sz w:val="25"/>
          <w:szCs w:val="25"/>
        </w:rPr>
        <w:t>Supplementary Table S3.</w:t>
      </w:r>
      <w:proofErr w:type="gramEnd"/>
      <w:r>
        <w:rPr>
          <w:rFonts w:cs="Arial"/>
          <w:b/>
          <w:bCs/>
          <w:color w:val="1F1F1F"/>
          <w:sz w:val="25"/>
          <w:szCs w:val="25"/>
        </w:rPr>
        <w:t xml:space="preserve"> Multivariable mixed-effects model for BCVA</w:t>
      </w:r>
    </w:p>
    <w:p w:rsidR="00B55FA4" w:rsidRDefault="00B55FA4" w:rsidP="00B55FA4">
      <w:r>
        <w:rPr>
          <w:rFonts w:cs="Arial"/>
          <w:b/>
          <w:bCs/>
          <w:color w:val="1F1F1F"/>
          <w:sz w:val="25"/>
          <w:szCs w:val="25"/>
        </w:rPr>
        <w:t>(</w:t>
      </w:r>
      <w:proofErr w:type="spellStart"/>
      <w:proofErr w:type="gramStart"/>
      <w:r>
        <w:rPr>
          <w:rFonts w:cs="Arial"/>
          <w:b/>
          <w:bCs/>
          <w:color w:val="1F1F1F"/>
          <w:sz w:val="25"/>
          <w:szCs w:val="25"/>
        </w:rPr>
        <w:t>logMAR</w:t>
      </w:r>
      <w:proofErr w:type="spellEnd"/>
      <w:proofErr w:type="gramEnd"/>
      <w:r>
        <w:rPr>
          <w:rFonts w:cs="Arial"/>
          <w:b/>
          <w:bCs/>
          <w:color w:val="1F1F1F"/>
          <w:sz w:val="25"/>
          <w:szCs w:val="25"/>
        </w:rPr>
        <w:t>) at 1 year</w:t>
      </w:r>
    </w:p>
    <w:p w:rsidR="00B55FA4" w:rsidRDefault="00B55FA4" w:rsidP="00B55FA4">
      <w:r>
        <w:rPr>
          <w:rFonts w:cs="Arial"/>
          <w:color w:val="444444"/>
          <w:sz w:val="18"/>
          <w:szCs w:val="18"/>
        </w:rPr>
        <w:t>Outcome: 1-year best-corrected visual acuity (</w:t>
      </w:r>
      <w:proofErr w:type="spellStart"/>
      <w:r>
        <w:rPr>
          <w:rFonts w:cs="Arial"/>
          <w:color w:val="444444"/>
          <w:sz w:val="18"/>
          <w:szCs w:val="18"/>
        </w:rPr>
        <w:t>logMAR</w:t>
      </w:r>
      <w:proofErr w:type="spellEnd"/>
      <w:r>
        <w:rPr>
          <w:rFonts w:cs="Arial"/>
          <w:color w:val="444444"/>
          <w:sz w:val="18"/>
          <w:szCs w:val="18"/>
        </w:rPr>
        <w:t>)</w:t>
      </w:r>
    </w:p>
    <w:tbl>
      <w:tblPr>
        <w:tblW w:w="0" w:type="auto"/>
        <w:tblCellSpacing w:w="15" w:type="dxa"/>
        <w:tblCellMar>
          <w:top w:w="15" w:type="dxa"/>
          <w:left w:w="15" w:type="dxa"/>
          <w:bottom w:w="15" w:type="dxa"/>
          <w:right w:w="15" w:type="dxa"/>
        </w:tblCellMar>
        <w:tblLook w:val="04A0"/>
      </w:tblPr>
      <w:tblGrid>
        <w:gridCol w:w="4942"/>
        <w:gridCol w:w="967"/>
        <w:gridCol w:w="1460"/>
        <w:gridCol w:w="1559"/>
      </w:tblGrid>
      <w:tr w:rsidR="00B55FA4" w:rsidRPr="007D0401" w:rsidTr="00B55FA4">
        <w:trPr>
          <w:tblHeader/>
          <w:tblCellSpacing w:w="15" w:type="dxa"/>
        </w:trPr>
        <w:tc>
          <w:tcPr>
            <w:tcW w:w="0" w:type="auto"/>
            <w:vAlign w:val="center"/>
            <w:hideMark/>
          </w:tcPr>
          <w:p w:rsidR="00B55FA4" w:rsidRPr="007D0401" w:rsidRDefault="00B55FA4" w:rsidP="00C6044C">
            <w:pPr>
              <w:spacing w:line="240" w:lineRule="auto"/>
              <w:jc w:val="center"/>
              <w:rPr>
                <w:rFonts w:ascii="Times New Roman" w:hAnsi="Times New Roman"/>
                <w:b/>
                <w:bCs/>
                <w:sz w:val="24"/>
                <w:lang w:eastAsia="es-ES"/>
              </w:rPr>
            </w:pPr>
            <w:r w:rsidRPr="007D0401">
              <w:rPr>
                <w:rFonts w:ascii="Times New Roman" w:hAnsi="Times New Roman"/>
                <w:b/>
                <w:bCs/>
                <w:sz w:val="24"/>
                <w:lang w:eastAsia="es-ES"/>
              </w:rPr>
              <w:t>Predictor</w:t>
            </w:r>
          </w:p>
        </w:tc>
        <w:tc>
          <w:tcPr>
            <w:tcW w:w="0" w:type="auto"/>
            <w:vAlign w:val="center"/>
            <w:hideMark/>
          </w:tcPr>
          <w:p w:rsidR="00B55FA4" w:rsidRPr="007D0401" w:rsidRDefault="00B55FA4" w:rsidP="00C6044C">
            <w:pPr>
              <w:spacing w:line="240" w:lineRule="auto"/>
              <w:jc w:val="right"/>
              <w:rPr>
                <w:rFonts w:ascii="Times New Roman" w:hAnsi="Times New Roman"/>
                <w:b/>
                <w:bCs/>
                <w:sz w:val="24"/>
                <w:lang w:eastAsia="es-ES"/>
              </w:rPr>
            </w:pPr>
            <w:r w:rsidRPr="007D0401">
              <w:rPr>
                <w:rFonts w:ascii="Times New Roman" w:hAnsi="Times New Roman"/>
                <w:b/>
                <w:bCs/>
                <w:sz w:val="24"/>
                <w:lang w:eastAsia="es-ES"/>
              </w:rPr>
              <w:t>Estimate</w:t>
            </w:r>
          </w:p>
        </w:tc>
        <w:tc>
          <w:tcPr>
            <w:tcW w:w="1430" w:type="dxa"/>
            <w:vAlign w:val="center"/>
            <w:hideMark/>
          </w:tcPr>
          <w:p w:rsidR="00B55FA4" w:rsidRPr="007D0401" w:rsidRDefault="00B55FA4" w:rsidP="00C6044C">
            <w:pPr>
              <w:spacing w:line="240" w:lineRule="auto"/>
              <w:jc w:val="right"/>
              <w:rPr>
                <w:rFonts w:ascii="Times New Roman" w:hAnsi="Times New Roman"/>
                <w:b/>
                <w:bCs/>
                <w:sz w:val="24"/>
                <w:lang w:eastAsia="es-ES"/>
              </w:rPr>
            </w:pPr>
            <w:r w:rsidRPr="007D0401">
              <w:rPr>
                <w:rFonts w:ascii="Times New Roman" w:hAnsi="Times New Roman"/>
                <w:b/>
                <w:bCs/>
                <w:sz w:val="24"/>
                <w:lang w:eastAsia="es-ES"/>
              </w:rPr>
              <w:t>95% CI</w:t>
            </w:r>
          </w:p>
        </w:tc>
        <w:tc>
          <w:tcPr>
            <w:tcW w:w="1514" w:type="dxa"/>
            <w:vAlign w:val="center"/>
            <w:hideMark/>
          </w:tcPr>
          <w:p w:rsidR="00B55FA4" w:rsidRPr="007D0401" w:rsidRDefault="00B55FA4" w:rsidP="00C6044C">
            <w:pPr>
              <w:spacing w:line="240" w:lineRule="auto"/>
              <w:jc w:val="right"/>
              <w:rPr>
                <w:rFonts w:ascii="Times New Roman" w:hAnsi="Times New Roman"/>
                <w:b/>
                <w:bCs/>
                <w:sz w:val="24"/>
                <w:lang w:eastAsia="es-ES"/>
              </w:rPr>
            </w:pPr>
            <w:r w:rsidRPr="007D0401">
              <w:rPr>
                <w:rFonts w:ascii="Times New Roman" w:hAnsi="Times New Roman"/>
                <w:b/>
                <w:bCs/>
                <w:sz w:val="24"/>
                <w:lang w:eastAsia="es-ES"/>
              </w:rPr>
              <w:t>p-value</w:t>
            </w:r>
          </w:p>
        </w:tc>
      </w:tr>
      <w:tr w:rsidR="00B55FA4" w:rsidRPr="007D0401" w:rsidTr="00B55FA4">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Intercept</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-0.32</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-0.80 to 0.16</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0.189</w:t>
            </w:r>
          </w:p>
        </w:tc>
      </w:tr>
      <w:tr w:rsidR="00B55FA4" w:rsidRPr="007D0401" w:rsidTr="00B55FA4">
        <w:trPr>
          <w:tblCellSpacing w:w="15" w:type="dxa"/>
        </w:trPr>
        <w:tc>
          <w:tcPr>
            <w:tcW w:w="0" w:type="auto"/>
            <w:vAlign w:val="center"/>
            <w:hideMark/>
          </w:tcPr>
          <w:p w:rsidR="00B55FA4" w:rsidRPr="007D0401" w:rsidRDefault="002A4B87" w:rsidP="00C6044C">
            <w:pPr>
              <w:spacing w:line="240" w:lineRule="auto"/>
              <w:rPr>
                <w:rFonts w:ascii="Times New Roman" w:hAnsi="Times New Roman"/>
                <w:sz w:val="24"/>
                <w:lang w:eastAsia="es-ES"/>
              </w:rPr>
            </w:pPr>
            <w:r>
              <w:rPr>
                <w:rFonts w:ascii="Times New Roman" w:hAnsi="Times New Roman"/>
                <w:sz w:val="24"/>
                <w:lang w:eastAsia="es-ES"/>
              </w:rPr>
              <w:t>Pre-PPV BCVA</w:t>
            </w:r>
            <w:r w:rsidR="00B55FA4" w:rsidRPr="007D0401">
              <w:rPr>
                <w:rFonts w:ascii="Times New Roman" w:hAnsi="Times New Roman"/>
                <w:sz w:val="24"/>
                <w:lang w:eastAsia="es-ES"/>
              </w:rPr>
              <w:t xml:space="preserve"> (</w:t>
            </w:r>
            <w:proofErr w:type="spellStart"/>
            <w:r w:rsidR="00B55FA4" w:rsidRPr="007D0401">
              <w:rPr>
                <w:rFonts w:ascii="Times New Roman" w:hAnsi="Times New Roman"/>
                <w:sz w:val="24"/>
                <w:lang w:eastAsia="es-ES"/>
              </w:rPr>
              <w:t>logMAR</w:t>
            </w:r>
            <w:proofErr w:type="spellEnd"/>
            <w:r w:rsidR="00B55FA4" w:rsidRPr="007D0401">
              <w:rPr>
                <w:rFonts w:ascii="Times New Roman" w:hAnsi="Times New Roman"/>
                <w:sz w:val="24"/>
                <w:lang w:eastAsia="es-ES"/>
              </w:rPr>
              <w:t>)</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0.60</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0.32 to 0.89</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&lt;0.001</w:t>
            </w:r>
          </w:p>
        </w:tc>
      </w:tr>
      <w:tr w:rsidR="00B55FA4" w:rsidRPr="007D0401" w:rsidTr="00B55FA4">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Age</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0.00</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-0.00 to 0.01</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0.334</w:t>
            </w:r>
          </w:p>
        </w:tc>
      </w:tr>
      <w:tr w:rsidR="00B55FA4" w:rsidRPr="007D0401" w:rsidTr="00B55FA4">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Lens status [Cataract]</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0.15</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-0.09 to 0.39</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0.207</w:t>
            </w:r>
          </w:p>
        </w:tc>
      </w:tr>
      <w:tr w:rsidR="00B55FA4" w:rsidRPr="007D0401" w:rsidTr="00B55FA4">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Lens status [</w:t>
            </w:r>
            <w:proofErr w:type="spellStart"/>
            <w:r w:rsidRPr="007D0401">
              <w:rPr>
                <w:rFonts w:ascii="Times New Roman" w:hAnsi="Times New Roman"/>
                <w:sz w:val="24"/>
                <w:lang w:eastAsia="es-ES"/>
              </w:rPr>
              <w:t>Pseudophakia</w:t>
            </w:r>
            <w:proofErr w:type="spellEnd"/>
            <w:r w:rsidRPr="007D0401">
              <w:rPr>
                <w:rFonts w:ascii="Times New Roman" w:hAnsi="Times New Roman"/>
                <w:sz w:val="24"/>
                <w:lang w:eastAsia="es-ES"/>
              </w:rPr>
              <w:t>]</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0.18</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-0.08 to 0.44</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0.171</w:t>
            </w:r>
          </w:p>
        </w:tc>
      </w:tr>
      <w:tr w:rsidR="00B55FA4" w:rsidRPr="007D0401" w:rsidTr="00B55FA4">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Lens status [Nuclear sclerosis]</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0.16</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-0.05 to 0.38</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0.138</w:t>
            </w:r>
          </w:p>
        </w:tc>
      </w:tr>
      <w:tr w:rsidR="00B55FA4" w:rsidRPr="007D0401" w:rsidTr="00B55FA4">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LMH subtype [Mixed]</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-0.06</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-0.21 to 0.09</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0.433</w:t>
            </w:r>
          </w:p>
        </w:tc>
      </w:tr>
      <w:tr w:rsidR="00B55FA4" w:rsidRPr="007D0401" w:rsidTr="00B55FA4">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LMH subtype [Degenerative]</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-0.08</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-0.25 to 0.09</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0.359</w:t>
            </w:r>
          </w:p>
        </w:tc>
      </w:tr>
      <w:tr w:rsidR="00B55FA4" w:rsidRPr="007D0401" w:rsidTr="00B55FA4">
        <w:trPr>
          <w:tblCellSpacing w:w="15" w:type="dxa"/>
        </w:trPr>
        <w:tc>
          <w:tcPr>
            <w:tcW w:w="0" w:type="auto"/>
            <w:vAlign w:val="center"/>
            <w:hideMark/>
          </w:tcPr>
          <w:p w:rsidR="00C641C5" w:rsidRDefault="00CA4182">
            <w:r>
              <w:t xml:space="preserve">Surgery sequence [PPV followed by </w:t>
            </w:r>
            <w:proofErr w:type="spellStart"/>
            <w:r>
              <w:t>phacoemulsification</w:t>
            </w:r>
            <w:proofErr w:type="spellEnd"/>
            <w:r>
              <w:t>]</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0.14</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-0.06 to 0.35</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0.157</w:t>
            </w:r>
          </w:p>
        </w:tc>
      </w:tr>
      <w:tr w:rsidR="00B55FA4" w:rsidRPr="007D0401" w:rsidTr="00B55FA4">
        <w:trPr>
          <w:tblCellSpacing w:w="15" w:type="dxa"/>
        </w:trPr>
        <w:tc>
          <w:tcPr>
            <w:tcW w:w="0" w:type="auto"/>
            <w:vAlign w:val="center"/>
            <w:hideMark/>
          </w:tcPr>
          <w:p w:rsidR="00C641C5" w:rsidRDefault="00CA4182">
            <w:r>
              <w:t xml:space="preserve">Surgery sequence [PPV without </w:t>
            </w:r>
            <w:proofErr w:type="spellStart"/>
            <w:r>
              <w:t>phacoemulsification</w:t>
            </w:r>
            <w:proofErr w:type="spellEnd"/>
            <w:r>
              <w:t>]</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0.30</w:t>
            </w:r>
          </w:p>
        </w:tc>
        <w:tc>
          <w:tcPr>
            <w:tcW w:w="1430"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-0.22 to 0.82</w:t>
            </w:r>
          </w:p>
        </w:tc>
        <w:tc>
          <w:tcPr>
            <w:tcW w:w="1514" w:type="dxa"/>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0.258</w:t>
            </w:r>
          </w:p>
        </w:tc>
      </w:tr>
    </w:tbl>
    <w:p w:rsidR="00B55FA4" w:rsidRDefault="00B55FA4" w:rsidP="00B55FA4"/>
    <w:p w:rsidR="00B55FA4" w:rsidRPr="00D027A7" w:rsidRDefault="00B55FA4" w:rsidP="00B55FA4">
      <w:pPr>
        <w:rPr>
          <w:b/>
        </w:rPr>
      </w:pPr>
      <w:r w:rsidRPr="00D027A7">
        <w:rPr>
          <w:b/>
        </w:rPr>
        <w:t>Random effects and model performance</w:t>
      </w:r>
    </w:p>
    <w:tbl>
      <w:tblPr>
        <w:tblW w:w="0" w:type="auto"/>
        <w:tblCellSpacing w:w="15" w:type="dxa"/>
        <w:tblCellMar>
          <w:top w:w="15" w:type="dxa"/>
          <w:left w:w="15" w:type="dxa"/>
          <w:bottom w:w="15" w:type="dxa"/>
          <w:right w:w="15" w:type="dxa"/>
        </w:tblCellMar>
        <w:tblLook w:val="04A0"/>
      </w:tblPr>
      <w:tblGrid>
        <w:gridCol w:w="3800"/>
        <w:gridCol w:w="1342"/>
      </w:tblGrid>
      <w:tr w:rsidR="00B55FA4" w:rsidRPr="007D0401" w:rsidTr="00C6044C">
        <w:trPr>
          <w:tblHeader/>
          <w:tblCellSpacing w:w="15" w:type="dxa"/>
        </w:trPr>
        <w:tc>
          <w:tcPr>
            <w:tcW w:w="0" w:type="auto"/>
            <w:vAlign w:val="center"/>
            <w:hideMark/>
          </w:tcPr>
          <w:p w:rsidR="00B55FA4" w:rsidRPr="007D0401" w:rsidRDefault="00B55FA4" w:rsidP="00C6044C">
            <w:pPr>
              <w:spacing w:line="240" w:lineRule="auto"/>
              <w:jc w:val="center"/>
              <w:rPr>
                <w:rFonts w:ascii="Times New Roman" w:hAnsi="Times New Roman"/>
                <w:b/>
                <w:bCs/>
                <w:sz w:val="24"/>
                <w:lang w:eastAsia="es-ES"/>
              </w:rPr>
            </w:pPr>
            <w:r w:rsidRPr="007D0401">
              <w:rPr>
                <w:rFonts w:ascii="Times New Roman" w:hAnsi="Times New Roman"/>
                <w:b/>
                <w:bCs/>
                <w:sz w:val="24"/>
                <w:lang w:eastAsia="es-ES"/>
              </w:rPr>
              <w:t>Parameter</w:t>
            </w:r>
          </w:p>
        </w:tc>
        <w:tc>
          <w:tcPr>
            <w:tcW w:w="0" w:type="auto"/>
            <w:vAlign w:val="center"/>
            <w:hideMark/>
          </w:tcPr>
          <w:p w:rsidR="00B55FA4" w:rsidRPr="007D0401" w:rsidRDefault="00B55FA4" w:rsidP="00C6044C">
            <w:pPr>
              <w:spacing w:line="240" w:lineRule="auto"/>
              <w:jc w:val="right"/>
              <w:rPr>
                <w:rFonts w:ascii="Times New Roman" w:hAnsi="Times New Roman"/>
                <w:b/>
                <w:bCs/>
                <w:sz w:val="24"/>
                <w:lang w:eastAsia="es-ES"/>
              </w:rPr>
            </w:pPr>
            <w:r w:rsidRPr="007D0401">
              <w:rPr>
                <w:rFonts w:ascii="Times New Roman" w:hAnsi="Times New Roman"/>
                <w:b/>
                <w:bCs/>
                <w:sz w:val="24"/>
                <w:lang w:eastAsia="es-ES"/>
              </w:rPr>
              <w:t>Value</w:t>
            </w:r>
          </w:p>
        </w:tc>
      </w:tr>
      <w:tr w:rsidR="00B55FA4" w:rsidRPr="007D0401" w:rsidTr="00C6044C">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Residual variance (σ²)</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0.03</w:t>
            </w:r>
          </w:p>
        </w:tc>
      </w:tr>
      <w:tr w:rsidR="00B55FA4" w:rsidRPr="007D0401" w:rsidTr="00C6044C">
        <w:trPr>
          <w:tblCellSpacing w:w="15" w:type="dxa"/>
        </w:trPr>
        <w:tc>
          <w:tcPr>
            <w:tcW w:w="0" w:type="auto"/>
            <w:vAlign w:val="center"/>
            <w:hideMark/>
          </w:tcPr>
          <w:p w:rsidR="00B55FA4" w:rsidRPr="007D0401" w:rsidRDefault="002A4B87" w:rsidP="00C6044C">
            <w:pPr>
              <w:spacing w:line="240" w:lineRule="auto"/>
              <w:rPr>
                <w:rFonts w:ascii="Times New Roman" w:hAnsi="Times New Roman"/>
                <w:sz w:val="24"/>
                <w:lang w:eastAsia="es-ES"/>
              </w:rPr>
            </w:pPr>
            <w:r>
              <w:rPr>
                <w:rFonts w:ascii="Times New Roman" w:hAnsi="Times New Roman"/>
                <w:sz w:val="24"/>
                <w:lang w:eastAsia="es-ES"/>
              </w:rPr>
              <w:t>Between-patient</w:t>
            </w:r>
            <w:r w:rsidR="00B55FA4" w:rsidRPr="007D0401">
              <w:rPr>
                <w:rFonts w:ascii="Times New Roman" w:hAnsi="Times New Roman"/>
                <w:sz w:val="24"/>
                <w:lang w:eastAsia="es-ES"/>
              </w:rPr>
              <w:t xml:space="preserve"> variance (τ00)</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0.08</w:t>
            </w:r>
          </w:p>
        </w:tc>
      </w:tr>
      <w:tr w:rsidR="00B55FA4" w:rsidRPr="007D0401" w:rsidTr="00C6044C">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proofErr w:type="spellStart"/>
            <w:r w:rsidRPr="007D0401">
              <w:rPr>
                <w:rFonts w:ascii="Times New Roman" w:hAnsi="Times New Roman"/>
                <w:sz w:val="24"/>
                <w:lang w:eastAsia="es-ES"/>
              </w:rPr>
              <w:t>Intraclass</w:t>
            </w:r>
            <w:proofErr w:type="spellEnd"/>
            <w:r w:rsidRPr="007D0401">
              <w:rPr>
                <w:rFonts w:ascii="Times New Roman" w:hAnsi="Times New Roman"/>
                <w:sz w:val="24"/>
                <w:lang w:eastAsia="es-ES"/>
              </w:rPr>
              <w:t xml:space="preserve"> correlation coefficient (ICC)</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0.71</w:t>
            </w:r>
          </w:p>
        </w:tc>
      </w:tr>
      <w:tr w:rsidR="00B55FA4" w:rsidRPr="007D0401" w:rsidTr="00C6044C">
        <w:trPr>
          <w:tblCellSpacing w:w="15" w:type="dxa"/>
        </w:trPr>
        <w:tc>
          <w:tcPr>
            <w:tcW w:w="0" w:type="auto"/>
            <w:vAlign w:val="center"/>
            <w:hideMark/>
          </w:tcPr>
          <w:p w:rsidR="00B55FA4" w:rsidRPr="007D0401" w:rsidRDefault="002A4B87" w:rsidP="00C6044C">
            <w:pPr>
              <w:spacing w:line="240" w:lineRule="auto"/>
              <w:rPr>
                <w:rFonts w:ascii="Times New Roman" w:hAnsi="Times New Roman"/>
                <w:sz w:val="24"/>
                <w:lang w:eastAsia="es-ES"/>
              </w:rPr>
            </w:pPr>
            <w:r>
              <w:rPr>
                <w:rFonts w:ascii="Times New Roman" w:hAnsi="Times New Roman"/>
                <w:sz w:val="24"/>
                <w:lang w:eastAsia="es-ES"/>
              </w:rPr>
              <w:t>Patients</w:t>
            </w:r>
            <w:r w:rsidR="00B55FA4" w:rsidRPr="007D0401">
              <w:rPr>
                <w:rFonts w:ascii="Times New Roman" w:hAnsi="Times New Roman"/>
                <w:sz w:val="24"/>
                <w:lang w:eastAsia="es-ES"/>
              </w:rPr>
              <w:t>, n</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119</w:t>
            </w:r>
          </w:p>
        </w:tc>
      </w:tr>
      <w:tr w:rsidR="00B55FA4" w:rsidRPr="007D0401" w:rsidTr="00C6044C">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Observations, n</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123</w:t>
            </w:r>
          </w:p>
        </w:tc>
      </w:tr>
      <w:tr w:rsidR="00B55FA4" w:rsidRPr="007D0401" w:rsidTr="00C6044C">
        <w:trPr>
          <w:tblCellSpacing w:w="15" w:type="dxa"/>
        </w:trPr>
        <w:tc>
          <w:tcPr>
            <w:tcW w:w="0" w:type="auto"/>
            <w:vAlign w:val="center"/>
            <w:hideMark/>
          </w:tcPr>
          <w:p w:rsidR="00B55FA4" w:rsidRPr="007D0401" w:rsidRDefault="00B55FA4" w:rsidP="00C6044C">
            <w:pPr>
              <w:spacing w:line="240" w:lineRule="auto"/>
              <w:rPr>
                <w:rFonts w:ascii="Times New Roman" w:hAnsi="Times New Roman"/>
                <w:sz w:val="24"/>
                <w:lang w:eastAsia="es-ES"/>
              </w:rPr>
            </w:pPr>
            <w:r w:rsidRPr="007D0401">
              <w:rPr>
                <w:rFonts w:ascii="Times New Roman" w:hAnsi="Times New Roman"/>
                <w:sz w:val="24"/>
                <w:lang w:eastAsia="es-ES"/>
              </w:rPr>
              <w:t>Marginal R² / Conditional R²</w:t>
            </w:r>
          </w:p>
        </w:tc>
        <w:tc>
          <w:tcPr>
            <w:tcW w:w="0" w:type="auto"/>
            <w:vAlign w:val="center"/>
            <w:hideMark/>
          </w:tcPr>
          <w:p w:rsidR="00B55FA4" w:rsidRPr="007D0401" w:rsidRDefault="00B55FA4" w:rsidP="00C6044C">
            <w:pPr>
              <w:spacing w:line="240" w:lineRule="auto"/>
              <w:jc w:val="right"/>
              <w:rPr>
                <w:rFonts w:ascii="Times New Roman" w:hAnsi="Times New Roman"/>
                <w:sz w:val="24"/>
                <w:lang w:eastAsia="es-ES"/>
              </w:rPr>
            </w:pPr>
            <w:r w:rsidRPr="007D0401">
              <w:rPr>
                <w:rFonts w:ascii="Times New Roman" w:hAnsi="Times New Roman"/>
                <w:sz w:val="24"/>
                <w:lang w:eastAsia="es-ES"/>
              </w:rPr>
              <w:t>0.154 / 0.754</w:t>
            </w:r>
          </w:p>
        </w:tc>
      </w:tr>
    </w:tbl>
    <w:p w:rsidR="00B55FA4" w:rsidRDefault="00B55FA4" w:rsidP="00B55FA4"/>
    <w:p w:rsidR="00B55FA4" w:rsidRDefault="00B55FA4" w:rsidP="00B55FA4">
      <w:pPr>
        <w:autoSpaceDE w:val="0"/>
        <w:autoSpaceDN w:val="0"/>
        <w:adjustRightInd w:val="0"/>
        <w:spacing w:line="240" w:lineRule="auto"/>
        <w:rPr>
          <w:rFonts w:cs="Arial"/>
          <w:color w:val="333333"/>
          <w:sz w:val="17"/>
          <w:szCs w:val="17"/>
        </w:rPr>
      </w:pPr>
      <w:r>
        <w:rPr>
          <w:sz w:val="18"/>
        </w:rPr>
        <w:t>Notes: Linear mixed-effects model with 1-year BCVA (</w:t>
      </w:r>
      <w:proofErr w:type="spellStart"/>
      <w:r>
        <w:rPr>
          <w:sz w:val="18"/>
        </w:rPr>
        <w:t>logMAR</w:t>
      </w:r>
      <w:proofErr w:type="spellEnd"/>
      <w:r>
        <w:rPr>
          <w:sz w:val="18"/>
        </w:rPr>
        <w:t xml:space="preserve">) as the dependent variable and a random intercept for patient. Estimates are beta coefficients (β) with 95% confidence intervals. Reference categories were </w:t>
      </w:r>
      <w:proofErr w:type="spellStart"/>
      <w:r>
        <w:rPr>
          <w:sz w:val="18"/>
        </w:rPr>
        <w:t>tractional</w:t>
      </w:r>
      <w:proofErr w:type="spellEnd"/>
      <w:r>
        <w:rPr>
          <w:sz w:val="18"/>
        </w:rPr>
        <w:t xml:space="preserve"> LMH for subtype and clear lens for lens status. The analysis was based on complete cases. Bold text indicates table headings and labels only.</w:t>
      </w:r>
    </w:p>
    <w:p w:rsidR="00B55FA4" w:rsidRDefault="00B55FA4" w:rsidP="00B55FA4">
      <w:pPr>
        <w:autoSpaceDE w:val="0"/>
        <w:autoSpaceDN w:val="0"/>
        <w:adjustRightInd w:val="0"/>
        <w:spacing w:line="240" w:lineRule="auto"/>
        <w:rPr>
          <w:rFonts w:cs="Arial"/>
          <w:color w:val="333333"/>
          <w:sz w:val="17"/>
          <w:szCs w:val="17"/>
        </w:rPr>
      </w:pPr>
    </w:p>
    <w:p w:rsidR="00B55FA4" w:rsidRDefault="00B55FA4" w:rsidP="00B55FA4"/>
    <w:p w:rsidR="0037748C" w:rsidRDefault="0037748C">
      <w:pPr>
        <w:rPr>
          <w:rFonts w:cs="Arial"/>
          <w:b/>
          <w:highlight w:val="yellow"/>
        </w:rPr>
      </w:pPr>
    </w:p>
    <w:p w:rsidR="0037748C" w:rsidRDefault="0037748C">
      <w:pPr>
        <w:rPr>
          <w:rFonts w:cs="Arial"/>
          <w:b/>
          <w:highlight w:val="yellow"/>
        </w:rPr>
      </w:pPr>
    </w:p>
    <w:p w:rsidR="0037748C" w:rsidRDefault="0037748C">
      <w:pPr>
        <w:rPr>
          <w:rFonts w:cs="Arial"/>
          <w:b/>
          <w:highlight w:val="yellow"/>
        </w:rPr>
      </w:pPr>
    </w:p>
    <w:p w:rsidR="0037748C" w:rsidRDefault="0037748C">
      <w:pPr>
        <w:rPr>
          <w:rFonts w:cs="Arial"/>
          <w:b/>
          <w:highlight w:val="yellow"/>
        </w:rPr>
      </w:pPr>
    </w:p>
    <w:p w:rsidR="00213FD6" w:rsidRPr="00213FD6" w:rsidRDefault="00213FD6" w:rsidP="00213FD6">
      <w:pPr>
        <w:rPr>
          <w:b/>
          <w:sz w:val="24"/>
        </w:rPr>
      </w:pPr>
      <w:proofErr w:type="gramStart"/>
      <w:r w:rsidRPr="00213FD6">
        <w:rPr>
          <w:b/>
          <w:sz w:val="24"/>
        </w:rPr>
        <w:t>Supplementary Table S4.</w:t>
      </w:r>
      <w:proofErr w:type="gramEnd"/>
      <w:r w:rsidRPr="00213FD6">
        <w:rPr>
          <w:b/>
          <w:sz w:val="24"/>
        </w:rPr>
        <w:t xml:space="preserve"> Comparison between patients followed up and lost to follow-up</w:t>
      </w:r>
    </w:p>
    <w:tbl>
      <w:tblPr>
        <w:tblW w:w="0" w:type="auto"/>
        <w:tblCellSpacing w:w="15" w:type="dxa"/>
        <w:tblCellMar>
          <w:top w:w="15" w:type="dxa"/>
          <w:left w:w="15" w:type="dxa"/>
          <w:bottom w:w="15" w:type="dxa"/>
          <w:right w:w="15" w:type="dxa"/>
        </w:tblCellMar>
        <w:tblLook w:val="04A0"/>
      </w:tblPr>
      <w:tblGrid>
        <w:gridCol w:w="3421"/>
        <w:gridCol w:w="2566"/>
        <w:gridCol w:w="1076"/>
        <w:gridCol w:w="1184"/>
        <w:gridCol w:w="681"/>
      </w:tblGrid>
      <w:tr w:rsidR="00213FD6" w:rsidTr="00213FD6">
        <w:trPr>
          <w:tblHeader/>
          <w:tblCellSpacing w:w="15" w:type="dxa"/>
        </w:trPr>
        <w:tc>
          <w:tcPr>
            <w:tcW w:w="0" w:type="auto"/>
            <w:vAlign w:val="center"/>
            <w:hideMark/>
          </w:tcPr>
          <w:p w:rsidR="00213FD6" w:rsidRDefault="00213FD6">
            <w:pPr>
              <w:jc w:val="center"/>
              <w:rPr>
                <w:b/>
                <w:bCs/>
                <w:sz w:val="24"/>
              </w:rPr>
            </w:pPr>
            <w:r>
              <w:rPr>
                <w:b/>
                <w:bCs/>
              </w:rPr>
              <w:t>Variable</w:t>
            </w:r>
          </w:p>
        </w:tc>
        <w:tc>
          <w:tcPr>
            <w:tcW w:w="0" w:type="auto"/>
            <w:vAlign w:val="center"/>
            <w:hideMark/>
          </w:tcPr>
          <w:p w:rsidR="00213FD6" w:rsidRDefault="00213FD6">
            <w:pPr>
              <w:jc w:val="center"/>
              <w:rPr>
                <w:b/>
                <w:bCs/>
                <w:sz w:val="24"/>
              </w:rPr>
            </w:pPr>
            <w:r>
              <w:rPr>
                <w:b/>
                <w:bCs/>
              </w:rPr>
              <w:t>Category</w:t>
            </w:r>
          </w:p>
        </w:tc>
        <w:tc>
          <w:tcPr>
            <w:tcW w:w="0" w:type="auto"/>
            <w:vAlign w:val="center"/>
            <w:hideMark/>
          </w:tcPr>
          <w:p w:rsidR="00213FD6" w:rsidRDefault="00213FD6">
            <w:pPr>
              <w:jc w:val="center"/>
              <w:rPr>
                <w:b/>
                <w:bCs/>
                <w:sz w:val="24"/>
              </w:rPr>
            </w:pPr>
            <w:r>
              <w:rPr>
                <w:b/>
                <w:bCs/>
              </w:rPr>
              <w:t>Followed up</w:t>
            </w:r>
          </w:p>
        </w:tc>
        <w:tc>
          <w:tcPr>
            <w:tcW w:w="0" w:type="auto"/>
            <w:vAlign w:val="center"/>
            <w:hideMark/>
          </w:tcPr>
          <w:p w:rsidR="00213FD6" w:rsidRDefault="00213FD6">
            <w:pPr>
              <w:jc w:val="center"/>
              <w:rPr>
                <w:b/>
                <w:bCs/>
                <w:sz w:val="24"/>
              </w:rPr>
            </w:pPr>
            <w:r>
              <w:rPr>
                <w:b/>
                <w:bCs/>
              </w:rPr>
              <w:t>Lost to follow-up</w:t>
            </w:r>
          </w:p>
        </w:tc>
        <w:tc>
          <w:tcPr>
            <w:tcW w:w="0" w:type="auto"/>
            <w:vAlign w:val="center"/>
            <w:hideMark/>
          </w:tcPr>
          <w:p w:rsidR="00213FD6" w:rsidRDefault="00213FD6">
            <w:pPr>
              <w:jc w:val="center"/>
              <w:rPr>
                <w:b/>
                <w:bCs/>
                <w:sz w:val="24"/>
              </w:rPr>
            </w:pPr>
            <w:r>
              <w:rPr>
                <w:b/>
                <w:bCs/>
              </w:rPr>
              <w:t>p-value</w:t>
            </w:r>
          </w:p>
        </w:tc>
      </w:tr>
      <w:tr w:rsidR="00B76681" w:rsidTr="00213FD6">
        <w:trPr>
          <w:tblCellSpacing w:w="15" w:type="dxa"/>
        </w:trPr>
        <w:tc>
          <w:tcPr>
            <w:tcW w:w="0" w:type="auto"/>
            <w:vMerge w:val="restart"/>
            <w:vAlign w:val="center"/>
            <w:hideMark/>
          </w:tcPr>
          <w:p w:rsidR="00B76681" w:rsidRDefault="00B76681">
            <w:pPr>
              <w:rPr>
                <w:sz w:val="24"/>
              </w:rPr>
            </w:pPr>
            <w:r>
              <w:t>Sex</w:t>
            </w:r>
          </w:p>
        </w:tc>
        <w:tc>
          <w:tcPr>
            <w:tcW w:w="0" w:type="auto"/>
            <w:vAlign w:val="center"/>
            <w:hideMark/>
          </w:tcPr>
          <w:p w:rsidR="00B76681" w:rsidRDefault="00B76681">
            <w:pPr>
              <w:rPr>
                <w:sz w:val="24"/>
              </w:rPr>
            </w:pPr>
            <w:r>
              <w:t>Male</w:t>
            </w:r>
          </w:p>
        </w:tc>
        <w:tc>
          <w:tcPr>
            <w:tcW w:w="0" w:type="auto"/>
            <w:vAlign w:val="center"/>
            <w:hideMark/>
          </w:tcPr>
          <w:p w:rsidR="00B76681" w:rsidRDefault="00B76681">
            <w:pPr>
              <w:rPr>
                <w:sz w:val="24"/>
              </w:rPr>
            </w:pPr>
            <w:r>
              <w:t>53 (42.4)</w:t>
            </w:r>
          </w:p>
        </w:tc>
        <w:tc>
          <w:tcPr>
            <w:tcW w:w="0" w:type="auto"/>
            <w:vAlign w:val="center"/>
            <w:hideMark/>
          </w:tcPr>
          <w:p w:rsidR="00B76681" w:rsidRDefault="00B76681">
            <w:pPr>
              <w:rPr>
                <w:sz w:val="24"/>
              </w:rPr>
            </w:pPr>
            <w:r>
              <w:t>20 (40.8)</w:t>
            </w:r>
          </w:p>
        </w:tc>
        <w:tc>
          <w:tcPr>
            <w:tcW w:w="0" w:type="auto"/>
            <w:vMerge w:val="restart"/>
            <w:vAlign w:val="center"/>
            <w:hideMark/>
          </w:tcPr>
          <w:p w:rsidR="00B76681" w:rsidRDefault="00B76681">
            <w:pPr>
              <w:rPr>
                <w:sz w:val="24"/>
              </w:rPr>
            </w:pPr>
            <w:r>
              <w:t>0.984</w:t>
            </w: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Female</w:t>
            </w:r>
          </w:p>
        </w:tc>
        <w:tc>
          <w:tcPr>
            <w:tcW w:w="0" w:type="auto"/>
            <w:vAlign w:val="center"/>
            <w:hideMark/>
          </w:tcPr>
          <w:p w:rsidR="00B76681" w:rsidRDefault="00B76681">
            <w:pPr>
              <w:rPr>
                <w:sz w:val="24"/>
              </w:rPr>
            </w:pPr>
            <w:r>
              <w:t>72 (57.6)</w:t>
            </w:r>
          </w:p>
        </w:tc>
        <w:tc>
          <w:tcPr>
            <w:tcW w:w="0" w:type="auto"/>
            <w:vAlign w:val="center"/>
            <w:hideMark/>
          </w:tcPr>
          <w:p w:rsidR="00B76681" w:rsidRDefault="00B76681">
            <w:pPr>
              <w:rPr>
                <w:sz w:val="24"/>
              </w:rPr>
            </w:pPr>
            <w:r>
              <w:t>29 (59.2)</w:t>
            </w:r>
          </w:p>
        </w:tc>
        <w:tc>
          <w:tcPr>
            <w:tcW w:w="0" w:type="auto"/>
            <w:vMerge/>
            <w:vAlign w:val="center"/>
            <w:hideMark/>
          </w:tcPr>
          <w:p w:rsidR="00B76681" w:rsidRDefault="00B76681">
            <w:pPr>
              <w:rPr>
                <w:sz w:val="24"/>
              </w:rPr>
            </w:pPr>
          </w:p>
        </w:tc>
      </w:tr>
      <w:tr w:rsidR="00213FD6" w:rsidTr="00213FD6">
        <w:trPr>
          <w:tblCellSpacing w:w="15" w:type="dxa"/>
        </w:trPr>
        <w:tc>
          <w:tcPr>
            <w:tcW w:w="0" w:type="auto"/>
            <w:vAlign w:val="center"/>
            <w:hideMark/>
          </w:tcPr>
          <w:p w:rsidR="00213FD6" w:rsidRDefault="00213FD6">
            <w:pPr>
              <w:rPr>
                <w:sz w:val="24"/>
              </w:rPr>
            </w:pPr>
            <w:r>
              <w:t>Age</w:t>
            </w:r>
          </w:p>
        </w:tc>
        <w:tc>
          <w:tcPr>
            <w:tcW w:w="0" w:type="auto"/>
            <w:vAlign w:val="center"/>
            <w:hideMark/>
          </w:tcPr>
          <w:p w:rsidR="00213FD6" w:rsidRDefault="00213FD6">
            <w:pPr>
              <w:rPr>
                <w:sz w:val="24"/>
              </w:rPr>
            </w:pPr>
            <w:r>
              <w:t>Mean (SD)</w:t>
            </w:r>
          </w:p>
        </w:tc>
        <w:tc>
          <w:tcPr>
            <w:tcW w:w="0" w:type="auto"/>
            <w:vAlign w:val="center"/>
            <w:hideMark/>
          </w:tcPr>
          <w:p w:rsidR="00213FD6" w:rsidRDefault="00213FD6">
            <w:pPr>
              <w:rPr>
                <w:sz w:val="24"/>
              </w:rPr>
            </w:pPr>
            <w:r>
              <w:t>68.3 (10.4)</w:t>
            </w:r>
          </w:p>
        </w:tc>
        <w:tc>
          <w:tcPr>
            <w:tcW w:w="0" w:type="auto"/>
            <w:vAlign w:val="center"/>
            <w:hideMark/>
          </w:tcPr>
          <w:p w:rsidR="00213FD6" w:rsidRDefault="00213FD6">
            <w:pPr>
              <w:rPr>
                <w:sz w:val="24"/>
              </w:rPr>
            </w:pPr>
            <w:r>
              <w:t>73.2 (8.8)</w:t>
            </w:r>
          </w:p>
        </w:tc>
        <w:tc>
          <w:tcPr>
            <w:tcW w:w="0" w:type="auto"/>
            <w:vAlign w:val="center"/>
            <w:hideMark/>
          </w:tcPr>
          <w:p w:rsidR="00213FD6" w:rsidRDefault="00213FD6">
            <w:pPr>
              <w:rPr>
                <w:sz w:val="24"/>
              </w:rPr>
            </w:pPr>
            <w:r>
              <w:t>0.004</w:t>
            </w:r>
          </w:p>
        </w:tc>
      </w:tr>
      <w:tr w:rsidR="00B76681" w:rsidTr="00213FD6">
        <w:trPr>
          <w:tblCellSpacing w:w="15" w:type="dxa"/>
        </w:trPr>
        <w:tc>
          <w:tcPr>
            <w:tcW w:w="0" w:type="auto"/>
            <w:vMerge w:val="restart"/>
            <w:vAlign w:val="center"/>
            <w:hideMark/>
          </w:tcPr>
          <w:p w:rsidR="00B76681" w:rsidRDefault="00B76681">
            <w:pPr>
              <w:rPr>
                <w:sz w:val="24"/>
              </w:rPr>
            </w:pPr>
            <w:r>
              <w:t>Epimacular tissue</w:t>
            </w:r>
          </w:p>
        </w:tc>
        <w:tc>
          <w:tcPr>
            <w:tcW w:w="0" w:type="auto"/>
            <w:vAlign w:val="center"/>
            <w:hideMark/>
          </w:tcPr>
          <w:p w:rsidR="00B76681" w:rsidRDefault="00B76681">
            <w:pPr>
              <w:rPr>
                <w:sz w:val="24"/>
              </w:rPr>
            </w:pPr>
            <w:r>
              <w:t>No</w:t>
            </w:r>
          </w:p>
        </w:tc>
        <w:tc>
          <w:tcPr>
            <w:tcW w:w="0" w:type="auto"/>
            <w:vAlign w:val="center"/>
            <w:hideMark/>
          </w:tcPr>
          <w:p w:rsidR="00B76681" w:rsidRDefault="00B76681">
            <w:pPr>
              <w:rPr>
                <w:sz w:val="24"/>
              </w:rPr>
            </w:pPr>
            <w:r>
              <w:t>15 (12.1)</w:t>
            </w:r>
          </w:p>
        </w:tc>
        <w:tc>
          <w:tcPr>
            <w:tcW w:w="0" w:type="auto"/>
            <w:vAlign w:val="center"/>
            <w:hideMark/>
          </w:tcPr>
          <w:p w:rsidR="00B76681" w:rsidRDefault="00B76681">
            <w:pPr>
              <w:rPr>
                <w:sz w:val="24"/>
              </w:rPr>
            </w:pPr>
            <w:r>
              <w:t>4 (8.2)</w:t>
            </w:r>
          </w:p>
        </w:tc>
        <w:tc>
          <w:tcPr>
            <w:tcW w:w="0" w:type="auto"/>
            <w:vMerge w:val="restart"/>
            <w:vAlign w:val="center"/>
            <w:hideMark/>
          </w:tcPr>
          <w:p w:rsidR="00B76681" w:rsidRDefault="00B76681">
            <w:pPr>
              <w:rPr>
                <w:sz w:val="24"/>
              </w:rPr>
            </w:pPr>
            <w:r>
              <w:t>0.525</w:t>
            </w: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ERM</w:t>
            </w:r>
          </w:p>
        </w:tc>
        <w:tc>
          <w:tcPr>
            <w:tcW w:w="0" w:type="auto"/>
            <w:vAlign w:val="center"/>
            <w:hideMark/>
          </w:tcPr>
          <w:p w:rsidR="00B76681" w:rsidRDefault="00B76681">
            <w:pPr>
              <w:rPr>
                <w:sz w:val="24"/>
              </w:rPr>
            </w:pPr>
            <w:r>
              <w:t>90 (72.6)</w:t>
            </w:r>
          </w:p>
        </w:tc>
        <w:tc>
          <w:tcPr>
            <w:tcW w:w="0" w:type="auto"/>
            <w:vAlign w:val="center"/>
            <w:hideMark/>
          </w:tcPr>
          <w:p w:rsidR="00B76681" w:rsidRDefault="00B76681">
            <w:pPr>
              <w:rPr>
                <w:sz w:val="24"/>
              </w:rPr>
            </w:pPr>
            <w:r>
              <w:t>34 (69.4)</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Ectopic tissue</w:t>
            </w:r>
          </w:p>
        </w:tc>
        <w:tc>
          <w:tcPr>
            <w:tcW w:w="0" w:type="auto"/>
            <w:vAlign w:val="center"/>
            <w:hideMark/>
          </w:tcPr>
          <w:p w:rsidR="00B76681" w:rsidRDefault="00B76681">
            <w:pPr>
              <w:rPr>
                <w:sz w:val="24"/>
              </w:rPr>
            </w:pPr>
            <w:r>
              <w:t>13 (10.5)</w:t>
            </w:r>
          </w:p>
        </w:tc>
        <w:tc>
          <w:tcPr>
            <w:tcW w:w="0" w:type="auto"/>
            <w:vAlign w:val="center"/>
            <w:hideMark/>
          </w:tcPr>
          <w:p w:rsidR="00B76681" w:rsidRDefault="00B76681">
            <w:pPr>
              <w:rPr>
                <w:sz w:val="24"/>
              </w:rPr>
            </w:pPr>
            <w:r>
              <w:t>6 (12.2)</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ERM + Ectopic</w:t>
            </w:r>
          </w:p>
        </w:tc>
        <w:tc>
          <w:tcPr>
            <w:tcW w:w="0" w:type="auto"/>
            <w:vAlign w:val="center"/>
            <w:hideMark/>
          </w:tcPr>
          <w:p w:rsidR="00B76681" w:rsidRDefault="00B76681">
            <w:pPr>
              <w:rPr>
                <w:sz w:val="24"/>
              </w:rPr>
            </w:pPr>
            <w:r>
              <w:t>6 (4.8)</w:t>
            </w:r>
          </w:p>
        </w:tc>
        <w:tc>
          <w:tcPr>
            <w:tcW w:w="0" w:type="auto"/>
            <w:vAlign w:val="center"/>
            <w:hideMark/>
          </w:tcPr>
          <w:p w:rsidR="00B76681" w:rsidRDefault="00B76681">
            <w:pPr>
              <w:rPr>
                <w:sz w:val="24"/>
              </w:rPr>
            </w:pPr>
            <w:r>
              <w:t>5 (10.2)</w:t>
            </w:r>
          </w:p>
        </w:tc>
        <w:tc>
          <w:tcPr>
            <w:tcW w:w="0" w:type="auto"/>
            <w:vMerge/>
            <w:vAlign w:val="center"/>
            <w:hideMark/>
          </w:tcPr>
          <w:p w:rsidR="00B76681" w:rsidRDefault="00B76681">
            <w:pPr>
              <w:rPr>
                <w:sz w:val="24"/>
              </w:rPr>
            </w:pPr>
          </w:p>
        </w:tc>
      </w:tr>
      <w:tr w:rsidR="00213FD6" w:rsidTr="00213FD6">
        <w:trPr>
          <w:tblCellSpacing w:w="15" w:type="dxa"/>
        </w:trPr>
        <w:tc>
          <w:tcPr>
            <w:tcW w:w="0" w:type="auto"/>
            <w:vAlign w:val="center"/>
            <w:hideMark/>
          </w:tcPr>
          <w:p w:rsidR="00213FD6" w:rsidRDefault="00213FD6">
            <w:pPr>
              <w:rPr>
                <w:sz w:val="24"/>
              </w:rPr>
            </w:pPr>
            <w:r>
              <w:t>Pre-PPV BCVA (</w:t>
            </w:r>
            <w:proofErr w:type="spellStart"/>
            <w:r>
              <w:t>logMAR</w:t>
            </w:r>
            <w:proofErr w:type="spellEnd"/>
            <w:r>
              <w:t>)</w:t>
            </w:r>
          </w:p>
        </w:tc>
        <w:tc>
          <w:tcPr>
            <w:tcW w:w="0" w:type="auto"/>
            <w:vAlign w:val="center"/>
            <w:hideMark/>
          </w:tcPr>
          <w:p w:rsidR="00213FD6" w:rsidRDefault="00213FD6">
            <w:pPr>
              <w:rPr>
                <w:sz w:val="24"/>
              </w:rPr>
            </w:pPr>
            <w:r>
              <w:t>Mean (SD)</w:t>
            </w:r>
          </w:p>
        </w:tc>
        <w:tc>
          <w:tcPr>
            <w:tcW w:w="0" w:type="auto"/>
            <w:vAlign w:val="center"/>
            <w:hideMark/>
          </w:tcPr>
          <w:p w:rsidR="00213FD6" w:rsidRDefault="00213FD6">
            <w:pPr>
              <w:rPr>
                <w:sz w:val="24"/>
              </w:rPr>
            </w:pPr>
            <w:r>
              <w:t>0.4 (0.2)</w:t>
            </w:r>
          </w:p>
        </w:tc>
        <w:tc>
          <w:tcPr>
            <w:tcW w:w="0" w:type="auto"/>
            <w:vAlign w:val="center"/>
            <w:hideMark/>
          </w:tcPr>
          <w:p w:rsidR="00213FD6" w:rsidRDefault="00213FD6">
            <w:pPr>
              <w:rPr>
                <w:sz w:val="24"/>
              </w:rPr>
            </w:pPr>
            <w:r>
              <w:t>0.5 (0.3)</w:t>
            </w:r>
          </w:p>
        </w:tc>
        <w:tc>
          <w:tcPr>
            <w:tcW w:w="0" w:type="auto"/>
            <w:vAlign w:val="center"/>
            <w:hideMark/>
          </w:tcPr>
          <w:p w:rsidR="00213FD6" w:rsidRDefault="00213FD6">
            <w:pPr>
              <w:rPr>
                <w:sz w:val="24"/>
              </w:rPr>
            </w:pPr>
            <w:r>
              <w:t>0.016</w:t>
            </w:r>
          </w:p>
        </w:tc>
      </w:tr>
      <w:tr w:rsidR="00B76681" w:rsidTr="00213FD6">
        <w:trPr>
          <w:tblCellSpacing w:w="15" w:type="dxa"/>
        </w:trPr>
        <w:tc>
          <w:tcPr>
            <w:tcW w:w="0" w:type="auto"/>
            <w:vMerge w:val="restart"/>
            <w:vAlign w:val="center"/>
            <w:hideMark/>
          </w:tcPr>
          <w:p w:rsidR="00B76681" w:rsidRDefault="00B76681">
            <w:pPr>
              <w:rPr>
                <w:sz w:val="24"/>
              </w:rPr>
            </w:pPr>
            <w:r>
              <w:t>LMH subtype</w:t>
            </w:r>
          </w:p>
        </w:tc>
        <w:tc>
          <w:tcPr>
            <w:tcW w:w="0" w:type="auto"/>
            <w:vAlign w:val="center"/>
            <w:hideMark/>
          </w:tcPr>
          <w:p w:rsidR="00B76681" w:rsidRDefault="00B76681">
            <w:pPr>
              <w:rPr>
                <w:sz w:val="24"/>
              </w:rPr>
            </w:pPr>
            <w:proofErr w:type="spellStart"/>
            <w:r>
              <w:t>Tractional</w:t>
            </w:r>
            <w:proofErr w:type="spellEnd"/>
          </w:p>
        </w:tc>
        <w:tc>
          <w:tcPr>
            <w:tcW w:w="0" w:type="auto"/>
            <w:vAlign w:val="center"/>
            <w:hideMark/>
          </w:tcPr>
          <w:p w:rsidR="00B76681" w:rsidRDefault="00B76681">
            <w:pPr>
              <w:rPr>
                <w:sz w:val="24"/>
              </w:rPr>
            </w:pPr>
            <w:r>
              <w:t>76 (60.3)</w:t>
            </w:r>
          </w:p>
        </w:tc>
        <w:tc>
          <w:tcPr>
            <w:tcW w:w="0" w:type="auto"/>
            <w:vAlign w:val="center"/>
            <w:hideMark/>
          </w:tcPr>
          <w:p w:rsidR="00B76681" w:rsidRDefault="00B76681">
            <w:pPr>
              <w:rPr>
                <w:sz w:val="24"/>
              </w:rPr>
            </w:pPr>
            <w:r>
              <w:t>30 (61.2)</w:t>
            </w:r>
          </w:p>
        </w:tc>
        <w:tc>
          <w:tcPr>
            <w:tcW w:w="0" w:type="auto"/>
            <w:vMerge w:val="restart"/>
            <w:vAlign w:val="center"/>
            <w:hideMark/>
          </w:tcPr>
          <w:p w:rsidR="00B76681" w:rsidRDefault="00B76681">
            <w:pPr>
              <w:rPr>
                <w:sz w:val="24"/>
              </w:rPr>
            </w:pPr>
            <w:r>
              <w:t>0.982</w:t>
            </w: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Mixed</w:t>
            </w:r>
          </w:p>
        </w:tc>
        <w:tc>
          <w:tcPr>
            <w:tcW w:w="0" w:type="auto"/>
            <w:vAlign w:val="center"/>
            <w:hideMark/>
          </w:tcPr>
          <w:p w:rsidR="00B76681" w:rsidRDefault="00B76681">
            <w:pPr>
              <w:rPr>
                <w:sz w:val="24"/>
              </w:rPr>
            </w:pPr>
            <w:r>
              <w:t>30 (23.8)</w:t>
            </w:r>
          </w:p>
        </w:tc>
        <w:tc>
          <w:tcPr>
            <w:tcW w:w="0" w:type="auto"/>
            <w:vAlign w:val="center"/>
            <w:hideMark/>
          </w:tcPr>
          <w:p w:rsidR="00B76681" w:rsidRDefault="00B76681">
            <w:pPr>
              <w:rPr>
                <w:sz w:val="24"/>
              </w:rPr>
            </w:pPr>
            <w:r>
              <w:t>11 (22.4)</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Degenerative</w:t>
            </w:r>
          </w:p>
        </w:tc>
        <w:tc>
          <w:tcPr>
            <w:tcW w:w="0" w:type="auto"/>
            <w:vAlign w:val="center"/>
            <w:hideMark/>
          </w:tcPr>
          <w:p w:rsidR="00B76681" w:rsidRDefault="00B76681">
            <w:pPr>
              <w:rPr>
                <w:sz w:val="24"/>
              </w:rPr>
            </w:pPr>
            <w:r>
              <w:t>20 (15.9)</w:t>
            </w:r>
          </w:p>
        </w:tc>
        <w:tc>
          <w:tcPr>
            <w:tcW w:w="0" w:type="auto"/>
            <w:vAlign w:val="center"/>
            <w:hideMark/>
          </w:tcPr>
          <w:p w:rsidR="00B76681" w:rsidRDefault="00B76681">
            <w:pPr>
              <w:rPr>
                <w:sz w:val="24"/>
              </w:rPr>
            </w:pPr>
            <w:r>
              <w:t>8 (16.3)</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restart"/>
            <w:vAlign w:val="center"/>
            <w:hideMark/>
          </w:tcPr>
          <w:p w:rsidR="00B76681" w:rsidRDefault="00B76681">
            <w:pPr>
              <w:rPr>
                <w:sz w:val="24"/>
              </w:rPr>
            </w:pPr>
            <w:r>
              <w:t xml:space="preserve">Preoperative </w:t>
            </w:r>
            <w:proofErr w:type="spellStart"/>
            <w:r>
              <w:t>metamorphopsia</w:t>
            </w:r>
            <w:proofErr w:type="spellEnd"/>
          </w:p>
        </w:tc>
        <w:tc>
          <w:tcPr>
            <w:tcW w:w="0" w:type="auto"/>
            <w:vAlign w:val="center"/>
            <w:hideMark/>
          </w:tcPr>
          <w:p w:rsidR="00B76681" w:rsidRDefault="00B76681">
            <w:pPr>
              <w:rPr>
                <w:sz w:val="24"/>
              </w:rPr>
            </w:pPr>
            <w:r>
              <w:t>No</w:t>
            </w:r>
          </w:p>
        </w:tc>
        <w:tc>
          <w:tcPr>
            <w:tcW w:w="0" w:type="auto"/>
            <w:vAlign w:val="center"/>
            <w:hideMark/>
          </w:tcPr>
          <w:p w:rsidR="00B76681" w:rsidRDefault="00B76681">
            <w:pPr>
              <w:rPr>
                <w:sz w:val="24"/>
              </w:rPr>
            </w:pPr>
            <w:r>
              <w:t>10 (21.3)</w:t>
            </w:r>
          </w:p>
        </w:tc>
        <w:tc>
          <w:tcPr>
            <w:tcW w:w="0" w:type="auto"/>
            <w:vAlign w:val="center"/>
            <w:hideMark/>
          </w:tcPr>
          <w:p w:rsidR="00B76681" w:rsidRDefault="00B76681">
            <w:pPr>
              <w:rPr>
                <w:sz w:val="24"/>
              </w:rPr>
            </w:pPr>
            <w:r>
              <w:t>0 (0.0)</w:t>
            </w:r>
          </w:p>
        </w:tc>
        <w:tc>
          <w:tcPr>
            <w:tcW w:w="0" w:type="auto"/>
            <w:vMerge w:val="restart"/>
            <w:vAlign w:val="center"/>
            <w:hideMark/>
          </w:tcPr>
          <w:p w:rsidR="00B76681" w:rsidRDefault="00B76681">
            <w:pPr>
              <w:rPr>
                <w:sz w:val="24"/>
              </w:rPr>
            </w:pPr>
            <w:r>
              <w:t>0.152</w:t>
            </w: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Yes</w:t>
            </w:r>
          </w:p>
        </w:tc>
        <w:tc>
          <w:tcPr>
            <w:tcW w:w="0" w:type="auto"/>
            <w:vAlign w:val="center"/>
            <w:hideMark/>
          </w:tcPr>
          <w:p w:rsidR="00B76681" w:rsidRDefault="00B76681">
            <w:pPr>
              <w:rPr>
                <w:sz w:val="24"/>
              </w:rPr>
            </w:pPr>
            <w:r>
              <w:t>36 (76.6)</w:t>
            </w:r>
          </w:p>
        </w:tc>
        <w:tc>
          <w:tcPr>
            <w:tcW w:w="0" w:type="auto"/>
            <w:vAlign w:val="center"/>
            <w:hideMark/>
          </w:tcPr>
          <w:p w:rsidR="00B76681" w:rsidRDefault="00B76681">
            <w:pPr>
              <w:rPr>
                <w:sz w:val="24"/>
              </w:rPr>
            </w:pPr>
            <w:r>
              <w:t>9 (90.0)</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proofErr w:type="spellStart"/>
            <w:r>
              <w:t>Scotoma</w:t>
            </w:r>
            <w:proofErr w:type="spellEnd"/>
          </w:p>
        </w:tc>
        <w:tc>
          <w:tcPr>
            <w:tcW w:w="0" w:type="auto"/>
            <w:vAlign w:val="center"/>
            <w:hideMark/>
          </w:tcPr>
          <w:p w:rsidR="00B76681" w:rsidRDefault="00B76681">
            <w:pPr>
              <w:rPr>
                <w:sz w:val="24"/>
              </w:rPr>
            </w:pPr>
            <w:r>
              <w:t>1 (2.1)</w:t>
            </w:r>
          </w:p>
        </w:tc>
        <w:tc>
          <w:tcPr>
            <w:tcW w:w="0" w:type="auto"/>
            <w:vAlign w:val="center"/>
            <w:hideMark/>
          </w:tcPr>
          <w:p w:rsidR="00B76681" w:rsidRDefault="00B76681">
            <w:pPr>
              <w:rPr>
                <w:sz w:val="24"/>
              </w:rPr>
            </w:pPr>
            <w:r>
              <w:t>1 (10.0)</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restart"/>
            <w:vAlign w:val="center"/>
            <w:hideMark/>
          </w:tcPr>
          <w:p w:rsidR="00B76681" w:rsidRDefault="00B76681">
            <w:pPr>
              <w:rPr>
                <w:sz w:val="24"/>
              </w:rPr>
            </w:pPr>
            <w:r>
              <w:t>Lens status</w:t>
            </w:r>
          </w:p>
        </w:tc>
        <w:tc>
          <w:tcPr>
            <w:tcW w:w="0" w:type="auto"/>
            <w:vAlign w:val="center"/>
            <w:hideMark/>
          </w:tcPr>
          <w:p w:rsidR="00B76681" w:rsidRDefault="00B76681">
            <w:pPr>
              <w:rPr>
                <w:sz w:val="24"/>
              </w:rPr>
            </w:pPr>
            <w:r>
              <w:t>Clear lens</w:t>
            </w:r>
          </w:p>
        </w:tc>
        <w:tc>
          <w:tcPr>
            <w:tcW w:w="0" w:type="auto"/>
            <w:vAlign w:val="center"/>
            <w:hideMark/>
          </w:tcPr>
          <w:p w:rsidR="00B76681" w:rsidRDefault="00B76681">
            <w:pPr>
              <w:rPr>
                <w:sz w:val="24"/>
              </w:rPr>
            </w:pPr>
            <w:r>
              <w:t>23 (18.7)</w:t>
            </w:r>
          </w:p>
        </w:tc>
        <w:tc>
          <w:tcPr>
            <w:tcW w:w="0" w:type="auto"/>
            <w:vAlign w:val="center"/>
            <w:hideMark/>
          </w:tcPr>
          <w:p w:rsidR="00B76681" w:rsidRDefault="00B76681">
            <w:pPr>
              <w:rPr>
                <w:sz w:val="24"/>
              </w:rPr>
            </w:pPr>
            <w:r>
              <w:t>3 (6.1)</w:t>
            </w:r>
          </w:p>
        </w:tc>
        <w:tc>
          <w:tcPr>
            <w:tcW w:w="0" w:type="auto"/>
            <w:vMerge w:val="restart"/>
            <w:vAlign w:val="center"/>
            <w:hideMark/>
          </w:tcPr>
          <w:p w:rsidR="00B76681" w:rsidRDefault="00B76681">
            <w:pPr>
              <w:rPr>
                <w:sz w:val="24"/>
              </w:rPr>
            </w:pPr>
            <w:r>
              <w:t>0.010</w:t>
            </w: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Cataract</w:t>
            </w:r>
          </w:p>
        </w:tc>
        <w:tc>
          <w:tcPr>
            <w:tcW w:w="0" w:type="auto"/>
            <w:vAlign w:val="center"/>
            <w:hideMark/>
          </w:tcPr>
          <w:p w:rsidR="00B76681" w:rsidRDefault="00B76681">
            <w:pPr>
              <w:rPr>
                <w:sz w:val="24"/>
              </w:rPr>
            </w:pPr>
            <w:r>
              <w:t>43 (35.0)</w:t>
            </w:r>
          </w:p>
        </w:tc>
        <w:tc>
          <w:tcPr>
            <w:tcW w:w="0" w:type="auto"/>
            <w:vAlign w:val="center"/>
            <w:hideMark/>
          </w:tcPr>
          <w:p w:rsidR="00B76681" w:rsidRDefault="00B76681">
            <w:pPr>
              <w:rPr>
                <w:sz w:val="24"/>
              </w:rPr>
            </w:pPr>
            <w:r>
              <w:t>23 (46.9)</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proofErr w:type="spellStart"/>
            <w:r>
              <w:t>Pseudophakia</w:t>
            </w:r>
            <w:proofErr w:type="spellEnd"/>
          </w:p>
        </w:tc>
        <w:tc>
          <w:tcPr>
            <w:tcW w:w="0" w:type="auto"/>
            <w:vAlign w:val="center"/>
            <w:hideMark/>
          </w:tcPr>
          <w:p w:rsidR="00B76681" w:rsidRDefault="00B76681">
            <w:pPr>
              <w:rPr>
                <w:sz w:val="24"/>
              </w:rPr>
            </w:pPr>
            <w:r>
              <w:t>22 (17.9)</w:t>
            </w:r>
          </w:p>
        </w:tc>
        <w:tc>
          <w:tcPr>
            <w:tcW w:w="0" w:type="auto"/>
            <w:vAlign w:val="center"/>
            <w:hideMark/>
          </w:tcPr>
          <w:p w:rsidR="00B76681" w:rsidRDefault="00B76681">
            <w:pPr>
              <w:rPr>
                <w:sz w:val="24"/>
              </w:rPr>
            </w:pPr>
            <w:r>
              <w:t>16 (32.7)</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Nuclear sclerosis</w:t>
            </w:r>
          </w:p>
        </w:tc>
        <w:tc>
          <w:tcPr>
            <w:tcW w:w="0" w:type="auto"/>
            <w:vAlign w:val="center"/>
            <w:hideMark/>
          </w:tcPr>
          <w:p w:rsidR="00B76681" w:rsidRDefault="00B76681">
            <w:pPr>
              <w:rPr>
                <w:sz w:val="24"/>
              </w:rPr>
            </w:pPr>
            <w:r>
              <w:t>35 (28.5)</w:t>
            </w:r>
          </w:p>
        </w:tc>
        <w:tc>
          <w:tcPr>
            <w:tcW w:w="0" w:type="auto"/>
            <w:vAlign w:val="center"/>
            <w:hideMark/>
          </w:tcPr>
          <w:p w:rsidR="00B76681" w:rsidRDefault="00B76681">
            <w:pPr>
              <w:rPr>
                <w:sz w:val="24"/>
              </w:rPr>
            </w:pPr>
            <w:r>
              <w:t>7 (14.3)</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restart"/>
            <w:vAlign w:val="center"/>
            <w:hideMark/>
          </w:tcPr>
          <w:p w:rsidR="00B76681" w:rsidRDefault="00B76681">
            <w:pPr>
              <w:rPr>
                <w:sz w:val="24"/>
              </w:rPr>
            </w:pPr>
            <w:r>
              <w:lastRenderedPageBreak/>
              <w:t>Surgery sequence</w:t>
            </w:r>
          </w:p>
        </w:tc>
        <w:tc>
          <w:tcPr>
            <w:tcW w:w="0" w:type="auto"/>
            <w:vAlign w:val="center"/>
            <w:hideMark/>
          </w:tcPr>
          <w:p w:rsidR="00B76681" w:rsidRDefault="00B76681">
            <w:pPr>
              <w:rPr>
                <w:sz w:val="24"/>
              </w:rPr>
            </w:pPr>
            <w:r>
              <w:t>Combined</w:t>
            </w:r>
          </w:p>
        </w:tc>
        <w:tc>
          <w:tcPr>
            <w:tcW w:w="0" w:type="auto"/>
            <w:vAlign w:val="center"/>
            <w:hideMark/>
          </w:tcPr>
          <w:p w:rsidR="00B76681" w:rsidRDefault="00B76681">
            <w:pPr>
              <w:rPr>
                <w:sz w:val="24"/>
              </w:rPr>
            </w:pPr>
            <w:r>
              <w:t>73 (57.9)</w:t>
            </w:r>
          </w:p>
        </w:tc>
        <w:tc>
          <w:tcPr>
            <w:tcW w:w="0" w:type="auto"/>
            <w:vAlign w:val="center"/>
            <w:hideMark/>
          </w:tcPr>
          <w:p w:rsidR="00B76681" w:rsidRDefault="00B76681">
            <w:pPr>
              <w:rPr>
                <w:sz w:val="24"/>
              </w:rPr>
            </w:pPr>
            <w:r>
              <w:t>28 (57.1)</w:t>
            </w:r>
          </w:p>
        </w:tc>
        <w:tc>
          <w:tcPr>
            <w:tcW w:w="0" w:type="auto"/>
            <w:vMerge w:val="restart"/>
            <w:vAlign w:val="center"/>
            <w:hideMark/>
          </w:tcPr>
          <w:p w:rsidR="00B76681" w:rsidRDefault="00B76681">
            <w:pPr>
              <w:rPr>
                <w:sz w:val="24"/>
              </w:rPr>
            </w:pPr>
            <w:r>
              <w:t>0.001</w:t>
            </w: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 xml:space="preserve">PPV followed by </w:t>
            </w:r>
            <w:proofErr w:type="spellStart"/>
            <w:r>
              <w:t>phacoemulsification</w:t>
            </w:r>
            <w:proofErr w:type="spellEnd"/>
          </w:p>
        </w:tc>
        <w:tc>
          <w:tcPr>
            <w:tcW w:w="0" w:type="auto"/>
            <w:vAlign w:val="center"/>
            <w:hideMark/>
          </w:tcPr>
          <w:p w:rsidR="00B76681" w:rsidRDefault="00B76681">
            <w:pPr>
              <w:rPr>
                <w:sz w:val="24"/>
              </w:rPr>
            </w:pPr>
            <w:r>
              <w:t>29 (23.0)</w:t>
            </w:r>
          </w:p>
        </w:tc>
        <w:tc>
          <w:tcPr>
            <w:tcW w:w="0" w:type="auto"/>
            <w:vAlign w:val="center"/>
            <w:hideMark/>
          </w:tcPr>
          <w:p w:rsidR="00B76681" w:rsidRDefault="00B76681">
            <w:pPr>
              <w:rPr>
                <w:sz w:val="24"/>
              </w:rPr>
            </w:pPr>
            <w:r>
              <w:t>1 (2.0)</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 xml:space="preserve">PPV in </w:t>
            </w:r>
            <w:proofErr w:type="spellStart"/>
            <w:r>
              <w:t>pseudophakic</w:t>
            </w:r>
            <w:proofErr w:type="spellEnd"/>
            <w:r>
              <w:t xml:space="preserve"> eyes</w:t>
            </w:r>
          </w:p>
        </w:tc>
        <w:tc>
          <w:tcPr>
            <w:tcW w:w="0" w:type="auto"/>
            <w:vAlign w:val="center"/>
            <w:hideMark/>
          </w:tcPr>
          <w:p w:rsidR="00B76681" w:rsidRDefault="00B76681">
            <w:pPr>
              <w:rPr>
                <w:sz w:val="24"/>
              </w:rPr>
            </w:pPr>
            <w:r>
              <w:t>22 (17.5)</w:t>
            </w:r>
          </w:p>
        </w:tc>
        <w:tc>
          <w:tcPr>
            <w:tcW w:w="0" w:type="auto"/>
            <w:vAlign w:val="center"/>
            <w:hideMark/>
          </w:tcPr>
          <w:p w:rsidR="00B76681" w:rsidRDefault="00B76681">
            <w:pPr>
              <w:rPr>
                <w:sz w:val="24"/>
              </w:rPr>
            </w:pPr>
            <w:r>
              <w:t>17 (34.7)</w:t>
            </w:r>
          </w:p>
        </w:tc>
        <w:tc>
          <w:tcPr>
            <w:tcW w:w="0" w:type="auto"/>
            <w:vMerge/>
            <w:vAlign w:val="center"/>
            <w:hideMark/>
          </w:tcPr>
          <w:p w:rsidR="00B76681" w:rsidRDefault="00B76681">
            <w:pPr>
              <w:rPr>
                <w:sz w:val="24"/>
              </w:rPr>
            </w:pPr>
          </w:p>
        </w:tc>
      </w:tr>
      <w:tr w:rsidR="00B76681" w:rsidTr="00213FD6">
        <w:trPr>
          <w:tblCellSpacing w:w="15" w:type="dxa"/>
        </w:trPr>
        <w:tc>
          <w:tcPr>
            <w:tcW w:w="0" w:type="auto"/>
            <w:vMerge/>
            <w:vAlign w:val="center"/>
            <w:hideMark/>
          </w:tcPr>
          <w:p w:rsidR="00B76681" w:rsidRDefault="00B76681">
            <w:pPr>
              <w:rPr>
                <w:sz w:val="24"/>
              </w:rPr>
            </w:pPr>
          </w:p>
        </w:tc>
        <w:tc>
          <w:tcPr>
            <w:tcW w:w="0" w:type="auto"/>
            <w:vAlign w:val="center"/>
            <w:hideMark/>
          </w:tcPr>
          <w:p w:rsidR="00B76681" w:rsidRDefault="00B76681">
            <w:pPr>
              <w:rPr>
                <w:sz w:val="24"/>
              </w:rPr>
            </w:pPr>
            <w:r>
              <w:t xml:space="preserve">PPV without </w:t>
            </w:r>
            <w:proofErr w:type="spellStart"/>
            <w:r>
              <w:t>phacoemulsification</w:t>
            </w:r>
            <w:proofErr w:type="spellEnd"/>
          </w:p>
        </w:tc>
        <w:tc>
          <w:tcPr>
            <w:tcW w:w="0" w:type="auto"/>
            <w:vAlign w:val="center"/>
            <w:hideMark/>
          </w:tcPr>
          <w:p w:rsidR="00B76681" w:rsidRDefault="00B76681">
            <w:pPr>
              <w:rPr>
                <w:sz w:val="24"/>
              </w:rPr>
            </w:pPr>
            <w:r>
              <w:t>2 (1.6)</w:t>
            </w:r>
          </w:p>
        </w:tc>
        <w:tc>
          <w:tcPr>
            <w:tcW w:w="0" w:type="auto"/>
            <w:vAlign w:val="center"/>
            <w:hideMark/>
          </w:tcPr>
          <w:p w:rsidR="00B76681" w:rsidRDefault="00B76681">
            <w:pPr>
              <w:rPr>
                <w:sz w:val="24"/>
              </w:rPr>
            </w:pPr>
            <w:r>
              <w:t>3 (6.1)</w:t>
            </w:r>
          </w:p>
        </w:tc>
        <w:tc>
          <w:tcPr>
            <w:tcW w:w="0" w:type="auto"/>
            <w:vMerge/>
            <w:vAlign w:val="center"/>
            <w:hideMark/>
          </w:tcPr>
          <w:p w:rsidR="00B76681" w:rsidRDefault="00B76681">
            <w:pPr>
              <w:rPr>
                <w:sz w:val="24"/>
              </w:rPr>
            </w:pPr>
          </w:p>
        </w:tc>
      </w:tr>
      <w:tr w:rsidR="00213FD6" w:rsidTr="00213FD6">
        <w:trPr>
          <w:tblCellSpacing w:w="15" w:type="dxa"/>
        </w:trPr>
        <w:tc>
          <w:tcPr>
            <w:tcW w:w="0" w:type="auto"/>
            <w:vAlign w:val="center"/>
            <w:hideMark/>
          </w:tcPr>
          <w:p w:rsidR="00213FD6" w:rsidRDefault="00213FD6">
            <w:pPr>
              <w:rPr>
                <w:sz w:val="24"/>
              </w:rPr>
            </w:pPr>
            <w:r>
              <w:t>Postoperative BCVA at 3 to 12 months after PPV (</w:t>
            </w:r>
            <w:proofErr w:type="spellStart"/>
            <w:r>
              <w:t>logMAR</w:t>
            </w:r>
            <w:proofErr w:type="spellEnd"/>
            <w:r>
              <w:t>)</w:t>
            </w:r>
          </w:p>
        </w:tc>
        <w:tc>
          <w:tcPr>
            <w:tcW w:w="0" w:type="auto"/>
            <w:vAlign w:val="center"/>
            <w:hideMark/>
          </w:tcPr>
          <w:p w:rsidR="00213FD6" w:rsidRDefault="00213FD6">
            <w:pPr>
              <w:rPr>
                <w:sz w:val="24"/>
              </w:rPr>
            </w:pPr>
            <w:r>
              <w:t>Mean (SD)</w:t>
            </w:r>
          </w:p>
        </w:tc>
        <w:tc>
          <w:tcPr>
            <w:tcW w:w="0" w:type="auto"/>
            <w:vAlign w:val="center"/>
            <w:hideMark/>
          </w:tcPr>
          <w:p w:rsidR="00213FD6" w:rsidRDefault="00213FD6">
            <w:pPr>
              <w:rPr>
                <w:sz w:val="24"/>
              </w:rPr>
            </w:pPr>
            <w:r>
              <w:t>0.4 (0.3)</w:t>
            </w:r>
          </w:p>
        </w:tc>
        <w:tc>
          <w:tcPr>
            <w:tcW w:w="0" w:type="auto"/>
            <w:vAlign w:val="center"/>
            <w:hideMark/>
          </w:tcPr>
          <w:p w:rsidR="00213FD6" w:rsidRDefault="00213FD6">
            <w:pPr>
              <w:rPr>
                <w:sz w:val="24"/>
              </w:rPr>
            </w:pPr>
            <w:r>
              <w:t>0.4 (0.3)</w:t>
            </w:r>
          </w:p>
        </w:tc>
        <w:tc>
          <w:tcPr>
            <w:tcW w:w="0" w:type="auto"/>
            <w:vAlign w:val="center"/>
            <w:hideMark/>
          </w:tcPr>
          <w:p w:rsidR="00213FD6" w:rsidRDefault="00213FD6">
            <w:pPr>
              <w:rPr>
                <w:sz w:val="24"/>
              </w:rPr>
            </w:pPr>
            <w:r>
              <w:t>0.472</w:t>
            </w:r>
          </w:p>
        </w:tc>
      </w:tr>
    </w:tbl>
    <w:p w:rsidR="00213FD6" w:rsidRDefault="00213FD6" w:rsidP="00213FD6">
      <w:pPr>
        <w:pStyle w:val="NormalWeb"/>
      </w:pPr>
      <w:r>
        <w:rPr>
          <w:sz w:val="18"/>
        </w:rPr>
        <w:t xml:space="preserve">Notes: Data are </w:t>
      </w:r>
      <w:proofErr w:type="spellStart"/>
      <w:r>
        <w:rPr>
          <w:sz w:val="18"/>
        </w:rPr>
        <w:t>presented</w:t>
      </w:r>
      <w:proofErr w:type="spellEnd"/>
      <w:r>
        <w:rPr>
          <w:sz w:val="18"/>
        </w:rPr>
        <w:t xml:space="preserve"> as n (%) </w:t>
      </w:r>
      <w:proofErr w:type="spellStart"/>
      <w:r>
        <w:rPr>
          <w:sz w:val="18"/>
        </w:rPr>
        <w:t>unless</w:t>
      </w:r>
      <w:proofErr w:type="spellEnd"/>
      <w:r>
        <w:rPr>
          <w:sz w:val="18"/>
        </w:rPr>
        <w:t xml:space="preserve"> </w:t>
      </w:r>
      <w:proofErr w:type="spellStart"/>
      <w:r>
        <w:rPr>
          <w:sz w:val="18"/>
        </w:rPr>
        <w:t>otherwise</w:t>
      </w:r>
      <w:proofErr w:type="spellEnd"/>
      <w:r>
        <w:rPr>
          <w:sz w:val="18"/>
        </w:rPr>
        <w:t xml:space="preserve"> </w:t>
      </w:r>
      <w:proofErr w:type="spellStart"/>
      <w:r>
        <w:rPr>
          <w:sz w:val="18"/>
        </w:rPr>
        <w:t>indicated</w:t>
      </w:r>
      <w:proofErr w:type="spellEnd"/>
      <w:r>
        <w:rPr>
          <w:sz w:val="18"/>
        </w:rPr>
        <w:t xml:space="preserve">. </w:t>
      </w:r>
      <w:proofErr w:type="spellStart"/>
      <w:r>
        <w:rPr>
          <w:sz w:val="18"/>
        </w:rPr>
        <w:t>Continuous</w:t>
      </w:r>
      <w:proofErr w:type="spellEnd"/>
      <w:r>
        <w:rPr>
          <w:sz w:val="18"/>
        </w:rPr>
        <w:t xml:space="preserve"> variables are </w:t>
      </w:r>
      <w:proofErr w:type="spellStart"/>
      <w:r>
        <w:rPr>
          <w:sz w:val="18"/>
        </w:rPr>
        <w:t>presented</w:t>
      </w:r>
      <w:proofErr w:type="spellEnd"/>
      <w:r>
        <w:rPr>
          <w:sz w:val="18"/>
        </w:rPr>
        <w:t xml:space="preserve"> as mean (SD). P-</w:t>
      </w:r>
      <w:proofErr w:type="spellStart"/>
      <w:r>
        <w:rPr>
          <w:sz w:val="18"/>
        </w:rPr>
        <w:t>values</w:t>
      </w:r>
      <w:proofErr w:type="spellEnd"/>
      <w:r>
        <w:rPr>
          <w:sz w:val="18"/>
        </w:rPr>
        <w:t xml:space="preserve"> compare </w:t>
      </w:r>
      <w:proofErr w:type="spellStart"/>
      <w:r>
        <w:rPr>
          <w:sz w:val="18"/>
        </w:rPr>
        <w:t>patients</w:t>
      </w:r>
      <w:proofErr w:type="spellEnd"/>
      <w:r>
        <w:rPr>
          <w:sz w:val="18"/>
        </w:rPr>
        <w:t xml:space="preserve"> </w:t>
      </w:r>
      <w:proofErr w:type="spellStart"/>
      <w:r>
        <w:rPr>
          <w:sz w:val="18"/>
        </w:rPr>
        <w:t>followed</w:t>
      </w:r>
      <w:proofErr w:type="spellEnd"/>
      <w:r>
        <w:rPr>
          <w:sz w:val="18"/>
        </w:rPr>
        <w:t xml:space="preserve"> up versus </w:t>
      </w:r>
      <w:proofErr w:type="spellStart"/>
      <w:r>
        <w:rPr>
          <w:sz w:val="18"/>
        </w:rPr>
        <w:t>those</w:t>
      </w:r>
      <w:proofErr w:type="spellEnd"/>
      <w:r>
        <w:rPr>
          <w:sz w:val="18"/>
        </w:rPr>
        <w:t xml:space="preserve"> </w:t>
      </w:r>
      <w:proofErr w:type="spellStart"/>
      <w:r>
        <w:rPr>
          <w:sz w:val="18"/>
        </w:rPr>
        <w:t>lost</w:t>
      </w:r>
      <w:proofErr w:type="spellEnd"/>
      <w:r>
        <w:rPr>
          <w:sz w:val="18"/>
        </w:rPr>
        <w:t xml:space="preserve"> </w:t>
      </w:r>
      <w:proofErr w:type="spellStart"/>
      <w:r>
        <w:rPr>
          <w:sz w:val="18"/>
        </w:rPr>
        <w:t>to</w:t>
      </w:r>
      <w:proofErr w:type="spellEnd"/>
      <w:r>
        <w:rPr>
          <w:sz w:val="18"/>
        </w:rPr>
        <w:t xml:space="preserve"> </w:t>
      </w:r>
      <w:proofErr w:type="spellStart"/>
      <w:r>
        <w:rPr>
          <w:sz w:val="18"/>
        </w:rPr>
        <w:t>follow</w:t>
      </w:r>
      <w:proofErr w:type="spellEnd"/>
      <w:r>
        <w:rPr>
          <w:sz w:val="18"/>
        </w:rPr>
        <w:t xml:space="preserve">-up. </w:t>
      </w:r>
      <w:proofErr w:type="spellStart"/>
      <w:r>
        <w:rPr>
          <w:sz w:val="18"/>
        </w:rPr>
        <w:t>Bold</w:t>
      </w:r>
      <w:proofErr w:type="spellEnd"/>
      <w:r>
        <w:rPr>
          <w:sz w:val="18"/>
        </w:rPr>
        <w:t xml:space="preserve"> </w:t>
      </w:r>
      <w:proofErr w:type="spellStart"/>
      <w:r>
        <w:rPr>
          <w:sz w:val="18"/>
        </w:rPr>
        <w:t>text</w:t>
      </w:r>
      <w:proofErr w:type="spellEnd"/>
      <w:r>
        <w:rPr>
          <w:sz w:val="18"/>
        </w:rPr>
        <w:t xml:space="preserve"> </w:t>
      </w:r>
      <w:proofErr w:type="spellStart"/>
      <w:r>
        <w:rPr>
          <w:sz w:val="18"/>
        </w:rPr>
        <w:t>indicates</w:t>
      </w:r>
      <w:proofErr w:type="spellEnd"/>
      <w:r>
        <w:rPr>
          <w:sz w:val="18"/>
        </w:rPr>
        <w:t xml:space="preserve"> </w:t>
      </w:r>
      <w:proofErr w:type="spellStart"/>
      <w:r>
        <w:rPr>
          <w:sz w:val="18"/>
        </w:rPr>
        <w:t>table</w:t>
      </w:r>
      <w:proofErr w:type="spellEnd"/>
      <w:r>
        <w:rPr>
          <w:sz w:val="18"/>
        </w:rPr>
        <w:t xml:space="preserve"> </w:t>
      </w:r>
      <w:proofErr w:type="spellStart"/>
      <w:r>
        <w:rPr>
          <w:sz w:val="18"/>
        </w:rPr>
        <w:t>headings</w:t>
      </w:r>
      <w:proofErr w:type="spellEnd"/>
      <w:r>
        <w:rPr>
          <w:sz w:val="18"/>
        </w:rPr>
        <w:t xml:space="preserve"> and </w:t>
      </w:r>
      <w:proofErr w:type="spellStart"/>
      <w:r>
        <w:rPr>
          <w:sz w:val="18"/>
        </w:rPr>
        <w:t>labels</w:t>
      </w:r>
      <w:proofErr w:type="spellEnd"/>
      <w:r>
        <w:rPr>
          <w:sz w:val="18"/>
        </w:rPr>
        <w:t xml:space="preserve"> </w:t>
      </w:r>
      <w:proofErr w:type="spellStart"/>
      <w:r>
        <w:rPr>
          <w:sz w:val="18"/>
        </w:rPr>
        <w:t>only</w:t>
      </w:r>
      <w:proofErr w:type="spellEnd"/>
      <w:r>
        <w:rPr>
          <w:sz w:val="18"/>
        </w:rPr>
        <w:t>.</w:t>
      </w:r>
    </w:p>
    <w:p w:rsidR="00213FD6" w:rsidRDefault="00213FD6">
      <w:pPr>
        <w:rPr>
          <w:rFonts w:cs="Arial"/>
          <w:b/>
          <w:highlight w:val="yellow"/>
        </w:rPr>
      </w:pPr>
    </w:p>
    <w:p w:rsidR="00213FD6" w:rsidRDefault="00213FD6">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FC0104" w:rsidRDefault="00FC0104">
      <w:pPr>
        <w:rPr>
          <w:rFonts w:cs="Arial"/>
          <w:b/>
          <w:highlight w:val="yellow"/>
        </w:rPr>
      </w:pPr>
    </w:p>
    <w:p w:rsidR="00AD6E37" w:rsidRPr="00AD6E37" w:rsidRDefault="00AD6E37" w:rsidP="00AD6E37">
      <w:pPr>
        <w:rPr>
          <w:b/>
          <w:sz w:val="24"/>
        </w:rPr>
      </w:pPr>
      <w:proofErr w:type="gramStart"/>
      <w:r w:rsidRPr="00AD6E37">
        <w:rPr>
          <w:b/>
          <w:sz w:val="24"/>
        </w:rPr>
        <w:lastRenderedPageBreak/>
        <w:t>Supplementary Table S5.</w:t>
      </w:r>
      <w:proofErr w:type="gramEnd"/>
      <w:r w:rsidRPr="00AD6E37">
        <w:rPr>
          <w:b/>
          <w:sz w:val="24"/>
        </w:rPr>
        <w:t xml:space="preserve"> Comparison of characteristics across centers</w:t>
      </w:r>
    </w:p>
    <w:tbl>
      <w:tblPr>
        <w:tblW w:w="0" w:type="auto"/>
        <w:tblCellSpacing w:w="15" w:type="dxa"/>
        <w:tblCellMar>
          <w:top w:w="15" w:type="dxa"/>
          <w:left w:w="15" w:type="dxa"/>
          <w:bottom w:w="15" w:type="dxa"/>
          <w:right w:w="15" w:type="dxa"/>
        </w:tblCellMar>
        <w:tblLook w:val="04A0"/>
      </w:tblPr>
      <w:tblGrid>
        <w:gridCol w:w="1071"/>
        <w:gridCol w:w="1817"/>
        <w:gridCol w:w="1348"/>
        <w:gridCol w:w="1294"/>
        <w:gridCol w:w="1286"/>
        <w:gridCol w:w="1411"/>
        <w:gridCol w:w="701"/>
      </w:tblGrid>
      <w:tr w:rsidR="00AD6E37" w:rsidTr="00245CDC">
        <w:trPr>
          <w:tblHeader/>
          <w:tblCellSpacing w:w="15" w:type="dxa"/>
        </w:trPr>
        <w:tc>
          <w:tcPr>
            <w:tcW w:w="0" w:type="auto"/>
            <w:vAlign w:val="center"/>
            <w:hideMark/>
          </w:tcPr>
          <w:p w:rsidR="00AD6E37" w:rsidRDefault="00AD6E37">
            <w:pPr>
              <w:jc w:val="center"/>
              <w:rPr>
                <w:b/>
                <w:bCs/>
                <w:sz w:val="24"/>
              </w:rPr>
            </w:pPr>
            <w:r>
              <w:rPr>
                <w:b/>
                <w:bCs/>
              </w:rPr>
              <w:t>Variable</w:t>
            </w:r>
          </w:p>
        </w:tc>
        <w:tc>
          <w:tcPr>
            <w:tcW w:w="1787" w:type="dxa"/>
            <w:vAlign w:val="center"/>
            <w:hideMark/>
          </w:tcPr>
          <w:p w:rsidR="00AD6E37" w:rsidRDefault="00AD6E37">
            <w:pPr>
              <w:jc w:val="center"/>
              <w:rPr>
                <w:b/>
                <w:bCs/>
                <w:sz w:val="24"/>
              </w:rPr>
            </w:pPr>
            <w:r>
              <w:rPr>
                <w:b/>
                <w:bCs/>
              </w:rPr>
              <w:t>Category</w:t>
            </w:r>
          </w:p>
        </w:tc>
        <w:tc>
          <w:tcPr>
            <w:tcW w:w="1318" w:type="dxa"/>
            <w:vAlign w:val="center"/>
            <w:hideMark/>
          </w:tcPr>
          <w:p w:rsidR="00AD6E37" w:rsidRDefault="00AD6E37">
            <w:pPr>
              <w:jc w:val="center"/>
              <w:rPr>
                <w:b/>
                <w:bCs/>
                <w:sz w:val="24"/>
              </w:rPr>
            </w:pPr>
            <w:r>
              <w:rPr>
                <w:b/>
                <w:bCs/>
              </w:rPr>
              <w:t>University Hospital of Navarra</w:t>
            </w:r>
          </w:p>
        </w:tc>
        <w:tc>
          <w:tcPr>
            <w:tcW w:w="0" w:type="auto"/>
            <w:vAlign w:val="center"/>
            <w:hideMark/>
          </w:tcPr>
          <w:p w:rsidR="00AD6E37" w:rsidRDefault="00AD6E37">
            <w:pPr>
              <w:jc w:val="center"/>
              <w:rPr>
                <w:b/>
                <w:bCs/>
                <w:sz w:val="24"/>
              </w:rPr>
            </w:pPr>
            <w:r>
              <w:rPr>
                <w:b/>
                <w:bCs/>
              </w:rPr>
              <w:t xml:space="preserve">Reina </w:t>
            </w:r>
            <w:proofErr w:type="spellStart"/>
            <w:r>
              <w:rPr>
                <w:b/>
                <w:bCs/>
              </w:rPr>
              <w:t>Sofía</w:t>
            </w:r>
            <w:proofErr w:type="spellEnd"/>
            <w:r>
              <w:rPr>
                <w:b/>
                <w:bCs/>
              </w:rPr>
              <w:t xml:space="preserve"> University Hospital of Murcia</w:t>
            </w:r>
          </w:p>
        </w:tc>
        <w:tc>
          <w:tcPr>
            <w:tcW w:w="0" w:type="auto"/>
            <w:vAlign w:val="center"/>
            <w:hideMark/>
          </w:tcPr>
          <w:p w:rsidR="00AD6E37" w:rsidRDefault="00AD6E37">
            <w:pPr>
              <w:jc w:val="center"/>
              <w:rPr>
                <w:b/>
                <w:bCs/>
                <w:sz w:val="24"/>
              </w:rPr>
            </w:pPr>
            <w:r>
              <w:rPr>
                <w:b/>
                <w:bCs/>
              </w:rPr>
              <w:t xml:space="preserve">General University Hospital of </w:t>
            </w:r>
            <w:proofErr w:type="spellStart"/>
            <w:r>
              <w:rPr>
                <w:b/>
                <w:bCs/>
              </w:rPr>
              <w:t>Castellón</w:t>
            </w:r>
            <w:proofErr w:type="spellEnd"/>
          </w:p>
        </w:tc>
        <w:tc>
          <w:tcPr>
            <w:tcW w:w="0" w:type="auto"/>
            <w:vAlign w:val="center"/>
            <w:hideMark/>
          </w:tcPr>
          <w:p w:rsidR="00AD6E37" w:rsidRDefault="00AD6E37">
            <w:pPr>
              <w:jc w:val="center"/>
              <w:rPr>
                <w:b/>
                <w:bCs/>
                <w:sz w:val="24"/>
              </w:rPr>
            </w:pPr>
            <w:proofErr w:type="spellStart"/>
            <w:r>
              <w:rPr>
                <w:b/>
                <w:bCs/>
              </w:rPr>
              <w:t>Bellvitge</w:t>
            </w:r>
            <w:proofErr w:type="spellEnd"/>
            <w:r>
              <w:rPr>
                <w:b/>
                <w:bCs/>
              </w:rPr>
              <w:t xml:space="preserve"> University Hospital (Barcelona)</w:t>
            </w:r>
          </w:p>
        </w:tc>
        <w:tc>
          <w:tcPr>
            <w:tcW w:w="0" w:type="auto"/>
            <w:vAlign w:val="center"/>
            <w:hideMark/>
          </w:tcPr>
          <w:p w:rsidR="00AD6E37" w:rsidRDefault="00AD6E37">
            <w:pPr>
              <w:jc w:val="center"/>
              <w:rPr>
                <w:b/>
                <w:bCs/>
                <w:sz w:val="24"/>
              </w:rPr>
            </w:pPr>
            <w:r>
              <w:rPr>
                <w:b/>
                <w:bCs/>
              </w:rPr>
              <w:t>p-value</w:t>
            </w:r>
          </w:p>
        </w:tc>
      </w:tr>
      <w:tr w:rsidR="00245CDC" w:rsidTr="00245CDC">
        <w:trPr>
          <w:tblCellSpacing w:w="15" w:type="dxa"/>
        </w:trPr>
        <w:tc>
          <w:tcPr>
            <w:tcW w:w="0" w:type="auto"/>
            <w:vMerge w:val="restart"/>
            <w:vAlign w:val="center"/>
            <w:hideMark/>
          </w:tcPr>
          <w:p w:rsidR="00245CDC" w:rsidRDefault="00245CDC">
            <w:pPr>
              <w:rPr>
                <w:sz w:val="24"/>
              </w:rPr>
            </w:pPr>
            <w:r>
              <w:t>LMH subtype</w:t>
            </w:r>
          </w:p>
        </w:tc>
        <w:tc>
          <w:tcPr>
            <w:tcW w:w="1787" w:type="dxa"/>
            <w:vAlign w:val="center"/>
            <w:hideMark/>
          </w:tcPr>
          <w:p w:rsidR="00245CDC" w:rsidRDefault="00245CDC">
            <w:pPr>
              <w:rPr>
                <w:sz w:val="24"/>
              </w:rPr>
            </w:pPr>
            <w:proofErr w:type="spellStart"/>
            <w:r>
              <w:t>Tractional</w:t>
            </w:r>
            <w:proofErr w:type="spellEnd"/>
          </w:p>
        </w:tc>
        <w:tc>
          <w:tcPr>
            <w:tcW w:w="1318" w:type="dxa"/>
            <w:vAlign w:val="center"/>
            <w:hideMark/>
          </w:tcPr>
          <w:p w:rsidR="00245CDC" w:rsidRDefault="00245CDC">
            <w:pPr>
              <w:rPr>
                <w:sz w:val="24"/>
              </w:rPr>
            </w:pPr>
            <w:r>
              <w:t>85 (64.4)</w:t>
            </w:r>
          </w:p>
        </w:tc>
        <w:tc>
          <w:tcPr>
            <w:tcW w:w="0" w:type="auto"/>
            <w:vAlign w:val="center"/>
            <w:hideMark/>
          </w:tcPr>
          <w:p w:rsidR="00245CDC" w:rsidRDefault="00245CDC">
            <w:pPr>
              <w:rPr>
                <w:sz w:val="24"/>
              </w:rPr>
            </w:pPr>
            <w:r>
              <w:t>15 (50.0)</w:t>
            </w:r>
          </w:p>
        </w:tc>
        <w:tc>
          <w:tcPr>
            <w:tcW w:w="0" w:type="auto"/>
            <w:vAlign w:val="center"/>
            <w:hideMark/>
          </w:tcPr>
          <w:p w:rsidR="00245CDC" w:rsidRDefault="00245CDC">
            <w:pPr>
              <w:rPr>
                <w:sz w:val="24"/>
              </w:rPr>
            </w:pPr>
            <w:r>
              <w:t>4 (44.4)</w:t>
            </w:r>
          </w:p>
        </w:tc>
        <w:tc>
          <w:tcPr>
            <w:tcW w:w="0" w:type="auto"/>
            <w:vAlign w:val="center"/>
            <w:hideMark/>
          </w:tcPr>
          <w:p w:rsidR="00245CDC" w:rsidRDefault="00245CDC">
            <w:pPr>
              <w:rPr>
                <w:sz w:val="24"/>
              </w:rPr>
            </w:pPr>
            <w:r>
              <w:t>2 (50.0)</w:t>
            </w:r>
          </w:p>
        </w:tc>
        <w:tc>
          <w:tcPr>
            <w:tcW w:w="0" w:type="auto"/>
            <w:vAlign w:val="center"/>
            <w:hideMark/>
          </w:tcPr>
          <w:p w:rsidR="00245CDC" w:rsidRDefault="00245CDC">
            <w:pPr>
              <w:rPr>
                <w:sz w:val="24"/>
              </w:rPr>
            </w:pPr>
            <w:r>
              <w:t>0.191</w:t>
            </w:r>
          </w:p>
        </w:tc>
      </w:tr>
      <w:tr w:rsidR="00245CDC" w:rsidTr="00245CDC">
        <w:trPr>
          <w:tblCellSpacing w:w="15" w:type="dxa"/>
        </w:trPr>
        <w:tc>
          <w:tcPr>
            <w:tcW w:w="0" w:type="auto"/>
            <w:vMerge/>
            <w:vAlign w:val="center"/>
            <w:hideMark/>
          </w:tcPr>
          <w:p w:rsidR="00245CDC" w:rsidRDefault="00245CDC">
            <w:pPr>
              <w:rPr>
                <w:sz w:val="24"/>
              </w:rPr>
            </w:pPr>
          </w:p>
        </w:tc>
        <w:tc>
          <w:tcPr>
            <w:tcW w:w="1787" w:type="dxa"/>
            <w:vAlign w:val="center"/>
            <w:hideMark/>
          </w:tcPr>
          <w:p w:rsidR="00245CDC" w:rsidRDefault="00245CDC">
            <w:pPr>
              <w:rPr>
                <w:sz w:val="24"/>
              </w:rPr>
            </w:pPr>
            <w:r>
              <w:t>Mixed</w:t>
            </w:r>
          </w:p>
        </w:tc>
        <w:tc>
          <w:tcPr>
            <w:tcW w:w="1318" w:type="dxa"/>
            <w:vAlign w:val="center"/>
            <w:hideMark/>
          </w:tcPr>
          <w:p w:rsidR="00245CDC" w:rsidRDefault="00245CDC">
            <w:pPr>
              <w:rPr>
                <w:sz w:val="24"/>
              </w:rPr>
            </w:pPr>
            <w:r>
              <w:t>29 (22.0)</w:t>
            </w:r>
          </w:p>
        </w:tc>
        <w:tc>
          <w:tcPr>
            <w:tcW w:w="0" w:type="auto"/>
            <w:vAlign w:val="center"/>
            <w:hideMark/>
          </w:tcPr>
          <w:p w:rsidR="00245CDC" w:rsidRDefault="00245CDC">
            <w:pPr>
              <w:rPr>
                <w:sz w:val="24"/>
              </w:rPr>
            </w:pPr>
            <w:r>
              <w:t>10 (33.3)</w:t>
            </w:r>
          </w:p>
        </w:tc>
        <w:tc>
          <w:tcPr>
            <w:tcW w:w="0" w:type="auto"/>
            <w:vAlign w:val="center"/>
            <w:hideMark/>
          </w:tcPr>
          <w:p w:rsidR="00245CDC" w:rsidRDefault="00245CDC">
            <w:pPr>
              <w:rPr>
                <w:sz w:val="24"/>
              </w:rPr>
            </w:pPr>
            <w:r>
              <w:t>2 (22.2)</w:t>
            </w:r>
          </w:p>
        </w:tc>
        <w:tc>
          <w:tcPr>
            <w:tcW w:w="0" w:type="auto"/>
            <w:vAlign w:val="center"/>
            <w:hideMark/>
          </w:tcPr>
          <w:p w:rsidR="00245CDC" w:rsidRDefault="00245CDC">
            <w:pPr>
              <w:rPr>
                <w:sz w:val="24"/>
              </w:rPr>
            </w:pPr>
            <w:r>
              <w:t>0 (0.0)</w:t>
            </w:r>
          </w:p>
        </w:tc>
        <w:tc>
          <w:tcPr>
            <w:tcW w:w="0" w:type="auto"/>
            <w:vAlign w:val="center"/>
            <w:hideMark/>
          </w:tcPr>
          <w:p w:rsidR="00245CDC" w:rsidRDefault="00245CDC">
            <w:pPr>
              <w:rPr>
                <w:sz w:val="24"/>
              </w:rPr>
            </w:pPr>
          </w:p>
        </w:tc>
      </w:tr>
      <w:tr w:rsidR="00245CDC" w:rsidTr="00245CDC">
        <w:trPr>
          <w:tblCellSpacing w:w="15" w:type="dxa"/>
        </w:trPr>
        <w:tc>
          <w:tcPr>
            <w:tcW w:w="0" w:type="auto"/>
            <w:vMerge/>
            <w:vAlign w:val="center"/>
            <w:hideMark/>
          </w:tcPr>
          <w:p w:rsidR="00245CDC" w:rsidRDefault="00245CDC">
            <w:pPr>
              <w:rPr>
                <w:sz w:val="24"/>
              </w:rPr>
            </w:pPr>
          </w:p>
        </w:tc>
        <w:tc>
          <w:tcPr>
            <w:tcW w:w="1787" w:type="dxa"/>
            <w:vAlign w:val="center"/>
            <w:hideMark/>
          </w:tcPr>
          <w:p w:rsidR="00245CDC" w:rsidRDefault="00245CDC">
            <w:pPr>
              <w:rPr>
                <w:sz w:val="24"/>
              </w:rPr>
            </w:pPr>
            <w:r>
              <w:t>Degenerative</w:t>
            </w:r>
          </w:p>
        </w:tc>
        <w:tc>
          <w:tcPr>
            <w:tcW w:w="1318" w:type="dxa"/>
            <w:vAlign w:val="center"/>
            <w:hideMark/>
          </w:tcPr>
          <w:p w:rsidR="00245CDC" w:rsidRDefault="00245CDC">
            <w:pPr>
              <w:rPr>
                <w:sz w:val="24"/>
              </w:rPr>
            </w:pPr>
            <w:r>
              <w:t>18 (13.6)</w:t>
            </w:r>
          </w:p>
        </w:tc>
        <w:tc>
          <w:tcPr>
            <w:tcW w:w="0" w:type="auto"/>
            <w:vAlign w:val="center"/>
            <w:hideMark/>
          </w:tcPr>
          <w:p w:rsidR="00245CDC" w:rsidRDefault="00245CDC">
            <w:pPr>
              <w:rPr>
                <w:sz w:val="24"/>
              </w:rPr>
            </w:pPr>
            <w:r>
              <w:t>5 (16.7)</w:t>
            </w:r>
          </w:p>
        </w:tc>
        <w:tc>
          <w:tcPr>
            <w:tcW w:w="0" w:type="auto"/>
            <w:vAlign w:val="center"/>
            <w:hideMark/>
          </w:tcPr>
          <w:p w:rsidR="00245CDC" w:rsidRDefault="00245CDC">
            <w:pPr>
              <w:rPr>
                <w:sz w:val="24"/>
              </w:rPr>
            </w:pPr>
            <w:r>
              <w:t>3 (33.3)</w:t>
            </w:r>
          </w:p>
        </w:tc>
        <w:tc>
          <w:tcPr>
            <w:tcW w:w="0" w:type="auto"/>
            <w:vAlign w:val="center"/>
            <w:hideMark/>
          </w:tcPr>
          <w:p w:rsidR="00245CDC" w:rsidRDefault="00245CDC">
            <w:pPr>
              <w:rPr>
                <w:sz w:val="24"/>
              </w:rPr>
            </w:pPr>
            <w:r>
              <w:t>2 (50.0)</w:t>
            </w:r>
          </w:p>
        </w:tc>
        <w:tc>
          <w:tcPr>
            <w:tcW w:w="0" w:type="auto"/>
            <w:vAlign w:val="center"/>
            <w:hideMark/>
          </w:tcPr>
          <w:p w:rsidR="00245CDC" w:rsidRDefault="00245CDC">
            <w:pPr>
              <w:rPr>
                <w:sz w:val="24"/>
              </w:rPr>
            </w:pPr>
          </w:p>
        </w:tc>
      </w:tr>
      <w:tr w:rsidR="00245CDC" w:rsidTr="00245CDC">
        <w:trPr>
          <w:tblCellSpacing w:w="15" w:type="dxa"/>
        </w:trPr>
        <w:tc>
          <w:tcPr>
            <w:tcW w:w="0" w:type="auto"/>
            <w:vMerge w:val="restart"/>
            <w:vAlign w:val="center"/>
            <w:hideMark/>
          </w:tcPr>
          <w:p w:rsidR="00245CDC" w:rsidRDefault="00245CDC">
            <w:pPr>
              <w:rPr>
                <w:sz w:val="24"/>
              </w:rPr>
            </w:pPr>
            <w:r>
              <w:t>Surgery sequence</w:t>
            </w:r>
          </w:p>
        </w:tc>
        <w:tc>
          <w:tcPr>
            <w:tcW w:w="1787" w:type="dxa"/>
            <w:vAlign w:val="center"/>
            <w:hideMark/>
          </w:tcPr>
          <w:p w:rsidR="00245CDC" w:rsidRDefault="00245CDC">
            <w:pPr>
              <w:rPr>
                <w:sz w:val="24"/>
              </w:rPr>
            </w:pPr>
            <w:r>
              <w:t>Combined</w:t>
            </w:r>
          </w:p>
        </w:tc>
        <w:tc>
          <w:tcPr>
            <w:tcW w:w="1318" w:type="dxa"/>
            <w:vAlign w:val="center"/>
            <w:hideMark/>
          </w:tcPr>
          <w:p w:rsidR="00245CDC" w:rsidRDefault="00245CDC">
            <w:pPr>
              <w:rPr>
                <w:sz w:val="24"/>
              </w:rPr>
            </w:pPr>
            <w:r>
              <w:t>79 (59.8)</w:t>
            </w:r>
          </w:p>
        </w:tc>
        <w:tc>
          <w:tcPr>
            <w:tcW w:w="0" w:type="auto"/>
            <w:vAlign w:val="center"/>
            <w:hideMark/>
          </w:tcPr>
          <w:p w:rsidR="00245CDC" w:rsidRDefault="00245CDC">
            <w:pPr>
              <w:rPr>
                <w:sz w:val="24"/>
              </w:rPr>
            </w:pPr>
            <w:r>
              <w:t>17 (56.7)</w:t>
            </w:r>
          </w:p>
        </w:tc>
        <w:tc>
          <w:tcPr>
            <w:tcW w:w="0" w:type="auto"/>
            <w:vAlign w:val="center"/>
            <w:hideMark/>
          </w:tcPr>
          <w:p w:rsidR="00245CDC" w:rsidRDefault="00245CDC">
            <w:pPr>
              <w:rPr>
                <w:sz w:val="24"/>
              </w:rPr>
            </w:pPr>
            <w:r>
              <w:t>3 (33.3)</w:t>
            </w:r>
          </w:p>
        </w:tc>
        <w:tc>
          <w:tcPr>
            <w:tcW w:w="0" w:type="auto"/>
            <w:vAlign w:val="center"/>
            <w:hideMark/>
          </w:tcPr>
          <w:p w:rsidR="00245CDC" w:rsidRDefault="00245CDC">
            <w:pPr>
              <w:rPr>
                <w:sz w:val="24"/>
              </w:rPr>
            </w:pPr>
            <w:r>
              <w:t>2 (50.0)</w:t>
            </w:r>
          </w:p>
        </w:tc>
        <w:tc>
          <w:tcPr>
            <w:tcW w:w="0" w:type="auto"/>
            <w:vAlign w:val="center"/>
            <w:hideMark/>
          </w:tcPr>
          <w:p w:rsidR="00245CDC" w:rsidRDefault="00245CDC">
            <w:pPr>
              <w:rPr>
                <w:sz w:val="24"/>
              </w:rPr>
            </w:pPr>
            <w:r>
              <w:t>&lt;0.001</w:t>
            </w:r>
          </w:p>
        </w:tc>
      </w:tr>
      <w:tr w:rsidR="00245CDC" w:rsidTr="00245CDC">
        <w:trPr>
          <w:tblCellSpacing w:w="15" w:type="dxa"/>
        </w:trPr>
        <w:tc>
          <w:tcPr>
            <w:tcW w:w="0" w:type="auto"/>
            <w:vMerge/>
            <w:vAlign w:val="center"/>
            <w:hideMark/>
          </w:tcPr>
          <w:p w:rsidR="00245CDC" w:rsidRDefault="00245CDC">
            <w:pPr>
              <w:rPr>
                <w:sz w:val="24"/>
              </w:rPr>
            </w:pPr>
          </w:p>
        </w:tc>
        <w:tc>
          <w:tcPr>
            <w:tcW w:w="1787" w:type="dxa"/>
            <w:vAlign w:val="center"/>
            <w:hideMark/>
          </w:tcPr>
          <w:p w:rsidR="00245CDC" w:rsidRDefault="00245CDC">
            <w:pPr>
              <w:rPr>
                <w:sz w:val="24"/>
              </w:rPr>
            </w:pPr>
            <w:r>
              <w:t xml:space="preserve">PPV followed by </w:t>
            </w:r>
            <w:proofErr w:type="spellStart"/>
            <w:r>
              <w:t>phacoemulsification</w:t>
            </w:r>
            <w:proofErr w:type="spellEnd"/>
          </w:p>
        </w:tc>
        <w:tc>
          <w:tcPr>
            <w:tcW w:w="1318" w:type="dxa"/>
            <w:vAlign w:val="center"/>
            <w:hideMark/>
          </w:tcPr>
          <w:p w:rsidR="00245CDC" w:rsidRDefault="00245CDC">
            <w:pPr>
              <w:rPr>
                <w:sz w:val="24"/>
              </w:rPr>
            </w:pPr>
            <w:r>
              <w:t>24 (18.2)</w:t>
            </w:r>
          </w:p>
        </w:tc>
        <w:tc>
          <w:tcPr>
            <w:tcW w:w="0" w:type="auto"/>
            <w:vAlign w:val="center"/>
            <w:hideMark/>
          </w:tcPr>
          <w:p w:rsidR="00245CDC" w:rsidRDefault="00245CDC">
            <w:pPr>
              <w:rPr>
                <w:sz w:val="24"/>
              </w:rPr>
            </w:pPr>
            <w:r>
              <w:t>6 (20.0)</w:t>
            </w:r>
          </w:p>
        </w:tc>
        <w:tc>
          <w:tcPr>
            <w:tcW w:w="0" w:type="auto"/>
            <w:vAlign w:val="center"/>
            <w:hideMark/>
          </w:tcPr>
          <w:p w:rsidR="00245CDC" w:rsidRDefault="00245CDC">
            <w:pPr>
              <w:rPr>
                <w:sz w:val="24"/>
              </w:rPr>
            </w:pPr>
            <w:r>
              <w:t>0 (0.0)</w:t>
            </w:r>
          </w:p>
        </w:tc>
        <w:tc>
          <w:tcPr>
            <w:tcW w:w="0" w:type="auto"/>
            <w:vAlign w:val="center"/>
            <w:hideMark/>
          </w:tcPr>
          <w:p w:rsidR="00245CDC" w:rsidRDefault="00245CDC">
            <w:pPr>
              <w:rPr>
                <w:sz w:val="24"/>
              </w:rPr>
            </w:pPr>
            <w:r>
              <w:t>0 (0.0)</w:t>
            </w:r>
          </w:p>
        </w:tc>
        <w:tc>
          <w:tcPr>
            <w:tcW w:w="0" w:type="auto"/>
            <w:vAlign w:val="center"/>
            <w:hideMark/>
          </w:tcPr>
          <w:p w:rsidR="00245CDC" w:rsidRDefault="00245CDC">
            <w:pPr>
              <w:rPr>
                <w:sz w:val="24"/>
              </w:rPr>
            </w:pPr>
          </w:p>
        </w:tc>
      </w:tr>
      <w:tr w:rsidR="00245CDC" w:rsidTr="00245CDC">
        <w:trPr>
          <w:tblCellSpacing w:w="15" w:type="dxa"/>
        </w:trPr>
        <w:tc>
          <w:tcPr>
            <w:tcW w:w="0" w:type="auto"/>
            <w:vMerge/>
            <w:vAlign w:val="center"/>
            <w:hideMark/>
          </w:tcPr>
          <w:p w:rsidR="00245CDC" w:rsidRDefault="00245CDC">
            <w:pPr>
              <w:rPr>
                <w:sz w:val="24"/>
              </w:rPr>
            </w:pPr>
          </w:p>
        </w:tc>
        <w:tc>
          <w:tcPr>
            <w:tcW w:w="1787" w:type="dxa"/>
            <w:vAlign w:val="center"/>
            <w:hideMark/>
          </w:tcPr>
          <w:p w:rsidR="00245CDC" w:rsidRDefault="00245CDC">
            <w:pPr>
              <w:rPr>
                <w:sz w:val="24"/>
              </w:rPr>
            </w:pPr>
            <w:r>
              <w:t xml:space="preserve">PPV in </w:t>
            </w:r>
            <w:proofErr w:type="spellStart"/>
            <w:r>
              <w:t>pseudophakic</w:t>
            </w:r>
            <w:proofErr w:type="spellEnd"/>
            <w:r>
              <w:t xml:space="preserve"> eyes</w:t>
            </w:r>
          </w:p>
        </w:tc>
        <w:tc>
          <w:tcPr>
            <w:tcW w:w="1318" w:type="dxa"/>
            <w:vAlign w:val="center"/>
            <w:hideMark/>
          </w:tcPr>
          <w:p w:rsidR="00245CDC" w:rsidRDefault="00245CDC">
            <w:pPr>
              <w:rPr>
                <w:sz w:val="24"/>
              </w:rPr>
            </w:pPr>
            <w:r>
              <w:t>27 (20.5)</w:t>
            </w:r>
          </w:p>
        </w:tc>
        <w:tc>
          <w:tcPr>
            <w:tcW w:w="0" w:type="auto"/>
            <w:vAlign w:val="center"/>
            <w:hideMark/>
          </w:tcPr>
          <w:p w:rsidR="00245CDC" w:rsidRDefault="00245CDC">
            <w:pPr>
              <w:rPr>
                <w:sz w:val="24"/>
              </w:rPr>
            </w:pPr>
            <w:r>
              <w:t>7 (23.3)</w:t>
            </w:r>
          </w:p>
        </w:tc>
        <w:tc>
          <w:tcPr>
            <w:tcW w:w="0" w:type="auto"/>
            <w:vAlign w:val="center"/>
            <w:hideMark/>
          </w:tcPr>
          <w:p w:rsidR="00245CDC" w:rsidRDefault="00245CDC">
            <w:pPr>
              <w:rPr>
                <w:sz w:val="24"/>
              </w:rPr>
            </w:pPr>
            <w:r>
              <w:t>3 (33.3)</w:t>
            </w:r>
          </w:p>
        </w:tc>
        <w:tc>
          <w:tcPr>
            <w:tcW w:w="0" w:type="auto"/>
            <w:vAlign w:val="center"/>
            <w:hideMark/>
          </w:tcPr>
          <w:p w:rsidR="00245CDC" w:rsidRDefault="00245CDC">
            <w:pPr>
              <w:rPr>
                <w:sz w:val="24"/>
              </w:rPr>
            </w:pPr>
            <w:r>
              <w:t>2 (50.0)</w:t>
            </w:r>
          </w:p>
        </w:tc>
        <w:tc>
          <w:tcPr>
            <w:tcW w:w="0" w:type="auto"/>
            <w:vAlign w:val="center"/>
            <w:hideMark/>
          </w:tcPr>
          <w:p w:rsidR="00245CDC" w:rsidRDefault="00245CDC">
            <w:pPr>
              <w:rPr>
                <w:sz w:val="24"/>
              </w:rPr>
            </w:pPr>
          </w:p>
        </w:tc>
      </w:tr>
      <w:tr w:rsidR="00245CDC" w:rsidTr="00245CDC">
        <w:trPr>
          <w:tblCellSpacing w:w="15" w:type="dxa"/>
        </w:trPr>
        <w:tc>
          <w:tcPr>
            <w:tcW w:w="0" w:type="auto"/>
            <w:vMerge/>
            <w:vAlign w:val="center"/>
            <w:hideMark/>
          </w:tcPr>
          <w:p w:rsidR="00245CDC" w:rsidRDefault="00245CDC">
            <w:pPr>
              <w:rPr>
                <w:sz w:val="24"/>
              </w:rPr>
            </w:pPr>
          </w:p>
        </w:tc>
        <w:tc>
          <w:tcPr>
            <w:tcW w:w="1787" w:type="dxa"/>
            <w:vAlign w:val="center"/>
            <w:hideMark/>
          </w:tcPr>
          <w:p w:rsidR="00245CDC" w:rsidRDefault="00245CDC">
            <w:pPr>
              <w:rPr>
                <w:sz w:val="24"/>
              </w:rPr>
            </w:pPr>
            <w:r>
              <w:t xml:space="preserve">PPV without </w:t>
            </w:r>
            <w:proofErr w:type="spellStart"/>
            <w:r>
              <w:t>phacoemulsification</w:t>
            </w:r>
            <w:proofErr w:type="spellEnd"/>
          </w:p>
        </w:tc>
        <w:tc>
          <w:tcPr>
            <w:tcW w:w="1318" w:type="dxa"/>
            <w:vAlign w:val="center"/>
            <w:hideMark/>
          </w:tcPr>
          <w:p w:rsidR="00245CDC" w:rsidRDefault="00245CDC">
            <w:pPr>
              <w:rPr>
                <w:sz w:val="24"/>
              </w:rPr>
            </w:pPr>
            <w:r>
              <w:t>2 (1.5)</w:t>
            </w:r>
          </w:p>
        </w:tc>
        <w:tc>
          <w:tcPr>
            <w:tcW w:w="0" w:type="auto"/>
            <w:vAlign w:val="center"/>
            <w:hideMark/>
          </w:tcPr>
          <w:p w:rsidR="00245CDC" w:rsidRDefault="00245CDC">
            <w:pPr>
              <w:rPr>
                <w:sz w:val="24"/>
              </w:rPr>
            </w:pPr>
            <w:r>
              <w:t>0 (0.0)</w:t>
            </w:r>
          </w:p>
        </w:tc>
        <w:tc>
          <w:tcPr>
            <w:tcW w:w="0" w:type="auto"/>
            <w:vAlign w:val="center"/>
            <w:hideMark/>
          </w:tcPr>
          <w:p w:rsidR="00245CDC" w:rsidRDefault="00245CDC">
            <w:pPr>
              <w:rPr>
                <w:sz w:val="24"/>
              </w:rPr>
            </w:pPr>
            <w:r>
              <w:t>3 (33.3)</w:t>
            </w:r>
          </w:p>
        </w:tc>
        <w:tc>
          <w:tcPr>
            <w:tcW w:w="0" w:type="auto"/>
            <w:vAlign w:val="center"/>
            <w:hideMark/>
          </w:tcPr>
          <w:p w:rsidR="00245CDC" w:rsidRDefault="00245CDC">
            <w:pPr>
              <w:rPr>
                <w:sz w:val="24"/>
              </w:rPr>
            </w:pPr>
            <w:r>
              <w:t>0 (0.0)</w:t>
            </w:r>
          </w:p>
        </w:tc>
        <w:tc>
          <w:tcPr>
            <w:tcW w:w="0" w:type="auto"/>
            <w:vAlign w:val="center"/>
            <w:hideMark/>
          </w:tcPr>
          <w:p w:rsidR="00245CDC" w:rsidRDefault="00245CDC">
            <w:pPr>
              <w:rPr>
                <w:sz w:val="24"/>
              </w:rPr>
            </w:pPr>
          </w:p>
        </w:tc>
      </w:tr>
      <w:tr w:rsidR="00AD6E37" w:rsidTr="00245CDC">
        <w:trPr>
          <w:tblCellSpacing w:w="15" w:type="dxa"/>
        </w:trPr>
        <w:tc>
          <w:tcPr>
            <w:tcW w:w="0" w:type="auto"/>
            <w:vAlign w:val="center"/>
            <w:hideMark/>
          </w:tcPr>
          <w:p w:rsidR="00AD6E37" w:rsidRDefault="00AD6E37">
            <w:pPr>
              <w:rPr>
                <w:sz w:val="24"/>
              </w:rPr>
            </w:pPr>
            <w:r>
              <w:t>Pre-PPV BCVA (</w:t>
            </w:r>
            <w:proofErr w:type="spellStart"/>
            <w:r>
              <w:t>logMAR</w:t>
            </w:r>
            <w:proofErr w:type="spellEnd"/>
            <w:r>
              <w:t>)</w:t>
            </w:r>
          </w:p>
        </w:tc>
        <w:tc>
          <w:tcPr>
            <w:tcW w:w="1787" w:type="dxa"/>
            <w:vAlign w:val="center"/>
            <w:hideMark/>
          </w:tcPr>
          <w:p w:rsidR="00AD6E37" w:rsidRDefault="00AD6E37">
            <w:pPr>
              <w:rPr>
                <w:sz w:val="24"/>
              </w:rPr>
            </w:pPr>
            <w:r>
              <w:t>Mean (SD)</w:t>
            </w:r>
          </w:p>
        </w:tc>
        <w:tc>
          <w:tcPr>
            <w:tcW w:w="1318" w:type="dxa"/>
            <w:vAlign w:val="center"/>
            <w:hideMark/>
          </w:tcPr>
          <w:p w:rsidR="00AD6E37" w:rsidRDefault="00AD6E37">
            <w:pPr>
              <w:rPr>
                <w:sz w:val="24"/>
              </w:rPr>
            </w:pPr>
            <w:r>
              <w:t>0.5 (0.2)</w:t>
            </w:r>
          </w:p>
        </w:tc>
        <w:tc>
          <w:tcPr>
            <w:tcW w:w="0" w:type="auto"/>
            <w:vAlign w:val="center"/>
            <w:hideMark/>
          </w:tcPr>
          <w:p w:rsidR="00AD6E37" w:rsidRDefault="00AD6E37">
            <w:pPr>
              <w:rPr>
                <w:sz w:val="24"/>
              </w:rPr>
            </w:pPr>
            <w:r>
              <w:t>0.4 (0.2)</w:t>
            </w:r>
          </w:p>
        </w:tc>
        <w:tc>
          <w:tcPr>
            <w:tcW w:w="0" w:type="auto"/>
            <w:vAlign w:val="center"/>
            <w:hideMark/>
          </w:tcPr>
          <w:p w:rsidR="00AD6E37" w:rsidRDefault="00AD6E37">
            <w:pPr>
              <w:rPr>
                <w:sz w:val="24"/>
              </w:rPr>
            </w:pPr>
            <w:r>
              <w:t>0.4 (0.2)</w:t>
            </w:r>
          </w:p>
        </w:tc>
        <w:tc>
          <w:tcPr>
            <w:tcW w:w="0" w:type="auto"/>
            <w:vAlign w:val="center"/>
            <w:hideMark/>
          </w:tcPr>
          <w:p w:rsidR="00AD6E37" w:rsidRDefault="00AD6E37">
            <w:pPr>
              <w:rPr>
                <w:sz w:val="24"/>
              </w:rPr>
            </w:pPr>
            <w:r>
              <w:t>0.5 (0.2)</w:t>
            </w:r>
          </w:p>
        </w:tc>
        <w:tc>
          <w:tcPr>
            <w:tcW w:w="0" w:type="auto"/>
            <w:vAlign w:val="center"/>
            <w:hideMark/>
          </w:tcPr>
          <w:p w:rsidR="00AD6E37" w:rsidRDefault="00AD6E37">
            <w:pPr>
              <w:rPr>
                <w:sz w:val="24"/>
              </w:rPr>
            </w:pPr>
            <w:r>
              <w:t>0.750</w:t>
            </w:r>
          </w:p>
        </w:tc>
      </w:tr>
    </w:tbl>
    <w:p w:rsidR="00AD6E37" w:rsidRDefault="00AD6E37" w:rsidP="00AD6E37">
      <w:pPr>
        <w:pStyle w:val="NormalWeb"/>
      </w:pPr>
      <w:r>
        <w:rPr>
          <w:sz w:val="18"/>
        </w:rPr>
        <w:t xml:space="preserve">Notes: Data are </w:t>
      </w:r>
      <w:proofErr w:type="spellStart"/>
      <w:r>
        <w:rPr>
          <w:sz w:val="18"/>
        </w:rPr>
        <w:t>presented</w:t>
      </w:r>
      <w:proofErr w:type="spellEnd"/>
      <w:r>
        <w:rPr>
          <w:sz w:val="18"/>
        </w:rPr>
        <w:t xml:space="preserve"> as n (%) </w:t>
      </w:r>
      <w:proofErr w:type="spellStart"/>
      <w:r>
        <w:rPr>
          <w:sz w:val="18"/>
        </w:rPr>
        <w:t>unless</w:t>
      </w:r>
      <w:proofErr w:type="spellEnd"/>
      <w:r>
        <w:rPr>
          <w:sz w:val="18"/>
        </w:rPr>
        <w:t xml:space="preserve"> </w:t>
      </w:r>
      <w:proofErr w:type="spellStart"/>
      <w:r>
        <w:rPr>
          <w:sz w:val="18"/>
        </w:rPr>
        <w:t>otherwise</w:t>
      </w:r>
      <w:proofErr w:type="spellEnd"/>
      <w:r>
        <w:rPr>
          <w:sz w:val="18"/>
        </w:rPr>
        <w:t xml:space="preserve"> </w:t>
      </w:r>
      <w:proofErr w:type="spellStart"/>
      <w:r>
        <w:rPr>
          <w:sz w:val="18"/>
        </w:rPr>
        <w:t>indicated</w:t>
      </w:r>
      <w:proofErr w:type="spellEnd"/>
      <w:r>
        <w:rPr>
          <w:sz w:val="18"/>
        </w:rPr>
        <w:t xml:space="preserve">. </w:t>
      </w:r>
      <w:proofErr w:type="spellStart"/>
      <w:r>
        <w:rPr>
          <w:sz w:val="18"/>
        </w:rPr>
        <w:t>Continuous</w:t>
      </w:r>
      <w:proofErr w:type="spellEnd"/>
      <w:r>
        <w:rPr>
          <w:sz w:val="18"/>
        </w:rPr>
        <w:t xml:space="preserve"> variables are </w:t>
      </w:r>
      <w:proofErr w:type="spellStart"/>
      <w:r>
        <w:rPr>
          <w:sz w:val="18"/>
        </w:rPr>
        <w:t>presented</w:t>
      </w:r>
      <w:proofErr w:type="spellEnd"/>
      <w:r>
        <w:rPr>
          <w:sz w:val="18"/>
        </w:rPr>
        <w:t xml:space="preserve"> as mean (SD). P-</w:t>
      </w:r>
      <w:proofErr w:type="spellStart"/>
      <w:r>
        <w:rPr>
          <w:sz w:val="18"/>
        </w:rPr>
        <w:t>values</w:t>
      </w:r>
      <w:proofErr w:type="spellEnd"/>
      <w:r>
        <w:rPr>
          <w:sz w:val="18"/>
        </w:rPr>
        <w:t xml:space="preserve"> compare </w:t>
      </w:r>
      <w:proofErr w:type="spellStart"/>
      <w:r>
        <w:rPr>
          <w:sz w:val="18"/>
        </w:rPr>
        <w:t>characteristics</w:t>
      </w:r>
      <w:proofErr w:type="spellEnd"/>
      <w:r>
        <w:rPr>
          <w:sz w:val="18"/>
        </w:rPr>
        <w:t xml:space="preserve"> </w:t>
      </w:r>
      <w:proofErr w:type="spellStart"/>
      <w:r>
        <w:rPr>
          <w:sz w:val="18"/>
        </w:rPr>
        <w:t>across</w:t>
      </w:r>
      <w:proofErr w:type="spellEnd"/>
      <w:r>
        <w:rPr>
          <w:sz w:val="18"/>
        </w:rPr>
        <w:t xml:space="preserve"> centers. </w:t>
      </w:r>
      <w:proofErr w:type="spellStart"/>
      <w:r>
        <w:rPr>
          <w:sz w:val="18"/>
        </w:rPr>
        <w:t>Bold</w:t>
      </w:r>
      <w:proofErr w:type="spellEnd"/>
      <w:r>
        <w:rPr>
          <w:sz w:val="18"/>
        </w:rPr>
        <w:t xml:space="preserve"> </w:t>
      </w:r>
      <w:proofErr w:type="spellStart"/>
      <w:r>
        <w:rPr>
          <w:sz w:val="18"/>
        </w:rPr>
        <w:t>text</w:t>
      </w:r>
      <w:proofErr w:type="spellEnd"/>
      <w:r>
        <w:rPr>
          <w:sz w:val="18"/>
        </w:rPr>
        <w:t xml:space="preserve"> </w:t>
      </w:r>
      <w:proofErr w:type="spellStart"/>
      <w:r>
        <w:rPr>
          <w:sz w:val="18"/>
        </w:rPr>
        <w:t>indicates</w:t>
      </w:r>
      <w:proofErr w:type="spellEnd"/>
      <w:r>
        <w:rPr>
          <w:sz w:val="18"/>
        </w:rPr>
        <w:t xml:space="preserve"> </w:t>
      </w:r>
      <w:proofErr w:type="spellStart"/>
      <w:r>
        <w:rPr>
          <w:sz w:val="18"/>
        </w:rPr>
        <w:t>table</w:t>
      </w:r>
      <w:proofErr w:type="spellEnd"/>
      <w:r>
        <w:rPr>
          <w:sz w:val="18"/>
        </w:rPr>
        <w:t xml:space="preserve"> </w:t>
      </w:r>
      <w:proofErr w:type="spellStart"/>
      <w:r>
        <w:rPr>
          <w:sz w:val="18"/>
        </w:rPr>
        <w:t>headings</w:t>
      </w:r>
      <w:proofErr w:type="spellEnd"/>
      <w:r>
        <w:rPr>
          <w:sz w:val="18"/>
        </w:rPr>
        <w:t xml:space="preserve"> and </w:t>
      </w:r>
      <w:proofErr w:type="spellStart"/>
      <w:r>
        <w:rPr>
          <w:sz w:val="18"/>
        </w:rPr>
        <w:t>labels</w:t>
      </w:r>
      <w:proofErr w:type="spellEnd"/>
      <w:r>
        <w:rPr>
          <w:sz w:val="18"/>
        </w:rPr>
        <w:t xml:space="preserve"> </w:t>
      </w:r>
      <w:proofErr w:type="spellStart"/>
      <w:r>
        <w:rPr>
          <w:sz w:val="18"/>
        </w:rPr>
        <w:t>only</w:t>
      </w:r>
      <w:proofErr w:type="spellEnd"/>
      <w:r>
        <w:rPr>
          <w:sz w:val="18"/>
        </w:rPr>
        <w:t>.</w:t>
      </w:r>
    </w:p>
    <w:p w:rsidR="0037748C" w:rsidRDefault="0037748C"/>
    <w:p w:rsidR="0037748C" w:rsidRDefault="0037748C"/>
    <w:p w:rsidR="00245CDC" w:rsidRDefault="00245CDC">
      <w:pPr>
        <w:rPr>
          <w:rFonts w:cs="Arial"/>
          <w:b/>
          <w:highlight w:val="yellow"/>
        </w:rPr>
      </w:pPr>
    </w:p>
    <w:p w:rsidR="00245CDC" w:rsidRDefault="00245CDC">
      <w:pPr>
        <w:rPr>
          <w:rFonts w:cs="Arial"/>
          <w:b/>
          <w:highlight w:val="yellow"/>
        </w:rPr>
      </w:pPr>
    </w:p>
    <w:p w:rsidR="00245CDC" w:rsidRDefault="00245CDC">
      <w:pPr>
        <w:rPr>
          <w:rFonts w:cs="Arial"/>
          <w:b/>
          <w:highlight w:val="yellow"/>
        </w:rPr>
      </w:pPr>
    </w:p>
    <w:p w:rsidR="0037748C" w:rsidRDefault="0037748C">
      <w:pPr>
        <w:rPr>
          <w:rFonts w:cs="Arial"/>
          <w:b/>
        </w:rPr>
      </w:pPr>
      <w:proofErr w:type="gramStart"/>
      <w:r>
        <w:rPr>
          <w:b/>
        </w:rPr>
        <w:lastRenderedPageBreak/>
        <w:t>Supplementary Figure S1.</w:t>
      </w:r>
      <w:proofErr w:type="gramEnd"/>
      <w:r>
        <w:rPr>
          <w:b/>
        </w:rPr>
        <w:t xml:space="preserve"> STROBE flow diagram of study inclusion and follow-up</w:t>
      </w:r>
    </w:p>
    <w:p w:rsidR="0037748C" w:rsidRDefault="00FC0104">
      <w:r w:rsidRPr="00FC0104">
        <w:rPr>
          <w:noProof/>
          <w:lang w:val="es-ES" w:eastAsia="es-ES"/>
        </w:rPr>
        <w:drawing>
          <wp:inline distT="0" distB="0" distL="0" distR="0">
            <wp:extent cx="3455670" cy="5218585"/>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59955" cy="5225056"/>
                    </a:xfrm>
                    <a:prstGeom prst="rect">
                      <a:avLst/>
                    </a:prstGeom>
                    <a:noFill/>
                    <a:ln w="9525">
                      <a:noFill/>
                      <a:miter lim="800000"/>
                      <a:headEnd/>
                      <a:tailEnd/>
                    </a:ln>
                  </pic:spPr>
                </pic:pic>
              </a:graphicData>
            </a:graphic>
          </wp:inline>
        </w:drawing>
      </w:r>
    </w:p>
    <w:p w:rsidR="00FC0104" w:rsidRPr="00FC0104" w:rsidRDefault="00FC0104" w:rsidP="00FC0104">
      <w:pPr>
        <w:spacing w:line="240" w:lineRule="auto"/>
        <w:rPr>
          <w:rFonts w:ascii="Times New Roman" w:hAnsi="Times New Roman"/>
          <w:sz w:val="18"/>
          <w:szCs w:val="18"/>
        </w:rPr>
      </w:pPr>
      <w:r w:rsidRPr="00FC0104">
        <w:rPr>
          <w:rStyle w:val="Textoennegrita"/>
          <w:rFonts w:ascii="Times New Roman" w:hAnsi="Times New Roman"/>
          <w:sz w:val="18"/>
          <w:szCs w:val="18"/>
        </w:rPr>
        <w:t>Notes:</w:t>
      </w:r>
      <w:r w:rsidRPr="00FC0104">
        <w:rPr>
          <w:rFonts w:ascii="Times New Roman" w:hAnsi="Times New Roman"/>
          <w:sz w:val="18"/>
          <w:szCs w:val="18"/>
        </w:rPr>
        <w:t xml:space="preserve"> The unit of analysis for ophthalmic outcomes was the eye. Because some participants contributed both eyes, the number of eyes differs from the number of patients shown in the flow diagram. The decreasing sample size over time reflects follow-up availability at each postoperative time point.</w:t>
      </w:r>
    </w:p>
    <w:p w:rsidR="00FC0104" w:rsidRDefault="00FC0104"/>
    <w:p w:rsidR="00245CDC" w:rsidRDefault="00245CDC" w:rsidP="0037748C">
      <w:pPr>
        <w:rPr>
          <w:rFonts w:cs="Arial"/>
          <w:b/>
          <w:highlight w:val="yellow"/>
        </w:rPr>
      </w:pPr>
    </w:p>
    <w:p w:rsidR="00245CDC" w:rsidRDefault="00245CDC" w:rsidP="0037748C">
      <w:pPr>
        <w:rPr>
          <w:rFonts w:cs="Arial"/>
          <w:b/>
          <w:highlight w:val="yellow"/>
        </w:rPr>
      </w:pPr>
    </w:p>
    <w:p w:rsidR="00FC0104" w:rsidRDefault="00FC0104" w:rsidP="0037748C">
      <w:pPr>
        <w:rPr>
          <w:rFonts w:cs="Arial"/>
          <w:b/>
        </w:rPr>
      </w:pPr>
    </w:p>
    <w:p w:rsidR="00FC0104" w:rsidRDefault="00FC0104" w:rsidP="0037748C">
      <w:pPr>
        <w:rPr>
          <w:rFonts w:cs="Arial"/>
          <w:b/>
        </w:rPr>
      </w:pPr>
    </w:p>
    <w:p w:rsidR="00FC0104" w:rsidRDefault="00FC0104" w:rsidP="0037748C">
      <w:pPr>
        <w:rPr>
          <w:rFonts w:cs="Arial"/>
          <w:b/>
        </w:rPr>
      </w:pPr>
    </w:p>
    <w:p w:rsidR="0037748C" w:rsidRDefault="00FC0104" w:rsidP="0037748C">
      <w:pPr>
        <w:rPr>
          <w:rFonts w:cs="Arial"/>
          <w:b/>
        </w:rPr>
      </w:pPr>
      <w:r>
        <w:rPr>
          <w:rFonts w:cs="Arial"/>
          <w:b/>
          <w:noProof/>
          <w:lang w:val="es-ES" w:eastAsia="es-ES"/>
        </w:rPr>
        <w:lastRenderedPageBreak/>
        <w:drawing>
          <wp:anchor distT="0" distB="0" distL="114300" distR="114300" simplePos="0" relativeHeight="251658240" behindDoc="1" locked="0" layoutInCell="1" allowOverlap="1">
            <wp:simplePos x="0" y="0"/>
            <wp:positionH relativeFrom="column">
              <wp:posOffset>-733425</wp:posOffset>
            </wp:positionH>
            <wp:positionV relativeFrom="paragraph">
              <wp:posOffset>420370</wp:posOffset>
            </wp:positionV>
            <wp:extent cx="6933565" cy="5116195"/>
            <wp:effectExtent l="19050" t="0" r="635" b="0"/>
            <wp:wrapTight wrapText="bothSides">
              <wp:wrapPolygon edited="0">
                <wp:start x="-59" y="0"/>
                <wp:lineTo x="-59" y="21554"/>
                <wp:lineTo x="21602" y="21554"/>
                <wp:lineTo x="21602" y="0"/>
                <wp:lineTo x="-59" y="0"/>
              </wp:wrapPolygon>
            </wp:wrapTight>
            <wp:docPr id="2" name="1 Imagen" descr="Figure 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S2.jpg"/>
                    <pic:cNvPicPr/>
                  </pic:nvPicPr>
                  <pic:blipFill>
                    <a:blip r:embed="rId7" cstate="print"/>
                    <a:stretch>
                      <a:fillRect/>
                    </a:stretch>
                  </pic:blipFill>
                  <pic:spPr>
                    <a:xfrm>
                      <a:off x="0" y="0"/>
                      <a:ext cx="6933565" cy="5116195"/>
                    </a:xfrm>
                    <a:prstGeom prst="rect">
                      <a:avLst/>
                    </a:prstGeom>
                  </pic:spPr>
                </pic:pic>
              </a:graphicData>
            </a:graphic>
          </wp:anchor>
        </w:drawing>
      </w:r>
      <w:proofErr w:type="gramStart"/>
      <w:r w:rsidR="00DA4B6A" w:rsidRPr="00DA4B6A">
        <w:rPr>
          <w:rFonts w:cs="Arial"/>
          <w:b/>
        </w:rPr>
        <w:t>Supplementary Figure S2.</w:t>
      </w:r>
      <w:proofErr w:type="gramEnd"/>
      <w:r w:rsidR="00DA4B6A" w:rsidRPr="00DA4B6A">
        <w:rPr>
          <w:rFonts w:cs="Arial"/>
          <w:b/>
        </w:rPr>
        <w:t xml:space="preserve"> BCVA over time according to LMH subtype and surgical sequence</w:t>
      </w:r>
    </w:p>
    <w:p w:rsidR="00DA4B6A" w:rsidRDefault="00DA4B6A" w:rsidP="0037748C">
      <w:pPr>
        <w:rPr>
          <w:rFonts w:cs="Arial"/>
          <w:b/>
        </w:rPr>
      </w:pPr>
    </w:p>
    <w:p w:rsidR="0037748C" w:rsidRPr="00E3140E" w:rsidRDefault="00DA4B6A" w:rsidP="00E3140E">
      <w:pPr>
        <w:spacing w:before="240" w:line="240" w:lineRule="auto"/>
        <w:rPr>
          <w:rFonts w:ascii="Times New Roman" w:hAnsi="Times New Roman"/>
          <w:b/>
          <w:sz w:val="18"/>
          <w:szCs w:val="18"/>
        </w:rPr>
      </w:pPr>
      <w:r w:rsidRPr="00E3140E">
        <w:rPr>
          <w:rFonts w:ascii="Times New Roman" w:hAnsi="Times New Roman"/>
          <w:b/>
          <w:sz w:val="18"/>
          <w:szCs w:val="18"/>
        </w:rPr>
        <w:t>Note</w:t>
      </w:r>
      <w:r w:rsidR="00FC0104" w:rsidRPr="00E3140E">
        <w:rPr>
          <w:rFonts w:ascii="Times New Roman" w:hAnsi="Times New Roman"/>
          <w:b/>
          <w:sz w:val="18"/>
          <w:szCs w:val="18"/>
        </w:rPr>
        <w:t>s</w:t>
      </w:r>
      <w:r w:rsidRPr="00E3140E">
        <w:rPr>
          <w:rFonts w:ascii="Times New Roman" w:hAnsi="Times New Roman"/>
          <w:b/>
          <w:sz w:val="18"/>
          <w:szCs w:val="18"/>
        </w:rPr>
        <w:t>:</w:t>
      </w:r>
      <w:r w:rsidR="00E3140E" w:rsidRPr="00E3140E">
        <w:rPr>
          <w:rFonts w:ascii="Times New Roman" w:hAnsi="Times New Roman"/>
          <w:b/>
          <w:sz w:val="18"/>
          <w:szCs w:val="18"/>
        </w:rPr>
        <w:t xml:space="preserve"> </w:t>
      </w:r>
      <w:proofErr w:type="spellStart"/>
      <w:r w:rsidRPr="00E3140E">
        <w:rPr>
          <w:rFonts w:ascii="Times New Roman" w:hAnsi="Times New Roman"/>
          <w:sz w:val="18"/>
          <w:szCs w:val="18"/>
        </w:rPr>
        <w:t>Boxplots</w:t>
      </w:r>
      <w:proofErr w:type="spellEnd"/>
      <w:r w:rsidRPr="00E3140E">
        <w:rPr>
          <w:rFonts w:ascii="Times New Roman" w:hAnsi="Times New Roman"/>
          <w:sz w:val="18"/>
          <w:szCs w:val="18"/>
        </w:rPr>
        <w:t xml:space="preserve"> showing BCVA (</w:t>
      </w:r>
      <w:proofErr w:type="spellStart"/>
      <w:r w:rsidRPr="00E3140E">
        <w:rPr>
          <w:rFonts w:ascii="Times New Roman" w:hAnsi="Times New Roman"/>
          <w:sz w:val="18"/>
          <w:szCs w:val="18"/>
        </w:rPr>
        <w:t>logMAR</w:t>
      </w:r>
      <w:proofErr w:type="spellEnd"/>
      <w:r w:rsidRPr="00E3140E">
        <w:rPr>
          <w:rFonts w:ascii="Times New Roman" w:hAnsi="Times New Roman"/>
          <w:sz w:val="18"/>
          <w:szCs w:val="18"/>
        </w:rPr>
        <w:t xml:space="preserve">) from the preoperative visit (Pre-PPV) to years 1 through 5 after PPV, stratified by lamellar macular </w:t>
      </w:r>
      <w:proofErr w:type="gramStart"/>
      <w:r w:rsidRPr="00E3140E">
        <w:rPr>
          <w:rFonts w:ascii="Times New Roman" w:hAnsi="Times New Roman"/>
          <w:sz w:val="18"/>
          <w:szCs w:val="18"/>
        </w:rPr>
        <w:t>hole</w:t>
      </w:r>
      <w:proofErr w:type="gramEnd"/>
      <w:r w:rsidRPr="00E3140E">
        <w:rPr>
          <w:rFonts w:ascii="Times New Roman" w:hAnsi="Times New Roman"/>
          <w:sz w:val="18"/>
          <w:szCs w:val="18"/>
        </w:rPr>
        <w:t xml:space="preserve"> (LMH) subtype and surgical sequence. Columns represent LMH subtype (</w:t>
      </w:r>
      <w:proofErr w:type="spellStart"/>
      <w:r w:rsidRPr="00E3140E">
        <w:rPr>
          <w:rFonts w:ascii="Times New Roman" w:hAnsi="Times New Roman"/>
          <w:sz w:val="18"/>
          <w:szCs w:val="18"/>
        </w:rPr>
        <w:t>tractional</w:t>
      </w:r>
      <w:proofErr w:type="spellEnd"/>
      <w:r w:rsidRPr="00E3140E">
        <w:rPr>
          <w:rFonts w:ascii="Times New Roman" w:hAnsi="Times New Roman"/>
          <w:sz w:val="18"/>
          <w:szCs w:val="18"/>
        </w:rPr>
        <w:t xml:space="preserve">, mixed, and degenerative), and rows represent surgical sequence (sequential and combined). Horizontal lines within boxes indicate the median, boxes represent the </w:t>
      </w:r>
      <w:proofErr w:type="spellStart"/>
      <w:r w:rsidRPr="00E3140E">
        <w:rPr>
          <w:rFonts w:ascii="Times New Roman" w:hAnsi="Times New Roman"/>
          <w:sz w:val="18"/>
          <w:szCs w:val="18"/>
        </w:rPr>
        <w:t>interquartile</w:t>
      </w:r>
      <w:proofErr w:type="spellEnd"/>
      <w:r w:rsidRPr="00E3140E">
        <w:rPr>
          <w:rFonts w:ascii="Times New Roman" w:hAnsi="Times New Roman"/>
          <w:sz w:val="18"/>
          <w:szCs w:val="18"/>
        </w:rPr>
        <w:t xml:space="preserve"> range, whiskers indicate the range up to 1.5 times the </w:t>
      </w:r>
      <w:proofErr w:type="spellStart"/>
      <w:r w:rsidRPr="00E3140E">
        <w:rPr>
          <w:rFonts w:ascii="Times New Roman" w:hAnsi="Times New Roman"/>
          <w:sz w:val="18"/>
          <w:szCs w:val="18"/>
        </w:rPr>
        <w:t>interquartile</w:t>
      </w:r>
      <w:proofErr w:type="spellEnd"/>
      <w:r w:rsidRPr="00E3140E">
        <w:rPr>
          <w:rFonts w:ascii="Times New Roman" w:hAnsi="Times New Roman"/>
          <w:sz w:val="18"/>
          <w:szCs w:val="18"/>
        </w:rPr>
        <w:t xml:space="preserve"> range, and dots represent outliers. Lower </w:t>
      </w:r>
      <w:proofErr w:type="spellStart"/>
      <w:r w:rsidRPr="00E3140E">
        <w:rPr>
          <w:rFonts w:ascii="Times New Roman" w:hAnsi="Times New Roman"/>
          <w:sz w:val="18"/>
          <w:szCs w:val="18"/>
        </w:rPr>
        <w:t>logMAR</w:t>
      </w:r>
      <w:proofErr w:type="spellEnd"/>
      <w:r w:rsidRPr="00E3140E">
        <w:rPr>
          <w:rFonts w:ascii="Times New Roman" w:hAnsi="Times New Roman"/>
          <w:sz w:val="18"/>
          <w:szCs w:val="18"/>
        </w:rPr>
        <w:t xml:space="preserve"> valu</w:t>
      </w:r>
      <w:r w:rsidR="00E3140E">
        <w:rPr>
          <w:rFonts w:ascii="Times New Roman" w:hAnsi="Times New Roman"/>
          <w:sz w:val="18"/>
          <w:szCs w:val="18"/>
        </w:rPr>
        <w:t>es indicate better BCVA</w:t>
      </w:r>
      <w:r w:rsidRPr="00E3140E">
        <w:rPr>
          <w:rFonts w:ascii="Times New Roman" w:hAnsi="Times New Roman"/>
          <w:sz w:val="18"/>
          <w:szCs w:val="18"/>
        </w:rPr>
        <w:t>.</w:t>
      </w:r>
    </w:p>
    <w:sectPr w:rsidR="0037748C" w:rsidRPr="00E3140E" w:rsidSect="001F19E8">
      <w:footerReference w:type="even" r:id="rId8"/>
      <w:footerReference w:type="default" r:id="rId9"/>
      <w:footerReference w:type="first" r:id="rId10"/>
      <w:pgSz w:w="12240" w:h="15840"/>
      <w:pgMar w:top="1701" w:right="1701" w:bottom="170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C5A" w:rsidRDefault="00105C5A" w:rsidP="00394672">
      <w:pPr>
        <w:spacing w:line="240" w:lineRule="auto"/>
      </w:pPr>
      <w:r>
        <w:separator/>
      </w:r>
    </w:p>
  </w:endnote>
  <w:endnote w:type="continuationSeparator" w:id="0">
    <w:p w:rsidR="00105C5A" w:rsidRDefault="00105C5A" w:rsidP="0039467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44C" w:rsidRPr="00B915E4" w:rsidRDefault="00327B5F" w:rsidP="00C6044C">
    <w:pPr>
      <w:pStyle w:val="Piedepgina"/>
      <w:framePr w:wrap="around" w:vAnchor="text" w:hAnchor="margin" w:xAlign="center" w:y="1"/>
      <w:rPr>
        <w:rStyle w:val="Nmerodepgina"/>
      </w:rPr>
    </w:pPr>
    <w:r w:rsidRPr="00B915E4">
      <w:rPr>
        <w:rStyle w:val="Nmerodepgina"/>
      </w:rPr>
      <w:fldChar w:fldCharType="begin"/>
    </w:r>
    <w:r w:rsidR="00750AFE" w:rsidRPr="00B915E4">
      <w:rPr>
        <w:rStyle w:val="Nmerodepgina"/>
      </w:rPr>
      <w:instrText xml:space="preserve">PAGE  </w:instrText>
    </w:r>
    <w:r w:rsidRPr="00B915E4">
      <w:rPr>
        <w:rStyle w:val="Nmerodepgina"/>
      </w:rPr>
      <w:fldChar w:fldCharType="end"/>
    </w:r>
  </w:p>
  <w:p w:rsidR="00C6044C" w:rsidRPr="00B915E4" w:rsidRDefault="00C6044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5610"/>
      <w:docPartObj>
        <w:docPartGallery w:val="Page Numbers (Bottom of Page)"/>
        <w:docPartUnique/>
      </w:docPartObj>
    </w:sdtPr>
    <w:sdtContent>
      <w:p w:rsidR="00C6044C" w:rsidRDefault="00327B5F">
        <w:pPr>
          <w:pStyle w:val="Piedepgina"/>
          <w:jc w:val="right"/>
        </w:pPr>
        <w:r>
          <w:fldChar w:fldCharType="begin"/>
        </w:r>
        <w:r w:rsidR="00750AFE">
          <w:instrText xml:space="preserve"> PAGE   \* MERGEFORMAT </w:instrText>
        </w:r>
        <w:r>
          <w:fldChar w:fldCharType="separate"/>
        </w:r>
        <w:r w:rsidR="00711E42">
          <w:rPr>
            <w:noProof/>
          </w:rPr>
          <w:t>9</w:t>
        </w:r>
        <w:r>
          <w:fldChar w:fldCharType="end"/>
        </w:r>
      </w:p>
    </w:sdtContent>
  </w:sdt>
  <w:p w:rsidR="00C6044C" w:rsidRPr="00B915E4" w:rsidRDefault="00C6044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44C" w:rsidRPr="00B915E4" w:rsidRDefault="00327B5F">
    <w:pPr>
      <w:pStyle w:val="Piedepgina"/>
    </w:pPr>
    <w:r w:rsidRPr="00327B5F">
      <w:rPr>
        <w:noProof/>
      </w:rPr>
      <w:pict>
        <v:shapetype id="_x0000_t202" coordsize="21600,21600" o:spt="202" path="m,l,21600r21600,l21600,xe">
          <v:stroke joinstyle="miter"/>
          <v:path gradientshapeok="t" o:connecttype="rect"/>
        </v:shapetype>
        <v:shape id="MSIPCM71df4afb82ef22201046dfa6" o:spid="_x0000_s1025" type="#_x0000_t202" alt="{&quot;HashCode&quot;:-1348403003,&quot;Height&quot;:792.0,&quot;Width&quot;:612.0,&quot;Placement&quot;:&quot;Footer&quot;,&quot;Index&quot;:&quot;FirstPage&quot;,&quot;Section&quot;:1,&quot;Top&quot;:0.0,&quot;Left&quot;:0.0}" style="position:absolute;margin-left:0;margin-top:756.2pt;width:612pt;height:20.8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rsidR="00C6044C" w:rsidRPr="00DE2EAF" w:rsidRDefault="00C6044C" w:rsidP="00DE2EAF"/>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C5A" w:rsidRDefault="00105C5A" w:rsidP="00394672">
      <w:pPr>
        <w:spacing w:line="240" w:lineRule="auto"/>
      </w:pPr>
      <w:r>
        <w:separator/>
      </w:r>
    </w:p>
  </w:footnote>
  <w:footnote w:type="continuationSeparator" w:id="0">
    <w:p w:rsidR="00105C5A" w:rsidRDefault="00105C5A" w:rsidP="0039467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31746"/>
    <o:shapelayout v:ext="edit">
      <o:idmap v:ext="edit" data="1"/>
    </o:shapelayout>
  </w:hdrShapeDefaults>
  <w:footnotePr>
    <w:footnote w:id="-1"/>
    <w:footnote w:id="0"/>
  </w:footnotePr>
  <w:endnotePr>
    <w:endnote w:id="-1"/>
    <w:endnote w:id="0"/>
  </w:endnotePr>
  <w:compat/>
  <w:rsids>
    <w:rsidRoot w:val="001F19E8"/>
    <w:rsid w:val="000B3C7C"/>
    <w:rsid w:val="00105C5A"/>
    <w:rsid w:val="00125D44"/>
    <w:rsid w:val="00143359"/>
    <w:rsid w:val="001F19E8"/>
    <w:rsid w:val="00213FD6"/>
    <w:rsid w:val="00245CDC"/>
    <w:rsid w:val="002718D4"/>
    <w:rsid w:val="00294134"/>
    <w:rsid w:val="002A4B87"/>
    <w:rsid w:val="00327B5F"/>
    <w:rsid w:val="00327EBF"/>
    <w:rsid w:val="0037748C"/>
    <w:rsid w:val="003802B9"/>
    <w:rsid w:val="00394672"/>
    <w:rsid w:val="003A7C1B"/>
    <w:rsid w:val="0043420C"/>
    <w:rsid w:val="00465840"/>
    <w:rsid w:val="004F6773"/>
    <w:rsid w:val="005279FD"/>
    <w:rsid w:val="005745B4"/>
    <w:rsid w:val="0059415B"/>
    <w:rsid w:val="00612EB3"/>
    <w:rsid w:val="00644CB4"/>
    <w:rsid w:val="006A4D16"/>
    <w:rsid w:val="006E3DA3"/>
    <w:rsid w:val="00711E42"/>
    <w:rsid w:val="00736329"/>
    <w:rsid w:val="0073669F"/>
    <w:rsid w:val="00750AFE"/>
    <w:rsid w:val="00791947"/>
    <w:rsid w:val="007D2263"/>
    <w:rsid w:val="00914820"/>
    <w:rsid w:val="00A8333D"/>
    <w:rsid w:val="00A96875"/>
    <w:rsid w:val="00AC628F"/>
    <w:rsid w:val="00AD6E37"/>
    <w:rsid w:val="00B51C87"/>
    <w:rsid w:val="00B55FA4"/>
    <w:rsid w:val="00B708B3"/>
    <w:rsid w:val="00B76681"/>
    <w:rsid w:val="00BB0117"/>
    <w:rsid w:val="00BE46F2"/>
    <w:rsid w:val="00C32B94"/>
    <w:rsid w:val="00C6044C"/>
    <w:rsid w:val="00C641C5"/>
    <w:rsid w:val="00CA4182"/>
    <w:rsid w:val="00D909C3"/>
    <w:rsid w:val="00D9433E"/>
    <w:rsid w:val="00DA4B6A"/>
    <w:rsid w:val="00DE2EAF"/>
    <w:rsid w:val="00E3140E"/>
    <w:rsid w:val="00E932E7"/>
    <w:rsid w:val="00ED6AB5"/>
    <w:rsid w:val="00F92CDC"/>
    <w:rsid w:val="00FB0891"/>
    <w:rsid w:val="00FC0104"/>
    <w:rsid w:val="00FF67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E8"/>
    <w:pPr>
      <w:spacing w:after="0" w:line="480" w:lineRule="auto"/>
    </w:pPr>
    <w:rPr>
      <w:rFonts w:ascii="Arial" w:eastAsia="Times New Roman" w:hAnsi="Arial" w:cs="Times New Roman"/>
      <w:sz w:val="20"/>
      <w:szCs w:val="24"/>
      <w:lang w:val="en-US"/>
    </w:rPr>
  </w:style>
  <w:style w:type="paragraph" w:styleId="Ttulo1">
    <w:name w:val="heading 1"/>
    <w:basedOn w:val="Normal"/>
    <w:next w:val="Normal"/>
    <w:link w:val="Ttulo1Car"/>
    <w:uiPriority w:val="9"/>
    <w:qFormat/>
    <w:rsid w:val="00B51C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3774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F19E8"/>
    <w:pPr>
      <w:tabs>
        <w:tab w:val="center" w:pos="4320"/>
        <w:tab w:val="right" w:pos="8640"/>
      </w:tabs>
    </w:pPr>
  </w:style>
  <w:style w:type="character" w:customStyle="1" w:styleId="PiedepginaCar">
    <w:name w:val="Pie de página Car"/>
    <w:basedOn w:val="Fuentedeprrafopredeter"/>
    <w:link w:val="Piedepgina"/>
    <w:uiPriority w:val="99"/>
    <w:rsid w:val="001F19E8"/>
    <w:rPr>
      <w:rFonts w:ascii="Arial" w:eastAsia="Times New Roman" w:hAnsi="Arial" w:cs="Times New Roman"/>
      <w:sz w:val="20"/>
      <w:szCs w:val="24"/>
      <w:lang w:val="en-US"/>
    </w:rPr>
  </w:style>
  <w:style w:type="character" w:styleId="Nmerodepgina">
    <w:name w:val="page number"/>
    <w:basedOn w:val="Fuentedeprrafopredeter"/>
    <w:rsid w:val="001F19E8"/>
  </w:style>
  <w:style w:type="character" w:styleId="nfasis">
    <w:name w:val="Emphasis"/>
    <w:uiPriority w:val="20"/>
    <w:qFormat/>
    <w:rsid w:val="001F19E8"/>
    <w:rPr>
      <w:b/>
      <w:bCs/>
      <w:i w:val="0"/>
      <w:iCs w:val="0"/>
    </w:rPr>
  </w:style>
  <w:style w:type="character" w:styleId="Nmerodelnea">
    <w:name w:val="line number"/>
    <w:basedOn w:val="Fuentedeprrafopredeter"/>
    <w:uiPriority w:val="99"/>
    <w:semiHidden/>
    <w:unhideWhenUsed/>
    <w:rsid w:val="001F19E8"/>
  </w:style>
  <w:style w:type="character" w:customStyle="1" w:styleId="Ttulo1Car">
    <w:name w:val="Título 1 Car"/>
    <w:basedOn w:val="Fuentedeprrafopredeter"/>
    <w:link w:val="Ttulo1"/>
    <w:uiPriority w:val="9"/>
    <w:rsid w:val="00B51C87"/>
    <w:rPr>
      <w:rFonts w:asciiTheme="majorHAnsi" w:eastAsiaTheme="majorEastAsia" w:hAnsiTheme="majorHAnsi" w:cstheme="majorBidi"/>
      <w:b/>
      <w:bCs/>
      <w:color w:val="365F91" w:themeColor="accent1" w:themeShade="BF"/>
      <w:sz w:val="28"/>
      <w:szCs w:val="28"/>
      <w:lang w:val="en-US"/>
    </w:rPr>
  </w:style>
  <w:style w:type="paragraph" w:styleId="Encabezado">
    <w:name w:val="header"/>
    <w:basedOn w:val="Normal"/>
    <w:link w:val="EncabezadoCar"/>
    <w:uiPriority w:val="99"/>
    <w:semiHidden/>
    <w:unhideWhenUsed/>
    <w:rsid w:val="00DE2EAF"/>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DE2EAF"/>
    <w:rPr>
      <w:rFonts w:ascii="Arial" w:eastAsia="Times New Roman" w:hAnsi="Arial" w:cs="Times New Roman"/>
      <w:sz w:val="20"/>
      <w:szCs w:val="24"/>
      <w:lang w:val="en-US"/>
    </w:rPr>
  </w:style>
  <w:style w:type="paragraph" w:styleId="Textodeglobo">
    <w:name w:val="Balloon Text"/>
    <w:basedOn w:val="Normal"/>
    <w:link w:val="TextodegloboCar"/>
    <w:uiPriority w:val="99"/>
    <w:semiHidden/>
    <w:unhideWhenUsed/>
    <w:rsid w:val="0037748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748C"/>
    <w:rPr>
      <w:rFonts w:ascii="Tahoma" w:eastAsia="Times New Roman" w:hAnsi="Tahoma" w:cs="Tahoma"/>
      <w:sz w:val="16"/>
      <w:szCs w:val="16"/>
      <w:lang w:val="en-US"/>
    </w:rPr>
  </w:style>
  <w:style w:type="character" w:customStyle="1" w:styleId="Ttulo2Car">
    <w:name w:val="Título 2 Car"/>
    <w:basedOn w:val="Fuentedeprrafopredeter"/>
    <w:link w:val="Ttulo2"/>
    <w:uiPriority w:val="9"/>
    <w:semiHidden/>
    <w:rsid w:val="0037748C"/>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semiHidden/>
    <w:unhideWhenUsed/>
    <w:rsid w:val="0037748C"/>
    <w:pPr>
      <w:spacing w:before="100" w:beforeAutospacing="1" w:after="100" w:afterAutospacing="1" w:line="240" w:lineRule="auto"/>
    </w:pPr>
    <w:rPr>
      <w:rFonts w:ascii="Times New Roman" w:hAnsi="Times New Roman"/>
      <w:sz w:val="24"/>
      <w:lang w:val="es-ES" w:eastAsia="es-ES"/>
    </w:rPr>
  </w:style>
  <w:style w:type="character" w:styleId="Textoennegrita">
    <w:name w:val="Strong"/>
    <w:basedOn w:val="Fuentedeprrafopredeter"/>
    <w:uiPriority w:val="22"/>
    <w:qFormat/>
    <w:rsid w:val="00213FD6"/>
    <w:rPr>
      <w:b/>
      <w:bCs/>
    </w:rPr>
  </w:style>
</w:styles>
</file>

<file path=word/webSettings.xml><?xml version="1.0" encoding="utf-8"?>
<w:webSettings xmlns:r="http://schemas.openxmlformats.org/officeDocument/2006/relationships" xmlns:w="http://schemas.openxmlformats.org/wordprocessingml/2006/main">
  <w:divs>
    <w:div w:id="23672053">
      <w:bodyDiv w:val="1"/>
      <w:marLeft w:val="0"/>
      <w:marRight w:val="0"/>
      <w:marTop w:val="0"/>
      <w:marBottom w:val="0"/>
      <w:divBdr>
        <w:top w:val="none" w:sz="0" w:space="0" w:color="auto"/>
        <w:left w:val="none" w:sz="0" w:space="0" w:color="auto"/>
        <w:bottom w:val="none" w:sz="0" w:space="0" w:color="auto"/>
        <w:right w:val="none" w:sz="0" w:space="0" w:color="auto"/>
      </w:divBdr>
      <w:divsChild>
        <w:div w:id="426269062">
          <w:marLeft w:val="0"/>
          <w:marRight w:val="0"/>
          <w:marTop w:val="0"/>
          <w:marBottom w:val="0"/>
          <w:divBdr>
            <w:top w:val="none" w:sz="0" w:space="0" w:color="auto"/>
            <w:left w:val="none" w:sz="0" w:space="0" w:color="auto"/>
            <w:bottom w:val="none" w:sz="0" w:space="0" w:color="auto"/>
            <w:right w:val="none" w:sz="0" w:space="0" w:color="auto"/>
          </w:divBdr>
          <w:divsChild>
            <w:div w:id="12241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8231">
      <w:bodyDiv w:val="1"/>
      <w:marLeft w:val="0"/>
      <w:marRight w:val="0"/>
      <w:marTop w:val="0"/>
      <w:marBottom w:val="0"/>
      <w:divBdr>
        <w:top w:val="none" w:sz="0" w:space="0" w:color="auto"/>
        <w:left w:val="none" w:sz="0" w:space="0" w:color="auto"/>
        <w:bottom w:val="none" w:sz="0" w:space="0" w:color="auto"/>
        <w:right w:val="none" w:sz="0" w:space="0" w:color="auto"/>
      </w:divBdr>
      <w:divsChild>
        <w:div w:id="1081488455">
          <w:marLeft w:val="0"/>
          <w:marRight w:val="0"/>
          <w:marTop w:val="0"/>
          <w:marBottom w:val="0"/>
          <w:divBdr>
            <w:top w:val="none" w:sz="0" w:space="0" w:color="auto"/>
            <w:left w:val="none" w:sz="0" w:space="0" w:color="auto"/>
            <w:bottom w:val="none" w:sz="0" w:space="0" w:color="auto"/>
            <w:right w:val="none" w:sz="0" w:space="0" w:color="auto"/>
          </w:divBdr>
          <w:divsChild>
            <w:div w:id="2037656347">
              <w:marLeft w:val="0"/>
              <w:marRight w:val="0"/>
              <w:marTop w:val="0"/>
              <w:marBottom w:val="0"/>
              <w:divBdr>
                <w:top w:val="none" w:sz="0" w:space="0" w:color="auto"/>
                <w:left w:val="none" w:sz="0" w:space="0" w:color="auto"/>
                <w:bottom w:val="none" w:sz="0" w:space="0" w:color="auto"/>
                <w:right w:val="none" w:sz="0" w:space="0" w:color="auto"/>
              </w:divBdr>
              <w:divsChild>
                <w:div w:id="6862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32596">
      <w:bodyDiv w:val="1"/>
      <w:marLeft w:val="0"/>
      <w:marRight w:val="0"/>
      <w:marTop w:val="0"/>
      <w:marBottom w:val="0"/>
      <w:divBdr>
        <w:top w:val="none" w:sz="0" w:space="0" w:color="auto"/>
        <w:left w:val="none" w:sz="0" w:space="0" w:color="auto"/>
        <w:bottom w:val="none" w:sz="0" w:space="0" w:color="auto"/>
        <w:right w:val="none" w:sz="0" w:space="0" w:color="auto"/>
      </w:divBdr>
      <w:divsChild>
        <w:div w:id="232392607">
          <w:marLeft w:val="0"/>
          <w:marRight w:val="0"/>
          <w:marTop w:val="0"/>
          <w:marBottom w:val="0"/>
          <w:divBdr>
            <w:top w:val="none" w:sz="0" w:space="0" w:color="auto"/>
            <w:left w:val="none" w:sz="0" w:space="0" w:color="auto"/>
            <w:bottom w:val="none" w:sz="0" w:space="0" w:color="auto"/>
            <w:right w:val="none" w:sz="0" w:space="0" w:color="auto"/>
          </w:divBdr>
          <w:divsChild>
            <w:div w:id="6378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 arbues</dc:creator>
  <cp:lastModifiedBy>Santi arbues</cp:lastModifiedBy>
  <cp:revision>2</cp:revision>
  <dcterms:created xsi:type="dcterms:W3CDTF">2026-03-23T21:01:00Z</dcterms:created>
  <dcterms:modified xsi:type="dcterms:W3CDTF">2026-03-23T21:01:00Z</dcterms:modified>
</cp:coreProperties>
</file>