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B43" w:rsidRDefault="00122B43">
      <w:pPr>
        <w:rPr>
          <w:lang w:eastAsia="zh-CN"/>
        </w:rPr>
      </w:pPr>
    </w:p>
    <w:p w:rsidR="00122B43" w:rsidRDefault="00122B43">
      <w:pPr>
        <w:rPr>
          <w:lang w:eastAsia="zh-CN"/>
        </w:rPr>
        <w:sectPr w:rsidR="00122B43">
          <w:pgSz w:w="12240" w:h="15840"/>
          <w:pgMar w:top="1440" w:right="1800" w:bottom="1440" w:left="1800" w:header="720" w:footer="720" w:gutter="0"/>
          <w:cols w:space="720"/>
          <w:docGrid w:linePitch="360"/>
        </w:sectPr>
      </w:pPr>
    </w:p>
    <w:p w:rsidR="00122B43" w:rsidRDefault="00000000">
      <w:pPr>
        <w:pStyle w:val="1"/>
        <w:rPr>
          <w:rFonts w:ascii="Times New Roman" w:eastAsia="宋体" w:hAnsi="Times New Roman" w:cs="Times New Roman"/>
          <w:color w:val="auto"/>
          <w:sz w:val="21"/>
          <w:szCs w:val="21"/>
          <w:lang w:eastAsia="zh-CN"/>
        </w:rPr>
      </w:pPr>
      <w:r>
        <w:rPr>
          <w:rFonts w:ascii="Times New Roman" w:hAnsi="Times New Roman" w:cs="Times New Roman"/>
          <w:color w:val="auto"/>
          <w:sz w:val="21"/>
          <w:szCs w:val="21"/>
          <w:lang w:eastAsia="zh-CN"/>
        </w:rPr>
        <w:lastRenderedPageBreak/>
        <w:t>Text S</w:t>
      </w:r>
      <w:r>
        <w:rPr>
          <w:rFonts w:ascii="Times New Roman" w:hAnsi="Times New Roman" w:cs="Times New Roman" w:hint="eastAsia"/>
          <w:color w:val="auto"/>
          <w:sz w:val="21"/>
          <w:szCs w:val="21"/>
          <w:lang w:eastAsia="zh-CN"/>
        </w:rPr>
        <w:t>1</w:t>
      </w:r>
      <w:r>
        <w:rPr>
          <w:rFonts w:ascii="Times New Roman" w:hAnsi="Times New Roman" w:cs="Times New Roman"/>
          <w:color w:val="auto"/>
          <w:sz w:val="21"/>
          <w:szCs w:val="21"/>
          <w:lang w:eastAsia="zh-CN"/>
        </w:rPr>
        <w:t xml:space="preserve">. Data collection </w:t>
      </w:r>
    </w:p>
    <w:p w:rsidR="00122B43" w:rsidRDefault="00000000">
      <w:pPr>
        <w:spacing w:after="0" w:line="360" w:lineRule="auto"/>
        <w:rPr>
          <w:rFonts w:ascii="Times New Roman" w:eastAsia="宋体" w:hAnsi="Times New Roman" w:cs="Times New Roman"/>
          <w:sz w:val="24"/>
          <w:szCs w:val="24"/>
          <w:lang w:eastAsia="zh-CN"/>
        </w:rPr>
      </w:pPr>
      <w:r>
        <w:rPr>
          <w:rFonts w:ascii="Times New Roman" w:hAnsi="Times New Roman" w:cs="Times New Roman"/>
          <w:sz w:val="24"/>
          <w:szCs w:val="24"/>
          <w:lang w:eastAsia="zh-CN"/>
        </w:rPr>
        <w:t xml:space="preserve">Regular general health check-ups, </w:t>
      </w:r>
      <w:r>
        <w:rPr>
          <w:rFonts w:ascii="Times New Roman" w:eastAsia="宋体" w:hAnsi="Times New Roman" w:cs="Times New Roman" w:hint="eastAsia"/>
          <w:sz w:val="24"/>
          <w:szCs w:val="24"/>
          <w:lang w:eastAsia="zh-CN"/>
        </w:rPr>
        <w:t xml:space="preserve">as a </w:t>
      </w:r>
      <w:r>
        <w:rPr>
          <w:rFonts w:ascii="Times New Roman" w:hAnsi="Times New Roman" w:cs="Times New Roman"/>
          <w:sz w:val="24"/>
          <w:szCs w:val="24"/>
          <w:lang w:eastAsia="zh-CN"/>
        </w:rPr>
        <w:t>part of the government's health literacy policy, have been implemented for decades in China. These check-ups are offered as comprehensive health packages that include routine screenings for multiple diseases in a single visit</w:t>
      </w:r>
      <w:r>
        <w:rPr>
          <w:rFonts w:ascii="Times New Roman" w:eastAsia="宋体" w:hAnsi="Times New Roman" w:cs="Times New Roman" w:hint="eastAsia"/>
          <w:sz w:val="24"/>
          <w:szCs w:val="24"/>
          <w:lang w:eastAsia="zh-CN"/>
        </w:rPr>
        <w:t xml:space="preserve">. </w:t>
      </w:r>
      <w:r>
        <w:rPr>
          <w:rFonts w:ascii="Times New Roman" w:eastAsia="宋体" w:hAnsi="Times New Roman" w:cs="Times New Roman"/>
          <w:sz w:val="24"/>
          <w:szCs w:val="24"/>
          <w:lang w:eastAsia="zh-CN"/>
        </w:rPr>
        <w:t>All examinations are performed by trained medical personnel following standardized protocols. Demographic information, including age and sex, is recorded for all participants through an appointment-based registration system. Participants also report any previous physician-diagnosed chronic conditions, including hypertension, diabetes, dyslipidemia, hyperuricemia, cardiovascular disease, and cancer, during face-to-face interviews with medical staff. Medication use in the past 6 months, including antihypertensive, antidiabetic, lipid-lowering, and uric acid–lowering agents, was also recorded.</w:t>
      </w:r>
    </w:p>
    <w:p w:rsidR="00122B43" w:rsidRDefault="00122B43">
      <w:pPr>
        <w:spacing w:after="0" w:line="360" w:lineRule="auto"/>
        <w:rPr>
          <w:rFonts w:ascii="Times New Roman" w:eastAsia="宋体" w:hAnsi="Times New Roman" w:cs="Times New Roman"/>
          <w:sz w:val="24"/>
          <w:szCs w:val="24"/>
          <w:lang w:eastAsia="zh-CN"/>
        </w:rPr>
      </w:pPr>
    </w:p>
    <w:p w:rsidR="00122B43" w:rsidRDefault="00000000">
      <w:pPr>
        <w:spacing w:after="0" w:line="360" w:lineRule="auto"/>
        <w:rPr>
          <w:rFonts w:ascii="Times New Roman" w:eastAsia="宋体" w:hAnsi="Times New Roman" w:cs="Times New Roman"/>
          <w:sz w:val="24"/>
          <w:szCs w:val="24"/>
          <w:lang w:eastAsia="zh-CN"/>
        </w:rPr>
      </w:pPr>
      <w:r>
        <w:rPr>
          <w:rFonts w:ascii="Times New Roman" w:hAnsi="Times New Roman" w:cs="Times New Roman"/>
          <w:sz w:val="24"/>
          <w:szCs w:val="24"/>
          <w:lang w:eastAsia="zh-CN"/>
        </w:rPr>
        <w:t>Prior to measurements, participants were asked to fast for at least 8 hours.</w:t>
      </w:r>
      <w:r>
        <w:rPr>
          <w:rFonts w:ascii="Times New Roman" w:eastAsia="宋体" w:hAnsi="Times New Roman" w:cs="Times New Roman"/>
          <w:sz w:val="24"/>
          <w:szCs w:val="24"/>
          <w:lang w:eastAsia="zh-CN"/>
        </w:rPr>
        <w:t xml:space="preserve"> Height and weight were measured using an Omron electronic scale (Omron Healthcare Co., Kyoto, Japan), with participants wearing light clothing and no shoes. Body mass index (BMI) was calculated as weight in kilograms divided by height in meters squared.</w:t>
      </w:r>
    </w:p>
    <w:p w:rsidR="00122B43" w:rsidRDefault="00122B43">
      <w:pPr>
        <w:spacing w:after="0" w:line="360" w:lineRule="auto"/>
        <w:rPr>
          <w:rFonts w:ascii="Times New Roman" w:eastAsia="宋体" w:hAnsi="Times New Roman" w:cs="Times New Roman"/>
          <w:sz w:val="24"/>
          <w:szCs w:val="24"/>
          <w:lang w:eastAsia="zh-CN"/>
        </w:rPr>
      </w:pPr>
    </w:p>
    <w:p w:rsidR="00122B43" w:rsidRDefault="00000000">
      <w:pPr>
        <w:spacing w:after="0"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 xml:space="preserve">Blood pressure was measured on the right arm using a calibrated electronic sphygmomanometer (Omron HBP–1300, Omron Healthcare Co., Ltd., Kyoto, Japan) </w:t>
      </w:r>
      <w:r>
        <w:rPr>
          <w:rFonts w:ascii="Times New Roman" w:hAnsi="Times New Roman" w:cs="Times New Roman"/>
          <w:sz w:val="24"/>
          <w:szCs w:val="24"/>
        </w:rPr>
        <w:t>with a cuff size of 14</w:t>
      </w:r>
      <w:r>
        <w:rPr>
          <w:rFonts w:ascii="Times New Roman" w:eastAsia="宋体" w:hAnsi="Times New Roman" w:cs="Times New Roman" w:hint="eastAsia"/>
          <w:sz w:val="24"/>
          <w:szCs w:val="24"/>
          <w:lang w:eastAsia="zh-CN"/>
        </w:rPr>
        <w:t>-</w:t>
      </w:r>
      <w:r>
        <w:rPr>
          <w:rFonts w:ascii="Times New Roman" w:hAnsi="Times New Roman" w:cs="Times New Roman"/>
          <w:sz w:val="24"/>
          <w:szCs w:val="24"/>
        </w:rPr>
        <w:t>48 cm supplied to all sites</w:t>
      </w:r>
      <w:r>
        <w:rPr>
          <w:rFonts w:ascii="Times New Roman" w:eastAsia="宋体" w:hAnsi="Times New Roman" w:cs="Times New Roman"/>
          <w:sz w:val="24"/>
          <w:szCs w:val="24"/>
          <w:lang w:eastAsia="zh-CN"/>
        </w:rPr>
        <w:t xml:space="preserve">. </w:t>
      </w:r>
      <w:r>
        <w:rPr>
          <w:rFonts w:ascii="Times New Roman" w:hAnsi="Times New Roman" w:cs="Times New Roman"/>
          <w:sz w:val="24"/>
          <w:szCs w:val="24"/>
        </w:rPr>
        <w:t>Measurements were taken after the participant was seated for at least 5 min and not having smoked, exercised, eaten or climbed stairs in the last 30 min.</w:t>
      </w:r>
      <w:r>
        <w:rPr>
          <w:rFonts w:ascii="Times New Roman" w:eastAsia="宋体" w:hAnsi="Times New Roman" w:cs="Times New Roman"/>
          <w:sz w:val="24"/>
          <w:szCs w:val="24"/>
          <w:lang w:eastAsia="zh-CN"/>
        </w:rPr>
        <w:t xml:space="preserve"> Blood pressure</w:t>
      </w:r>
      <w:r>
        <w:rPr>
          <w:rFonts w:ascii="Times New Roman" w:hAnsi="Times New Roman" w:cs="Times New Roman"/>
          <w:sz w:val="24"/>
          <w:szCs w:val="24"/>
        </w:rPr>
        <w:t xml:space="preserve"> was taken twice, with a 5–min interval between measurements, with the participant sitting upright and his/her right arm supported at heart level. The mean of the two measures was used in the analysis.</w:t>
      </w:r>
      <w:r>
        <w:rPr>
          <w:rFonts w:ascii="Times New Roman" w:eastAsia="宋体" w:hAnsi="Times New Roman" w:cs="Times New Roman"/>
          <w:sz w:val="24"/>
          <w:szCs w:val="24"/>
          <w:lang w:eastAsia="zh-CN"/>
        </w:rPr>
        <w:t xml:space="preserve"> </w:t>
      </w:r>
    </w:p>
    <w:p w:rsidR="00122B43" w:rsidRDefault="00122B43">
      <w:pPr>
        <w:spacing w:after="0" w:line="360" w:lineRule="auto"/>
        <w:rPr>
          <w:rFonts w:ascii="Times New Roman" w:eastAsia="宋体" w:hAnsi="Times New Roman" w:cs="Times New Roman"/>
          <w:sz w:val="24"/>
          <w:szCs w:val="24"/>
          <w:lang w:eastAsia="zh-CN"/>
        </w:rPr>
      </w:pPr>
    </w:p>
    <w:p w:rsidR="00122B43" w:rsidRDefault="00000000">
      <w:pPr>
        <w:spacing w:after="0" w:line="360" w:lineRule="auto"/>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Fasting venous blood samples were collected in the morning and analyzed at central laboratories certified by the national quality control program.</w:t>
      </w:r>
      <w:r>
        <w:rPr>
          <w:rFonts w:ascii="Times New Roman" w:eastAsia="宋体" w:hAnsi="Times New Roman" w:cs="Times New Roman" w:hint="eastAsia"/>
          <w:sz w:val="24"/>
          <w:szCs w:val="24"/>
          <w:lang w:eastAsia="zh-CN"/>
        </w:rPr>
        <w:t xml:space="preserve"> </w:t>
      </w:r>
      <w:r>
        <w:rPr>
          <w:rFonts w:ascii="Times New Roman" w:eastAsia="宋体" w:hAnsi="Times New Roman" w:cs="Times New Roman"/>
          <w:sz w:val="24"/>
          <w:szCs w:val="24"/>
          <w:lang w:eastAsia="zh-CN"/>
        </w:rPr>
        <w:t xml:space="preserve">Biomarkers measured included fasting plasma glucose, glycated hemoglobin A1c, total cholesterol, triglycerides, high-density lipoprotein cholesterol (HDL-C), low-density lipoprotein cholesterol (LDL-C), and serum uric acid. All laboratory measurements were conducted </w:t>
      </w:r>
      <w:r>
        <w:rPr>
          <w:rFonts w:ascii="Times New Roman" w:eastAsia="宋体" w:hAnsi="Times New Roman" w:cs="Times New Roman"/>
          <w:sz w:val="24"/>
          <w:szCs w:val="24"/>
          <w:lang w:eastAsia="zh-CN"/>
        </w:rPr>
        <w:lastRenderedPageBreak/>
        <w:t>using standardized procedures with automated biochemical analyzers (</w:t>
      </w:r>
      <w:proofErr w:type="spellStart"/>
      <w:r>
        <w:rPr>
          <w:rFonts w:ascii="Times New Roman" w:eastAsia="宋体" w:hAnsi="Times New Roman" w:cs="Times New Roman"/>
          <w:sz w:val="24"/>
          <w:szCs w:val="24"/>
          <w:lang w:eastAsia="zh-CN"/>
        </w:rPr>
        <w:t>eg</w:t>
      </w:r>
      <w:proofErr w:type="spellEnd"/>
      <w:r>
        <w:rPr>
          <w:rFonts w:ascii="Times New Roman" w:eastAsia="宋体" w:hAnsi="Times New Roman" w:cs="Times New Roman"/>
          <w:sz w:val="24"/>
          <w:szCs w:val="24"/>
          <w:lang w:eastAsia="zh-CN"/>
        </w:rPr>
        <w:t>, Hitachi, Roche), and were subject to rigorous internal and external quality control.</w:t>
      </w:r>
    </w:p>
    <w:p w:rsidR="00122B43" w:rsidRDefault="00000000">
      <w:pPr>
        <w:pStyle w:val="1"/>
        <w:rPr>
          <w:rFonts w:ascii="Times New Roman" w:eastAsia="宋体" w:hAnsi="Times New Roman" w:cs="Times New Roman"/>
          <w:color w:val="auto"/>
          <w:sz w:val="24"/>
          <w:szCs w:val="24"/>
          <w:lang w:eastAsia="zh-CN"/>
        </w:rPr>
      </w:pPr>
      <w:r>
        <w:rPr>
          <w:rFonts w:ascii="Times New Roman" w:eastAsia="宋体" w:hAnsi="Times New Roman" w:cs="Times New Roman" w:hint="eastAsia"/>
          <w:color w:val="auto"/>
          <w:sz w:val="24"/>
          <w:szCs w:val="24"/>
          <w:lang w:eastAsia="zh-CN"/>
        </w:rPr>
        <w:t>Table S1. Association between age and metabolic multimorbidity, by sex</w:t>
      </w:r>
    </w:p>
    <w:tbl>
      <w:tblPr>
        <w:tblW w:w="4998" w:type="pct"/>
        <w:tblLook w:val="04A0" w:firstRow="1" w:lastRow="0" w:firstColumn="1" w:lastColumn="0" w:noHBand="0" w:noVBand="1"/>
      </w:tblPr>
      <w:tblGrid>
        <w:gridCol w:w="4816"/>
        <w:gridCol w:w="2437"/>
        <w:gridCol w:w="1384"/>
      </w:tblGrid>
      <w:tr w:rsidR="00122B43">
        <w:trPr>
          <w:trHeight w:val="270"/>
        </w:trPr>
        <w:tc>
          <w:tcPr>
            <w:tcW w:w="2787" w:type="pct"/>
            <w:tcBorders>
              <w:top w:val="single" w:sz="4" w:space="0" w:color="000000"/>
              <w:left w:val="nil"/>
              <w:bottom w:val="single" w:sz="4" w:space="0" w:color="000000"/>
              <w:right w:val="nil"/>
            </w:tcBorders>
            <w:vAlign w:val="center"/>
          </w:tcPr>
          <w:p w:rsidR="00122B43" w:rsidRDefault="00000000">
            <w:pPr>
              <w:jc w:val="center"/>
              <w:textAlignment w:val="center"/>
              <w:rPr>
                <w:rFonts w:ascii="Times New Roman" w:eastAsia="宋体" w:hAnsi="Times New Roman" w:cs="Times New Roman"/>
                <w:b/>
                <w:bCs/>
                <w:color w:val="000000"/>
              </w:rPr>
            </w:pPr>
            <w:r>
              <w:rPr>
                <w:rFonts w:ascii="Times New Roman" w:eastAsia="宋体" w:hAnsi="Times New Roman" w:cs="Times New Roman"/>
                <w:b/>
                <w:bCs/>
                <w:color w:val="000000"/>
                <w:lang w:eastAsia="zh-CN" w:bidi="ar"/>
              </w:rPr>
              <w:t>Variable</w:t>
            </w:r>
          </w:p>
        </w:tc>
        <w:tc>
          <w:tcPr>
            <w:tcW w:w="1411" w:type="pct"/>
            <w:tcBorders>
              <w:top w:val="single" w:sz="4" w:space="0" w:color="000000"/>
              <w:left w:val="nil"/>
              <w:bottom w:val="single" w:sz="4" w:space="0" w:color="000000"/>
              <w:right w:val="nil"/>
            </w:tcBorders>
            <w:vAlign w:val="center"/>
          </w:tcPr>
          <w:p w:rsidR="00122B43" w:rsidRDefault="00000000">
            <w:pPr>
              <w:jc w:val="center"/>
              <w:textAlignment w:val="center"/>
              <w:rPr>
                <w:rFonts w:ascii="Times New Roman" w:eastAsia="宋体" w:hAnsi="Times New Roman" w:cs="Times New Roman"/>
                <w:b/>
                <w:bCs/>
                <w:color w:val="000000"/>
              </w:rPr>
            </w:pPr>
            <w:r>
              <w:rPr>
                <w:rFonts w:ascii="Times New Roman" w:eastAsia="宋体" w:hAnsi="Times New Roman" w:cs="Times New Roman"/>
                <w:b/>
                <w:bCs/>
                <w:color w:val="000000"/>
                <w:lang w:eastAsia="zh-CN" w:bidi="ar"/>
              </w:rPr>
              <w:t>OR (95% CI)</w:t>
            </w:r>
          </w:p>
        </w:tc>
        <w:tc>
          <w:tcPr>
            <w:tcW w:w="801" w:type="pct"/>
            <w:tcBorders>
              <w:top w:val="single" w:sz="4" w:space="0" w:color="000000"/>
              <w:left w:val="nil"/>
              <w:bottom w:val="single" w:sz="4" w:space="0" w:color="000000"/>
              <w:right w:val="nil"/>
            </w:tcBorders>
            <w:vAlign w:val="center"/>
          </w:tcPr>
          <w:p w:rsidR="00122B43" w:rsidRDefault="00000000">
            <w:pPr>
              <w:jc w:val="center"/>
              <w:textAlignment w:val="center"/>
              <w:rPr>
                <w:rFonts w:ascii="Times New Roman" w:eastAsia="宋体" w:hAnsi="Times New Roman" w:cs="Times New Roman"/>
                <w:b/>
                <w:bCs/>
                <w:color w:val="000000"/>
              </w:rPr>
            </w:pPr>
            <w:r>
              <w:rPr>
                <w:rFonts w:ascii="Times New Roman" w:eastAsia="宋体" w:hAnsi="Times New Roman" w:cs="Times New Roman"/>
                <w:b/>
                <w:bCs/>
                <w:i/>
                <w:iCs/>
                <w:color w:val="000000"/>
                <w:lang w:eastAsia="zh-CN" w:bidi="ar"/>
              </w:rPr>
              <w:t>P</w:t>
            </w:r>
            <w:r>
              <w:rPr>
                <w:rFonts w:ascii="Times New Roman" w:eastAsia="宋体" w:hAnsi="Times New Roman" w:cs="Times New Roman"/>
                <w:b/>
                <w:bCs/>
                <w:color w:val="000000"/>
                <w:lang w:eastAsia="zh-CN" w:bidi="ar"/>
              </w:rPr>
              <w:t xml:space="preserve"> Value</w:t>
            </w:r>
          </w:p>
        </w:tc>
      </w:tr>
      <w:tr w:rsidR="00122B43">
        <w:trPr>
          <w:trHeight w:val="270"/>
        </w:trPr>
        <w:tc>
          <w:tcPr>
            <w:tcW w:w="2787" w:type="pct"/>
            <w:tcBorders>
              <w:top w:val="nil"/>
              <w:left w:val="nil"/>
              <w:bottom w:val="nil"/>
              <w:right w:val="nil"/>
            </w:tcBorders>
            <w:vAlign w:val="center"/>
          </w:tcPr>
          <w:p w:rsidR="00122B43" w:rsidRDefault="00000000">
            <w:pPr>
              <w:textAlignment w:val="center"/>
              <w:rPr>
                <w:rFonts w:ascii="Times New Roman" w:eastAsia="宋体" w:hAnsi="Times New Roman" w:cs="Times New Roman"/>
                <w:color w:val="000000"/>
              </w:rPr>
            </w:pPr>
            <w:r>
              <w:rPr>
                <w:rFonts w:ascii="Times New Roman" w:eastAsia="宋体" w:hAnsi="Times New Roman" w:cs="Times New Roman"/>
                <w:color w:val="000000"/>
                <w:lang w:eastAsia="zh-CN" w:bidi="ar"/>
              </w:rPr>
              <w:t>Male (per 1-year increase in age)</w:t>
            </w:r>
          </w:p>
        </w:tc>
        <w:tc>
          <w:tcPr>
            <w:tcW w:w="1411" w:type="pct"/>
            <w:tcBorders>
              <w:top w:val="nil"/>
              <w:left w:val="nil"/>
              <w:bottom w:val="nil"/>
              <w:right w:val="nil"/>
            </w:tcBorders>
            <w:vAlign w:val="center"/>
          </w:tcPr>
          <w:p w:rsidR="00122B43" w:rsidRDefault="00000000">
            <w:pPr>
              <w:textAlignment w:val="center"/>
              <w:rPr>
                <w:rFonts w:ascii="Times New Roman" w:eastAsia="宋体" w:hAnsi="Times New Roman" w:cs="Times New Roman"/>
                <w:color w:val="000000"/>
              </w:rPr>
            </w:pPr>
            <w:r>
              <w:rPr>
                <w:rFonts w:ascii="Times New Roman" w:eastAsia="宋体" w:hAnsi="Times New Roman" w:cs="Times New Roman"/>
                <w:color w:val="000000"/>
                <w:lang w:eastAsia="zh-CN" w:bidi="ar"/>
              </w:rPr>
              <w:t>1.04 (1.03–1.04)</w:t>
            </w:r>
          </w:p>
        </w:tc>
        <w:tc>
          <w:tcPr>
            <w:tcW w:w="801" w:type="pct"/>
            <w:tcBorders>
              <w:top w:val="nil"/>
              <w:left w:val="nil"/>
              <w:bottom w:val="nil"/>
              <w:right w:val="nil"/>
            </w:tcBorders>
            <w:vAlign w:val="center"/>
          </w:tcPr>
          <w:p w:rsidR="00122B43" w:rsidRDefault="00000000">
            <w:pPr>
              <w:textAlignment w:val="center"/>
              <w:rPr>
                <w:rFonts w:ascii="Times New Roman" w:eastAsia="宋体" w:hAnsi="Times New Roman" w:cs="Times New Roman"/>
                <w:color w:val="000000"/>
              </w:rPr>
            </w:pPr>
            <w:r>
              <w:rPr>
                <w:rFonts w:ascii="Times New Roman" w:eastAsia="宋体" w:hAnsi="Times New Roman" w:cs="Times New Roman"/>
                <w:color w:val="000000"/>
                <w:lang w:eastAsia="zh-CN" w:bidi="ar"/>
              </w:rPr>
              <w:t>&lt;</w:t>
            </w:r>
            <w:r>
              <w:rPr>
                <w:rFonts w:ascii="Times New Roman" w:eastAsia="宋体" w:hAnsi="Times New Roman" w:cs="Times New Roman" w:hint="eastAsia"/>
                <w:color w:val="000000"/>
                <w:lang w:eastAsia="zh-CN" w:bidi="ar"/>
              </w:rPr>
              <w:t>0</w:t>
            </w:r>
            <w:r>
              <w:rPr>
                <w:rFonts w:ascii="Times New Roman" w:eastAsia="宋体" w:hAnsi="Times New Roman" w:cs="Times New Roman"/>
                <w:color w:val="000000"/>
                <w:lang w:eastAsia="zh-CN" w:bidi="ar"/>
              </w:rPr>
              <w:t>.001</w:t>
            </w:r>
          </w:p>
        </w:tc>
      </w:tr>
      <w:tr w:rsidR="00122B43">
        <w:trPr>
          <w:trHeight w:val="270"/>
        </w:trPr>
        <w:tc>
          <w:tcPr>
            <w:tcW w:w="2787" w:type="pct"/>
            <w:tcBorders>
              <w:top w:val="nil"/>
              <w:left w:val="nil"/>
              <w:bottom w:val="nil"/>
              <w:right w:val="nil"/>
            </w:tcBorders>
            <w:vAlign w:val="center"/>
          </w:tcPr>
          <w:p w:rsidR="00122B43" w:rsidRDefault="00000000">
            <w:pPr>
              <w:textAlignment w:val="center"/>
              <w:rPr>
                <w:rFonts w:ascii="Times New Roman" w:eastAsia="宋体" w:hAnsi="Times New Roman" w:cs="Times New Roman"/>
                <w:color w:val="000000"/>
              </w:rPr>
            </w:pPr>
            <w:r>
              <w:rPr>
                <w:rFonts w:ascii="Times New Roman" w:eastAsia="宋体" w:hAnsi="Times New Roman" w:cs="Times New Roman"/>
                <w:color w:val="000000"/>
                <w:lang w:eastAsia="zh-CN" w:bidi="ar"/>
              </w:rPr>
              <w:t>Female (per 1-year increase in age)</w:t>
            </w:r>
          </w:p>
        </w:tc>
        <w:tc>
          <w:tcPr>
            <w:tcW w:w="1411" w:type="pct"/>
            <w:tcBorders>
              <w:top w:val="nil"/>
              <w:left w:val="nil"/>
              <w:bottom w:val="nil"/>
              <w:right w:val="nil"/>
            </w:tcBorders>
            <w:vAlign w:val="center"/>
          </w:tcPr>
          <w:p w:rsidR="00122B43" w:rsidRDefault="00000000">
            <w:pPr>
              <w:textAlignment w:val="center"/>
              <w:rPr>
                <w:rFonts w:ascii="Times New Roman" w:eastAsia="宋体" w:hAnsi="Times New Roman" w:cs="Times New Roman"/>
                <w:color w:val="000000"/>
              </w:rPr>
            </w:pPr>
            <w:r>
              <w:rPr>
                <w:rFonts w:ascii="Times New Roman" w:eastAsia="宋体" w:hAnsi="Times New Roman" w:cs="Times New Roman"/>
                <w:color w:val="000000"/>
                <w:lang w:eastAsia="zh-CN" w:bidi="ar"/>
              </w:rPr>
              <w:t>1.09 (1.09–1.09)</w:t>
            </w:r>
          </w:p>
        </w:tc>
        <w:tc>
          <w:tcPr>
            <w:tcW w:w="801" w:type="pct"/>
            <w:tcBorders>
              <w:top w:val="nil"/>
              <w:left w:val="nil"/>
              <w:bottom w:val="nil"/>
              <w:right w:val="nil"/>
            </w:tcBorders>
            <w:vAlign w:val="center"/>
          </w:tcPr>
          <w:p w:rsidR="00122B43" w:rsidRDefault="00000000">
            <w:pPr>
              <w:textAlignment w:val="center"/>
              <w:rPr>
                <w:rFonts w:ascii="Times New Roman" w:eastAsia="宋体" w:hAnsi="Times New Roman" w:cs="Times New Roman"/>
                <w:color w:val="000000"/>
              </w:rPr>
            </w:pPr>
            <w:r>
              <w:rPr>
                <w:rFonts w:ascii="Times New Roman" w:eastAsia="宋体" w:hAnsi="Times New Roman" w:cs="Times New Roman"/>
                <w:color w:val="000000"/>
                <w:lang w:eastAsia="zh-CN" w:bidi="ar"/>
              </w:rPr>
              <w:t>&lt;</w:t>
            </w:r>
            <w:r>
              <w:rPr>
                <w:rFonts w:ascii="Times New Roman" w:eastAsia="宋体" w:hAnsi="Times New Roman" w:cs="Times New Roman" w:hint="eastAsia"/>
                <w:color w:val="000000"/>
                <w:lang w:eastAsia="zh-CN" w:bidi="ar"/>
              </w:rPr>
              <w:t>0</w:t>
            </w:r>
            <w:r>
              <w:rPr>
                <w:rFonts w:ascii="Times New Roman" w:eastAsia="宋体" w:hAnsi="Times New Roman" w:cs="Times New Roman"/>
                <w:color w:val="000000"/>
                <w:lang w:eastAsia="zh-CN" w:bidi="ar"/>
              </w:rPr>
              <w:t>.001</w:t>
            </w:r>
          </w:p>
        </w:tc>
      </w:tr>
      <w:tr w:rsidR="00122B43">
        <w:trPr>
          <w:trHeight w:val="270"/>
        </w:trPr>
        <w:tc>
          <w:tcPr>
            <w:tcW w:w="2787" w:type="pct"/>
            <w:tcBorders>
              <w:top w:val="nil"/>
              <w:left w:val="nil"/>
              <w:bottom w:val="single" w:sz="4" w:space="0" w:color="000000"/>
              <w:right w:val="nil"/>
            </w:tcBorders>
            <w:vAlign w:val="center"/>
          </w:tcPr>
          <w:p w:rsidR="00122B43" w:rsidRDefault="00000000">
            <w:pPr>
              <w:textAlignment w:val="center"/>
              <w:rPr>
                <w:rFonts w:ascii="Times New Roman" w:eastAsia="宋体" w:hAnsi="Times New Roman" w:cs="Times New Roman"/>
                <w:color w:val="000000"/>
              </w:rPr>
            </w:pPr>
            <w:r>
              <w:rPr>
                <w:rFonts w:ascii="Times New Roman" w:eastAsia="宋体" w:hAnsi="Times New Roman" w:cs="Times New Roman"/>
                <w:color w:val="000000"/>
                <w:lang w:eastAsia="zh-CN" w:bidi="ar"/>
              </w:rPr>
              <w:t>Age × Sex interaction</w:t>
            </w:r>
          </w:p>
        </w:tc>
        <w:tc>
          <w:tcPr>
            <w:tcW w:w="1411" w:type="pct"/>
            <w:tcBorders>
              <w:top w:val="nil"/>
              <w:left w:val="nil"/>
              <w:bottom w:val="single" w:sz="4" w:space="0" w:color="000000"/>
              <w:right w:val="nil"/>
            </w:tcBorders>
            <w:vAlign w:val="center"/>
          </w:tcPr>
          <w:p w:rsidR="00122B43" w:rsidRDefault="00000000">
            <w:pPr>
              <w:textAlignment w:val="center"/>
              <w:rPr>
                <w:rFonts w:ascii="Times New Roman" w:eastAsia="宋体" w:hAnsi="Times New Roman" w:cs="Times New Roman"/>
                <w:color w:val="000000"/>
              </w:rPr>
            </w:pPr>
            <w:r>
              <w:rPr>
                <w:rFonts w:ascii="Times New Roman" w:eastAsia="宋体" w:hAnsi="Times New Roman" w:cs="Times New Roman"/>
                <w:color w:val="000000"/>
                <w:lang w:eastAsia="zh-CN" w:bidi="ar"/>
              </w:rPr>
              <w:t>—</w:t>
            </w:r>
          </w:p>
        </w:tc>
        <w:tc>
          <w:tcPr>
            <w:tcW w:w="801" w:type="pct"/>
            <w:tcBorders>
              <w:top w:val="nil"/>
              <w:left w:val="nil"/>
              <w:bottom w:val="single" w:sz="4" w:space="0" w:color="000000"/>
              <w:right w:val="nil"/>
            </w:tcBorders>
            <w:vAlign w:val="center"/>
          </w:tcPr>
          <w:p w:rsidR="00122B43" w:rsidRDefault="00000000">
            <w:pPr>
              <w:textAlignment w:val="center"/>
              <w:rPr>
                <w:rFonts w:ascii="Times New Roman" w:eastAsia="宋体" w:hAnsi="Times New Roman" w:cs="Times New Roman"/>
                <w:color w:val="000000"/>
              </w:rPr>
            </w:pPr>
            <w:r>
              <w:rPr>
                <w:rFonts w:ascii="Times New Roman" w:eastAsia="宋体" w:hAnsi="Times New Roman" w:cs="Times New Roman"/>
                <w:color w:val="000000"/>
                <w:lang w:eastAsia="zh-CN" w:bidi="ar"/>
              </w:rPr>
              <w:t>&lt;</w:t>
            </w:r>
            <w:r>
              <w:rPr>
                <w:rFonts w:ascii="Times New Roman" w:eastAsia="宋体" w:hAnsi="Times New Roman" w:cs="Times New Roman" w:hint="eastAsia"/>
                <w:color w:val="000000"/>
                <w:lang w:eastAsia="zh-CN" w:bidi="ar"/>
              </w:rPr>
              <w:t>0</w:t>
            </w:r>
            <w:r>
              <w:rPr>
                <w:rFonts w:ascii="Times New Roman" w:eastAsia="宋体" w:hAnsi="Times New Roman" w:cs="Times New Roman"/>
                <w:color w:val="000000"/>
                <w:lang w:eastAsia="zh-CN" w:bidi="ar"/>
              </w:rPr>
              <w:t>.0001</w:t>
            </w:r>
          </w:p>
        </w:tc>
      </w:tr>
    </w:tbl>
    <w:p w:rsidR="00122B43" w:rsidRDefault="00000000">
      <w:pPr>
        <w:spacing w:after="0" w:line="360" w:lineRule="auto"/>
        <w:rPr>
          <w:rFonts w:ascii="Times New Roman" w:eastAsia="宋体" w:hAnsi="Times New Roman" w:cs="Times New Roman"/>
          <w:sz w:val="24"/>
          <w:szCs w:val="24"/>
        </w:rPr>
      </w:pPr>
      <w:r>
        <w:rPr>
          <w:rFonts w:ascii="Times New Roman" w:eastAsia="宋体" w:hAnsi="Times New Roman" w:cs="Times New Roman"/>
          <w:sz w:val="24"/>
          <w:szCs w:val="24"/>
        </w:rPr>
        <w:t>OR indicates odds ratio; CI, confidence interval. Odds ratios represent the change in odds of metabolic multimorbidity per 1-year increase in age. The significant age-by-sex interaction indicates differential age-related accumulation of metabolic multimorbidity between men and women.</w:t>
      </w:r>
    </w:p>
    <w:p w:rsidR="00122B43" w:rsidRDefault="00122B43">
      <w:pPr>
        <w:spacing w:after="0" w:line="360" w:lineRule="auto"/>
        <w:rPr>
          <w:rFonts w:ascii="Times New Roman" w:eastAsia="宋体" w:hAnsi="Times New Roman" w:cs="Times New Roman"/>
          <w:sz w:val="24"/>
          <w:szCs w:val="24"/>
        </w:rPr>
        <w:sectPr w:rsidR="00122B43">
          <w:pgSz w:w="12240" w:h="15840"/>
          <w:pgMar w:top="1440" w:right="1800" w:bottom="1440" w:left="1800" w:header="720" w:footer="720" w:gutter="0"/>
          <w:cols w:space="720"/>
          <w:docGrid w:linePitch="360"/>
        </w:sectPr>
      </w:pPr>
    </w:p>
    <w:p w:rsidR="003545C9" w:rsidRPr="003545C9" w:rsidRDefault="00000000" w:rsidP="003545C9">
      <w:pPr>
        <w:pStyle w:val="1"/>
        <w:rPr>
          <w:rFonts w:ascii="Times New Roman" w:eastAsia="宋体" w:hAnsi="Times New Roman" w:cs="Times New Roman" w:hint="eastAsia"/>
          <w:color w:val="auto"/>
          <w:sz w:val="24"/>
          <w:szCs w:val="24"/>
          <w:lang w:eastAsia="zh-CN"/>
        </w:rPr>
      </w:pPr>
      <w:r>
        <w:rPr>
          <w:rFonts w:ascii="Times New Roman" w:eastAsia="宋体" w:hAnsi="Times New Roman" w:cs="Times New Roman" w:hint="eastAsia"/>
          <w:color w:val="auto"/>
          <w:sz w:val="24"/>
          <w:szCs w:val="24"/>
          <w:lang w:eastAsia="zh-CN"/>
        </w:rPr>
        <w:lastRenderedPageBreak/>
        <w:t xml:space="preserve">Table S2. Prevalence </w:t>
      </w:r>
      <w:r w:rsidR="007F3059">
        <w:rPr>
          <w:rFonts w:ascii="Times New Roman" w:eastAsia="宋体" w:hAnsi="Times New Roman" w:cs="Times New Roman"/>
          <w:color w:val="auto"/>
          <w:sz w:val="24"/>
          <w:szCs w:val="24"/>
          <w:lang w:eastAsia="zh-CN"/>
        </w:rPr>
        <w:t>of common combinations of metabolic diseases and their associations with all-cause, cardiovascular, and cancer mortality</w:t>
      </w:r>
    </w:p>
    <w:tbl>
      <w:tblPr>
        <w:tblW w:w="5000" w:type="pct"/>
        <w:tblLook w:val="04A0" w:firstRow="1" w:lastRow="0" w:firstColumn="1" w:lastColumn="0" w:noHBand="0" w:noVBand="1"/>
      </w:tblPr>
      <w:tblGrid>
        <w:gridCol w:w="1027"/>
        <w:gridCol w:w="3730"/>
        <w:gridCol w:w="1752"/>
        <w:gridCol w:w="2208"/>
        <w:gridCol w:w="2120"/>
        <w:gridCol w:w="2123"/>
      </w:tblGrid>
      <w:tr w:rsidR="003545C9" w:rsidRPr="003545C9" w:rsidTr="00F00BAA">
        <w:trPr>
          <w:trHeight w:val="23"/>
        </w:trPr>
        <w:tc>
          <w:tcPr>
            <w:tcW w:w="396" w:type="pct"/>
            <w:tcBorders>
              <w:top w:val="single" w:sz="4" w:space="0" w:color="auto"/>
              <w:left w:val="nil"/>
              <w:bottom w:val="single" w:sz="4" w:space="0" w:color="auto"/>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b/>
                <w:bCs/>
                <w:color w:val="000000"/>
                <w:sz w:val="21"/>
                <w:szCs w:val="21"/>
              </w:rPr>
            </w:pPr>
            <w:r w:rsidRPr="003545C9">
              <w:rPr>
                <w:rFonts w:ascii="Times New Roman" w:eastAsia="宋体" w:hAnsi="Times New Roman" w:cs="Times New Roman"/>
                <w:b/>
                <w:bCs/>
                <w:color w:val="000000"/>
                <w:sz w:val="21"/>
                <w:szCs w:val="21"/>
                <w:lang w:eastAsia="zh-CN" w:bidi="ar"/>
              </w:rPr>
              <w:t>No. of diseases</w:t>
            </w:r>
          </w:p>
        </w:tc>
        <w:tc>
          <w:tcPr>
            <w:tcW w:w="1439" w:type="pct"/>
            <w:tcBorders>
              <w:top w:val="single" w:sz="4" w:space="0" w:color="auto"/>
              <w:left w:val="nil"/>
              <w:bottom w:val="single" w:sz="4" w:space="0" w:color="auto"/>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b/>
                <w:bCs/>
                <w:color w:val="000000"/>
                <w:sz w:val="21"/>
                <w:szCs w:val="21"/>
              </w:rPr>
            </w:pPr>
            <w:r w:rsidRPr="003545C9">
              <w:rPr>
                <w:rFonts w:ascii="Times New Roman" w:eastAsia="宋体" w:hAnsi="Times New Roman" w:cs="Times New Roman"/>
                <w:b/>
                <w:bCs/>
                <w:color w:val="000000"/>
                <w:sz w:val="21"/>
                <w:szCs w:val="21"/>
                <w:lang w:eastAsia="zh-CN" w:bidi="ar"/>
              </w:rPr>
              <w:t>Combination</w:t>
            </w:r>
          </w:p>
        </w:tc>
        <w:tc>
          <w:tcPr>
            <w:tcW w:w="676" w:type="pct"/>
            <w:tcBorders>
              <w:top w:val="single" w:sz="4" w:space="0" w:color="auto"/>
              <w:left w:val="nil"/>
              <w:bottom w:val="single" w:sz="4" w:space="0" w:color="auto"/>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b/>
                <w:bCs/>
                <w:color w:val="000000"/>
                <w:sz w:val="21"/>
                <w:szCs w:val="21"/>
              </w:rPr>
            </w:pPr>
            <w:r w:rsidRPr="003545C9">
              <w:rPr>
                <w:rFonts w:ascii="Times New Roman" w:eastAsia="宋体" w:hAnsi="Times New Roman" w:cs="Times New Roman"/>
                <w:b/>
                <w:bCs/>
                <w:color w:val="000000"/>
                <w:sz w:val="21"/>
                <w:szCs w:val="21"/>
                <w:lang w:eastAsia="zh-CN" w:bidi="ar"/>
              </w:rPr>
              <w:t>N (%)</w:t>
            </w:r>
          </w:p>
        </w:tc>
        <w:tc>
          <w:tcPr>
            <w:tcW w:w="852" w:type="pct"/>
            <w:tcBorders>
              <w:top w:val="single" w:sz="4" w:space="0" w:color="auto"/>
              <w:left w:val="nil"/>
              <w:bottom w:val="single" w:sz="4" w:space="0" w:color="auto"/>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b/>
                <w:bCs/>
                <w:color w:val="000000"/>
                <w:sz w:val="21"/>
                <w:szCs w:val="21"/>
              </w:rPr>
            </w:pPr>
            <w:r w:rsidRPr="003545C9">
              <w:rPr>
                <w:rFonts w:ascii="Times New Roman" w:eastAsia="宋体" w:hAnsi="Times New Roman" w:cs="Times New Roman"/>
                <w:b/>
                <w:bCs/>
                <w:color w:val="000000"/>
                <w:sz w:val="21"/>
                <w:szCs w:val="21"/>
                <w:lang w:eastAsia="zh-CN" w:bidi="ar"/>
              </w:rPr>
              <w:t>HR for all-cause mortality (95% CI)</w:t>
            </w:r>
          </w:p>
        </w:tc>
        <w:tc>
          <w:tcPr>
            <w:tcW w:w="818" w:type="pct"/>
            <w:tcBorders>
              <w:top w:val="single" w:sz="4" w:space="0" w:color="auto"/>
              <w:left w:val="nil"/>
              <w:bottom w:val="single" w:sz="4" w:space="0" w:color="auto"/>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b/>
                <w:bCs/>
                <w:color w:val="000000"/>
                <w:sz w:val="21"/>
                <w:szCs w:val="21"/>
              </w:rPr>
            </w:pPr>
            <w:r w:rsidRPr="003545C9">
              <w:rPr>
                <w:rFonts w:ascii="Times New Roman" w:eastAsia="宋体" w:hAnsi="Times New Roman" w:cs="Times New Roman"/>
                <w:b/>
                <w:bCs/>
                <w:color w:val="000000"/>
                <w:sz w:val="21"/>
                <w:szCs w:val="21"/>
                <w:lang w:eastAsia="zh-CN" w:bidi="ar"/>
              </w:rPr>
              <w:t>HR for CVD mortality (95% CI)</w:t>
            </w:r>
          </w:p>
        </w:tc>
        <w:tc>
          <w:tcPr>
            <w:tcW w:w="819" w:type="pct"/>
            <w:tcBorders>
              <w:top w:val="single" w:sz="4" w:space="0" w:color="auto"/>
              <w:left w:val="nil"/>
              <w:bottom w:val="single" w:sz="4" w:space="0" w:color="auto"/>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b/>
                <w:bCs/>
                <w:color w:val="000000"/>
                <w:sz w:val="21"/>
                <w:szCs w:val="21"/>
              </w:rPr>
            </w:pPr>
            <w:r w:rsidRPr="003545C9">
              <w:rPr>
                <w:rFonts w:ascii="Times New Roman" w:eastAsia="宋体" w:hAnsi="Times New Roman" w:cs="Times New Roman"/>
                <w:b/>
                <w:bCs/>
                <w:color w:val="000000"/>
                <w:sz w:val="21"/>
                <w:szCs w:val="21"/>
                <w:lang w:eastAsia="zh-CN" w:bidi="ar"/>
              </w:rPr>
              <w:t>HR for cancer mortality (95% CI)</w:t>
            </w:r>
          </w:p>
        </w:tc>
      </w:tr>
      <w:tr w:rsidR="003545C9" w:rsidRPr="003545C9" w:rsidTr="00F00BAA">
        <w:trPr>
          <w:trHeight w:val="23"/>
        </w:trPr>
        <w:tc>
          <w:tcPr>
            <w:tcW w:w="396" w:type="pct"/>
            <w:tcBorders>
              <w:top w:val="single" w:sz="4" w:space="0" w:color="auto"/>
              <w:left w:val="nil"/>
              <w:bottom w:val="nil"/>
              <w:right w:val="nil"/>
            </w:tcBorders>
            <w:noWrap/>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rPr>
              <w:t>0</w:t>
            </w:r>
          </w:p>
        </w:tc>
        <w:tc>
          <w:tcPr>
            <w:tcW w:w="1439" w:type="pct"/>
            <w:tcBorders>
              <w:top w:val="single" w:sz="4" w:space="0" w:color="auto"/>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None</w:t>
            </w:r>
          </w:p>
        </w:tc>
        <w:tc>
          <w:tcPr>
            <w:tcW w:w="676" w:type="pct"/>
            <w:tcBorders>
              <w:top w:val="single" w:sz="4" w:space="0" w:color="auto"/>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56,043 (45.3)</w:t>
            </w:r>
          </w:p>
        </w:tc>
        <w:tc>
          <w:tcPr>
            <w:tcW w:w="852" w:type="pct"/>
            <w:tcBorders>
              <w:top w:val="single" w:sz="4" w:space="0" w:color="auto"/>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1.00 (Reference)</w:t>
            </w:r>
          </w:p>
        </w:tc>
        <w:tc>
          <w:tcPr>
            <w:tcW w:w="818" w:type="pct"/>
            <w:tcBorders>
              <w:top w:val="single" w:sz="4" w:space="0" w:color="auto"/>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1.00 (Reference)</w:t>
            </w:r>
          </w:p>
        </w:tc>
        <w:tc>
          <w:tcPr>
            <w:tcW w:w="819" w:type="pct"/>
            <w:tcBorders>
              <w:top w:val="single" w:sz="4" w:space="0" w:color="auto"/>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1.00 (Reference)</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rPr>
              <w:t>2</w:t>
            </w: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proofErr w:type="spellStart"/>
            <w:r w:rsidRPr="003545C9">
              <w:rPr>
                <w:rFonts w:ascii="Times New Roman" w:eastAsia="宋体" w:hAnsi="Times New Roman" w:cs="Times New Roman"/>
                <w:color w:val="000000"/>
                <w:sz w:val="21"/>
                <w:szCs w:val="21"/>
                <w:lang w:eastAsia="zh-CN" w:bidi="ar"/>
              </w:rPr>
              <w:t>Dyslipidaemia</w:t>
            </w:r>
            <w:proofErr w:type="spellEnd"/>
            <w:r w:rsidRPr="003545C9">
              <w:rPr>
                <w:rFonts w:ascii="Times New Roman" w:eastAsia="宋体" w:hAnsi="Times New Roman" w:cs="Times New Roman"/>
                <w:color w:val="000000"/>
                <w:sz w:val="21"/>
                <w:szCs w:val="21"/>
                <w:lang w:eastAsia="zh-CN" w:bidi="ar"/>
              </w:rPr>
              <w:t xml:space="preserve"> + NAFLD</w:t>
            </w:r>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10,922 (8.8)</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1.22 (0.88–1.68)</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1.49 (0.75–2.93)</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1.13 (0.65–1.98)</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rPr>
            </w:pP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bidi="ar"/>
              </w:rPr>
              <w:t>Hypertension + NAFLD</w:t>
            </w:r>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bidi="ar"/>
              </w:rPr>
              <w:t>2,898 (2.3)</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bidi="ar"/>
              </w:rPr>
              <w:t>1.68 (1.18–2.41)</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bidi="ar"/>
              </w:rPr>
              <w:t>2.49 (1.25–4.95)</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bidi="ar"/>
              </w:rPr>
              <w:t>1.65 (0.91–2.98)</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rPr>
            </w:pP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Obesity + NAFLD</w:t>
            </w:r>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2,823 (2.3)</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1.18 (0.65–2.14)</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1.45 (0.43–4.86)</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1.12 (0.40–3.15)</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rPr>
            </w:pP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 xml:space="preserve">Hypertension + </w:t>
            </w:r>
            <w:proofErr w:type="spellStart"/>
            <w:r w:rsidRPr="003545C9">
              <w:rPr>
                <w:rFonts w:ascii="Times New Roman" w:eastAsia="宋体" w:hAnsi="Times New Roman" w:cs="Times New Roman"/>
                <w:color w:val="000000"/>
                <w:sz w:val="21"/>
                <w:szCs w:val="21"/>
                <w:lang w:eastAsia="zh-CN" w:bidi="ar"/>
              </w:rPr>
              <w:t>Dyslipidaemia</w:t>
            </w:r>
            <w:proofErr w:type="spellEnd"/>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2,055 (1.7)</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1.83 (1.22–2.75)</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2.74 (1.27–5.90)</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1.74 (0.88–3.44)</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rPr>
            </w:pP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proofErr w:type="spellStart"/>
            <w:r w:rsidRPr="003545C9">
              <w:rPr>
                <w:rFonts w:ascii="Times New Roman" w:eastAsia="宋体" w:hAnsi="Times New Roman" w:cs="Times New Roman"/>
                <w:color w:val="000000"/>
                <w:sz w:val="21"/>
                <w:szCs w:val="21"/>
              </w:rPr>
              <w:t>Dyslipidaemia+Obesity</w:t>
            </w:r>
            <w:proofErr w:type="spellEnd"/>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rPr>
              <w:t>752 (0.6)</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bottom"/>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2.25 (0.99–5.13)</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bottom"/>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7.1 (2.42–20.82)</w:t>
            </w:r>
          </w:p>
        </w:tc>
        <w:tc>
          <w:tcPr>
            <w:tcW w:w="819"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lang w:eastAsia="zh-CN"/>
              </w:rPr>
            </w:pPr>
            <w:r w:rsidRPr="003545C9">
              <w:rPr>
                <w:rFonts w:ascii="Times New Roman" w:eastAsia="宋体" w:hAnsi="Times New Roman" w:cs="Times New Roman" w:hint="eastAsia"/>
                <w:color w:val="000000"/>
                <w:sz w:val="21"/>
                <w:szCs w:val="21"/>
                <w:lang w:eastAsia="zh-CN"/>
              </w:rPr>
              <w:t>/</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rPr>
            </w:pP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proofErr w:type="spellStart"/>
            <w:r w:rsidRPr="003545C9">
              <w:rPr>
                <w:rFonts w:ascii="Times New Roman" w:eastAsia="宋体" w:hAnsi="Times New Roman" w:cs="Times New Roman"/>
                <w:color w:val="000000"/>
                <w:sz w:val="21"/>
                <w:szCs w:val="21"/>
              </w:rPr>
              <w:t>Diabetes+Dyslipidaemia</w:t>
            </w:r>
            <w:proofErr w:type="spellEnd"/>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rPr>
              <w:t>629 (0.5)</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bottom"/>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2.24 (1.23–4.1)</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bottom"/>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4.31 (1.61–11.59)</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bottom"/>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1.01 (0.24–4.22)</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rPr>
              <w:t>3</w:t>
            </w: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proofErr w:type="spellStart"/>
            <w:r w:rsidRPr="003545C9">
              <w:rPr>
                <w:rFonts w:ascii="Times New Roman" w:eastAsia="宋体" w:hAnsi="Times New Roman" w:cs="Times New Roman"/>
                <w:color w:val="000000"/>
                <w:sz w:val="21"/>
                <w:szCs w:val="21"/>
                <w:lang w:eastAsia="zh-CN" w:bidi="ar"/>
              </w:rPr>
              <w:t>Dyslipidaemia</w:t>
            </w:r>
            <w:proofErr w:type="spellEnd"/>
            <w:r w:rsidRPr="003545C9">
              <w:rPr>
                <w:rFonts w:ascii="Times New Roman" w:eastAsia="宋体" w:hAnsi="Times New Roman" w:cs="Times New Roman"/>
                <w:color w:val="000000"/>
                <w:sz w:val="21"/>
                <w:szCs w:val="21"/>
                <w:lang w:eastAsia="zh-CN" w:bidi="ar"/>
              </w:rPr>
              <w:t xml:space="preserve"> + Obesity + NAFLD</w:t>
            </w:r>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4,689 (3.8)</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1.66 (1.09–2.54)</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2.38 (1.05–5.40)</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1.29 (0.57–2.90)</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rPr>
            </w:pP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 xml:space="preserve">Hypertension + </w:t>
            </w:r>
            <w:proofErr w:type="spellStart"/>
            <w:r w:rsidRPr="003545C9">
              <w:rPr>
                <w:rFonts w:ascii="Times New Roman" w:eastAsia="宋体" w:hAnsi="Times New Roman" w:cs="Times New Roman"/>
                <w:color w:val="000000"/>
                <w:sz w:val="21"/>
                <w:szCs w:val="21"/>
                <w:lang w:eastAsia="zh-CN" w:bidi="ar"/>
              </w:rPr>
              <w:t>Dyslipidaemia</w:t>
            </w:r>
            <w:proofErr w:type="spellEnd"/>
            <w:r w:rsidRPr="003545C9">
              <w:rPr>
                <w:rFonts w:ascii="Times New Roman" w:eastAsia="宋体" w:hAnsi="Times New Roman" w:cs="Times New Roman"/>
                <w:color w:val="000000"/>
                <w:sz w:val="21"/>
                <w:szCs w:val="21"/>
                <w:lang w:eastAsia="zh-CN" w:bidi="ar"/>
              </w:rPr>
              <w:t xml:space="preserve"> + NAFLD</w:t>
            </w:r>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3,624 (2.9)</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1.40 (0.96–2.03)</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1.72 (0.80–3.69)</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1.11 (0.56–2.19)</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rPr>
            </w:pP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 xml:space="preserve">Diabetes + </w:t>
            </w:r>
            <w:proofErr w:type="spellStart"/>
            <w:r w:rsidRPr="003545C9">
              <w:rPr>
                <w:rFonts w:ascii="Times New Roman" w:eastAsia="宋体" w:hAnsi="Times New Roman" w:cs="Times New Roman"/>
                <w:color w:val="000000"/>
                <w:sz w:val="21"/>
                <w:szCs w:val="21"/>
                <w:lang w:eastAsia="zh-CN" w:bidi="ar"/>
              </w:rPr>
              <w:t>Dyslipidaemia</w:t>
            </w:r>
            <w:proofErr w:type="spellEnd"/>
            <w:r w:rsidRPr="003545C9">
              <w:rPr>
                <w:rFonts w:ascii="Times New Roman" w:eastAsia="宋体" w:hAnsi="Times New Roman" w:cs="Times New Roman"/>
                <w:color w:val="000000"/>
                <w:sz w:val="21"/>
                <w:szCs w:val="21"/>
                <w:lang w:eastAsia="zh-CN" w:bidi="ar"/>
              </w:rPr>
              <w:t xml:space="preserve"> + NAFLD</w:t>
            </w:r>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1,475 (1.2)</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1.75 (1.07–2.87)</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3.45 (1.51–7.87)</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1.02 (0.36–2.86)</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rPr>
            </w:pP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Hypertension + Obesity + NAFLD</w:t>
            </w:r>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1,351 (1.1)</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3.00 (1.96–4.60)</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6.79 (3.37–13.70)</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2.41 (1.12–5.21)</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rPr>
              <w:t>4</w:t>
            </w: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 xml:space="preserve">Hypertension + </w:t>
            </w:r>
            <w:proofErr w:type="spellStart"/>
            <w:r w:rsidRPr="003545C9">
              <w:rPr>
                <w:rFonts w:ascii="Times New Roman" w:eastAsia="宋体" w:hAnsi="Times New Roman" w:cs="Times New Roman"/>
                <w:color w:val="000000"/>
                <w:sz w:val="21"/>
                <w:szCs w:val="21"/>
                <w:lang w:eastAsia="zh-CN" w:bidi="ar"/>
              </w:rPr>
              <w:t>Dyslipidaemia</w:t>
            </w:r>
            <w:proofErr w:type="spellEnd"/>
            <w:r w:rsidRPr="003545C9">
              <w:rPr>
                <w:rFonts w:ascii="Times New Roman" w:eastAsia="宋体" w:hAnsi="Times New Roman" w:cs="Times New Roman"/>
                <w:color w:val="000000"/>
                <w:sz w:val="21"/>
                <w:szCs w:val="21"/>
                <w:lang w:eastAsia="zh-CN" w:bidi="ar"/>
              </w:rPr>
              <w:t xml:space="preserve"> + Obesity + NAFLD</w:t>
            </w:r>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2,874 (2.3)</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1.97 (1.29–2.99)</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4.30 (2.13–8.66)</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1.21 (0.51–2.88)</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rPr>
            </w:pP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 xml:space="preserve">Hypertension + Diabetes + </w:t>
            </w:r>
            <w:proofErr w:type="spellStart"/>
            <w:r w:rsidRPr="003545C9">
              <w:rPr>
                <w:rFonts w:ascii="Times New Roman" w:eastAsia="宋体" w:hAnsi="Times New Roman" w:cs="Times New Roman"/>
                <w:color w:val="000000"/>
                <w:sz w:val="21"/>
                <w:szCs w:val="21"/>
                <w:lang w:eastAsia="zh-CN" w:bidi="ar"/>
              </w:rPr>
              <w:t>Dyslipidaemia</w:t>
            </w:r>
            <w:proofErr w:type="spellEnd"/>
            <w:r w:rsidRPr="003545C9">
              <w:rPr>
                <w:rFonts w:ascii="Times New Roman" w:eastAsia="宋体" w:hAnsi="Times New Roman" w:cs="Times New Roman"/>
                <w:color w:val="000000"/>
                <w:sz w:val="21"/>
                <w:szCs w:val="21"/>
                <w:lang w:eastAsia="zh-CN" w:bidi="ar"/>
              </w:rPr>
              <w:t xml:space="preserve"> + NAFLD</w:t>
            </w:r>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1,125 (0.9)</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2.19 (1.42–3.39)</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2.72 (1.14–6.49)</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2.68 (1.38–5.21)</w:t>
            </w:r>
          </w:p>
        </w:tc>
      </w:tr>
      <w:tr w:rsidR="003545C9" w:rsidRPr="003545C9" w:rsidTr="00F00BAA">
        <w:trPr>
          <w:trHeight w:val="23"/>
        </w:trPr>
        <w:tc>
          <w:tcPr>
            <w:tcW w:w="396" w:type="pct"/>
            <w:tcBorders>
              <w:top w:val="nil"/>
              <w:left w:val="nil"/>
              <w:bottom w:val="nil"/>
              <w:right w:val="nil"/>
            </w:tcBorders>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rPr>
            </w:pPr>
          </w:p>
        </w:tc>
        <w:tc>
          <w:tcPr>
            <w:tcW w:w="1439" w:type="pct"/>
            <w:tcBorders>
              <w:top w:val="nil"/>
              <w:left w:val="nil"/>
              <w:bottom w:val="nil"/>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 xml:space="preserve">Diabetes + </w:t>
            </w:r>
            <w:proofErr w:type="spellStart"/>
            <w:r w:rsidRPr="003545C9">
              <w:rPr>
                <w:rFonts w:ascii="Times New Roman" w:eastAsia="宋体" w:hAnsi="Times New Roman" w:cs="Times New Roman"/>
                <w:color w:val="000000"/>
                <w:sz w:val="21"/>
                <w:szCs w:val="21"/>
                <w:lang w:eastAsia="zh-CN" w:bidi="ar"/>
              </w:rPr>
              <w:t>Dyslipidaemia</w:t>
            </w:r>
            <w:proofErr w:type="spellEnd"/>
            <w:r w:rsidRPr="003545C9">
              <w:rPr>
                <w:rFonts w:ascii="Times New Roman" w:eastAsia="宋体" w:hAnsi="Times New Roman" w:cs="Times New Roman"/>
                <w:color w:val="000000"/>
                <w:sz w:val="21"/>
                <w:szCs w:val="21"/>
                <w:lang w:eastAsia="zh-CN" w:bidi="ar"/>
              </w:rPr>
              <w:t xml:space="preserve"> + Obesity + NAFLD</w:t>
            </w:r>
          </w:p>
        </w:tc>
        <w:tc>
          <w:tcPr>
            <w:tcW w:w="676"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819 (0.7)</w:t>
            </w:r>
          </w:p>
        </w:tc>
        <w:tc>
          <w:tcPr>
            <w:tcW w:w="852"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3.03 (1.73–5.31)</w:t>
            </w:r>
          </w:p>
        </w:tc>
        <w:tc>
          <w:tcPr>
            <w:tcW w:w="818"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4.12 (1.40–12.08)</w:t>
            </w:r>
          </w:p>
        </w:tc>
        <w:tc>
          <w:tcPr>
            <w:tcW w:w="819" w:type="pct"/>
            <w:tcBorders>
              <w:top w:val="nil"/>
              <w:left w:val="nil"/>
              <w:bottom w:val="nil"/>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5.43 (2.61–11.32)</w:t>
            </w:r>
          </w:p>
        </w:tc>
      </w:tr>
      <w:tr w:rsidR="003545C9" w:rsidRPr="003545C9" w:rsidTr="00F00BAA">
        <w:trPr>
          <w:trHeight w:val="23"/>
        </w:trPr>
        <w:tc>
          <w:tcPr>
            <w:tcW w:w="396" w:type="pct"/>
            <w:tcBorders>
              <w:top w:val="nil"/>
              <w:left w:val="nil"/>
              <w:bottom w:val="single" w:sz="4" w:space="0" w:color="auto"/>
              <w:right w:val="nil"/>
            </w:tcBorders>
            <w:noWrap/>
            <w:vAlign w:val="center"/>
          </w:tcPr>
          <w:p w:rsidR="003545C9" w:rsidRPr="003545C9" w:rsidRDefault="003545C9" w:rsidP="003545C9">
            <w:pPr>
              <w:spacing w:after="0" w:line="240" w:lineRule="auto"/>
              <w:jc w:val="both"/>
              <w:rPr>
                <w:rFonts w:ascii="Times New Roman" w:eastAsia="宋体" w:hAnsi="Times New Roman" w:cs="Times New Roman"/>
                <w:color w:val="000000"/>
                <w:sz w:val="21"/>
                <w:szCs w:val="21"/>
                <w:lang w:eastAsia="zh-CN"/>
              </w:rPr>
            </w:pPr>
            <w:r w:rsidRPr="003545C9">
              <w:rPr>
                <w:rFonts w:ascii="Times New Roman" w:eastAsia="宋体" w:hAnsi="Times New Roman" w:cs="Times New Roman"/>
                <w:color w:val="000000"/>
                <w:sz w:val="21"/>
                <w:szCs w:val="21"/>
                <w:lang w:eastAsia="zh-CN"/>
              </w:rPr>
              <w:t>5</w:t>
            </w:r>
          </w:p>
        </w:tc>
        <w:tc>
          <w:tcPr>
            <w:tcW w:w="1439" w:type="pct"/>
            <w:tcBorders>
              <w:top w:val="nil"/>
              <w:left w:val="nil"/>
              <w:bottom w:val="single" w:sz="4" w:space="0" w:color="auto"/>
              <w:right w:val="nil"/>
            </w:tcBorders>
            <w:vAlign w:val="center"/>
          </w:tcPr>
          <w:p w:rsidR="003545C9" w:rsidRPr="003545C9" w:rsidRDefault="003545C9" w:rsidP="003545C9">
            <w:pPr>
              <w:spacing w:after="0" w:line="240" w:lineRule="auto"/>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 xml:space="preserve">Hypertension + Diabetes + </w:t>
            </w:r>
            <w:proofErr w:type="spellStart"/>
            <w:r w:rsidRPr="003545C9">
              <w:rPr>
                <w:rFonts w:ascii="Times New Roman" w:eastAsia="宋体" w:hAnsi="Times New Roman" w:cs="Times New Roman"/>
                <w:color w:val="000000"/>
                <w:sz w:val="21"/>
                <w:szCs w:val="21"/>
                <w:lang w:eastAsia="zh-CN" w:bidi="ar"/>
              </w:rPr>
              <w:t>Dyslipidaemia</w:t>
            </w:r>
            <w:proofErr w:type="spellEnd"/>
            <w:r w:rsidRPr="003545C9">
              <w:rPr>
                <w:rFonts w:ascii="Times New Roman" w:eastAsia="宋体" w:hAnsi="Times New Roman" w:cs="Times New Roman"/>
                <w:color w:val="000000"/>
                <w:sz w:val="21"/>
                <w:szCs w:val="21"/>
                <w:lang w:eastAsia="zh-CN" w:bidi="ar"/>
              </w:rPr>
              <w:t xml:space="preserve"> + Obesity + NAFLD</w:t>
            </w:r>
          </w:p>
        </w:tc>
        <w:tc>
          <w:tcPr>
            <w:tcW w:w="676" w:type="pct"/>
            <w:tcBorders>
              <w:top w:val="nil"/>
              <w:left w:val="nil"/>
              <w:bottom w:val="single" w:sz="4" w:space="0" w:color="auto"/>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908 (0.7)</w:t>
            </w:r>
          </w:p>
        </w:tc>
        <w:tc>
          <w:tcPr>
            <w:tcW w:w="852" w:type="pct"/>
            <w:tcBorders>
              <w:top w:val="nil"/>
              <w:left w:val="nil"/>
              <w:bottom w:val="single" w:sz="4" w:space="0" w:color="auto"/>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3.08 (1.92–4.95)</w:t>
            </w:r>
          </w:p>
        </w:tc>
        <w:tc>
          <w:tcPr>
            <w:tcW w:w="818" w:type="pct"/>
            <w:tcBorders>
              <w:top w:val="nil"/>
              <w:left w:val="nil"/>
              <w:bottom w:val="single" w:sz="4" w:space="0" w:color="auto"/>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5.43 (2.38–12.42)</w:t>
            </w:r>
          </w:p>
        </w:tc>
        <w:tc>
          <w:tcPr>
            <w:tcW w:w="819" w:type="pct"/>
            <w:tcBorders>
              <w:top w:val="nil"/>
              <w:left w:val="nil"/>
              <w:bottom w:val="single" w:sz="4" w:space="0" w:color="auto"/>
              <w:right w:val="nil"/>
            </w:tcBorders>
            <w:vAlign w:val="center"/>
          </w:tcPr>
          <w:p w:rsidR="003545C9" w:rsidRPr="003545C9" w:rsidRDefault="003545C9" w:rsidP="003545C9">
            <w:pPr>
              <w:spacing w:after="0" w:line="240" w:lineRule="auto"/>
              <w:jc w:val="both"/>
              <w:textAlignment w:val="center"/>
              <w:rPr>
                <w:rFonts w:ascii="Times New Roman" w:eastAsia="宋体" w:hAnsi="Times New Roman" w:cs="Times New Roman"/>
                <w:color w:val="000000"/>
                <w:sz w:val="21"/>
                <w:szCs w:val="21"/>
              </w:rPr>
            </w:pPr>
            <w:r w:rsidRPr="003545C9">
              <w:rPr>
                <w:rFonts w:ascii="Times New Roman" w:eastAsia="宋体" w:hAnsi="Times New Roman" w:cs="Times New Roman"/>
                <w:color w:val="000000"/>
                <w:sz w:val="21"/>
                <w:szCs w:val="21"/>
                <w:lang w:eastAsia="zh-CN" w:bidi="ar"/>
              </w:rPr>
              <w:t>4.04 (1.99–8.19)</w:t>
            </w:r>
          </w:p>
        </w:tc>
      </w:tr>
    </w:tbl>
    <w:p w:rsidR="003545C9" w:rsidRPr="003545C9" w:rsidRDefault="003545C9">
      <w:pPr>
        <w:spacing w:after="0" w:line="240" w:lineRule="auto"/>
        <w:rPr>
          <w:rFonts w:ascii="Times New Roman" w:eastAsia="宋体" w:hAnsi="Times New Roman" w:cs="Times New Roman" w:hint="eastAsia"/>
          <w:lang w:eastAsia="zh-CN"/>
        </w:rPr>
      </w:pPr>
      <w:r>
        <w:rPr>
          <w:rFonts w:ascii="Times New Roman" w:eastAsia="宋体" w:hAnsi="Times New Roman" w:cs="Times New Roman"/>
          <w:lang w:eastAsia="zh-CN"/>
        </w:rPr>
        <w:t xml:space="preserve">CI= confidence interval; CVD= cardiovascular disease; HR= hazard ratio; </w:t>
      </w:r>
      <w:r>
        <w:rPr>
          <w:rFonts w:ascii="Times New Roman" w:eastAsia="等线" w:hAnsi="Times New Roman" w:cs="Times New Roman"/>
          <w:kern w:val="2"/>
          <w:sz w:val="24"/>
          <w:szCs w:val="24"/>
          <w:lang w:eastAsia="zh-CN" w:bidi="ar"/>
        </w:rPr>
        <w:t>NAFLD, non-alcoholic fatty liver disease</w:t>
      </w:r>
    </w:p>
    <w:p w:rsidR="00122B43" w:rsidRDefault="00000000">
      <w:pPr>
        <w:spacing w:after="0" w:line="240" w:lineRule="auto"/>
        <w:rPr>
          <w:rFonts w:ascii="Times New Roman" w:eastAsia="宋体" w:hAnsi="Times New Roman" w:cs="Times New Roman"/>
          <w:lang w:eastAsia="zh-CN"/>
        </w:rPr>
      </w:pPr>
      <w:r>
        <w:rPr>
          <w:rFonts w:ascii="Times New Roman" w:eastAsia="宋体" w:hAnsi="Times New Roman" w:cs="Times New Roman"/>
          <w:lang w:eastAsia="zh-CN"/>
        </w:rPr>
        <w:t>Hazard ratios were estimated using Cox proportional hazards models (all-cause mortality) and Fine–Gray subdistribution hazard models (CVD and cancer mortality). All models were adjusted for age and sex.</w:t>
      </w:r>
    </w:p>
    <w:p w:rsidR="00122B43" w:rsidRDefault="00000000">
      <w:pPr>
        <w:spacing w:after="0" w:line="240" w:lineRule="auto"/>
        <w:rPr>
          <w:rFonts w:ascii="Times New Roman" w:eastAsia="宋体" w:hAnsi="Times New Roman" w:cs="Times New Roman"/>
          <w:lang w:eastAsia="zh-CN"/>
        </w:rPr>
      </w:pPr>
      <w:r>
        <w:rPr>
          <w:rFonts w:ascii="Times New Roman" w:eastAsia="宋体" w:hAnsi="Times New Roman" w:cs="Times New Roman"/>
          <w:lang w:eastAsia="zh-CN"/>
        </w:rPr>
        <w:t>Cancer mortality was not estimable for some combinations because of insufficient events</w:t>
      </w:r>
    </w:p>
    <w:p w:rsidR="00122B43" w:rsidRDefault="00122B43">
      <w:pPr>
        <w:rPr>
          <w:rFonts w:eastAsia="宋体" w:hint="eastAsia"/>
          <w:lang w:eastAsia="zh-CN"/>
        </w:rPr>
        <w:sectPr w:rsidR="00122B43">
          <w:pgSz w:w="15840" w:h="12240" w:orient="landscape"/>
          <w:pgMar w:top="1800" w:right="1440" w:bottom="1800" w:left="1440" w:header="720" w:footer="720" w:gutter="0"/>
          <w:cols w:space="720"/>
          <w:docGrid w:linePitch="360"/>
        </w:sectPr>
      </w:pPr>
    </w:p>
    <w:p w:rsidR="00122B43" w:rsidRDefault="00000000">
      <w:pPr>
        <w:rPr>
          <w:rFonts w:eastAsia="宋体"/>
          <w:lang w:eastAsia="zh-CN"/>
        </w:rPr>
      </w:pPr>
      <w:r>
        <w:rPr>
          <w:noProof/>
        </w:rPr>
        <w:lastRenderedPageBreak/>
        <w:drawing>
          <wp:anchor distT="0" distB="0" distL="114300" distR="114300" simplePos="0" relativeHeight="251659264" behindDoc="0" locked="0" layoutInCell="1" allowOverlap="1">
            <wp:simplePos x="0" y="0"/>
            <wp:positionH relativeFrom="column">
              <wp:posOffset>389890</wp:posOffset>
            </wp:positionH>
            <wp:positionV relativeFrom="paragraph">
              <wp:posOffset>0</wp:posOffset>
            </wp:positionV>
            <wp:extent cx="4706620" cy="3717290"/>
            <wp:effectExtent l="0" t="0" r="8255" b="698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706620" cy="3717290"/>
                    </a:xfrm>
                    <a:prstGeom prst="rect">
                      <a:avLst/>
                    </a:prstGeom>
                    <a:noFill/>
                    <a:ln>
                      <a:noFill/>
                    </a:ln>
                  </pic:spPr>
                </pic:pic>
              </a:graphicData>
            </a:graphic>
          </wp:anchor>
        </w:drawing>
      </w:r>
    </w:p>
    <w:p w:rsidR="00122B43" w:rsidRDefault="00000000">
      <w:pPr>
        <w:pStyle w:val="1"/>
        <w:jc w:val="center"/>
        <w:rPr>
          <w:rFonts w:ascii="Times New Roman" w:eastAsia="宋体" w:hAnsi="Times New Roman" w:cs="Times New Roman"/>
          <w:color w:val="auto"/>
          <w:sz w:val="21"/>
          <w:szCs w:val="21"/>
          <w:lang w:eastAsia="zh-CN"/>
        </w:rPr>
      </w:pPr>
      <w:r>
        <w:rPr>
          <w:rFonts w:ascii="Times New Roman" w:eastAsia="宋体" w:hAnsi="Times New Roman" w:cs="Times New Roman" w:hint="eastAsia"/>
          <w:color w:val="auto"/>
          <w:sz w:val="21"/>
          <w:szCs w:val="21"/>
          <w:lang w:eastAsia="zh-CN"/>
        </w:rPr>
        <w:t>Figure</w:t>
      </w:r>
      <w:r>
        <w:rPr>
          <w:rFonts w:ascii="Times New Roman" w:hAnsi="Times New Roman" w:cs="Times New Roman"/>
          <w:color w:val="auto"/>
          <w:sz w:val="21"/>
          <w:szCs w:val="21"/>
        </w:rPr>
        <w:t xml:space="preserve"> S</w:t>
      </w:r>
      <w:r>
        <w:rPr>
          <w:rFonts w:ascii="Times New Roman" w:eastAsia="宋体" w:hAnsi="Times New Roman" w:cs="Times New Roman" w:hint="eastAsia"/>
          <w:color w:val="auto"/>
          <w:sz w:val="21"/>
          <w:szCs w:val="21"/>
          <w:lang w:eastAsia="zh-CN"/>
        </w:rPr>
        <w:t>1</w:t>
      </w:r>
      <w:r>
        <w:rPr>
          <w:rFonts w:ascii="Times New Roman" w:hAnsi="Times New Roman" w:cs="Times New Roman"/>
          <w:color w:val="auto"/>
          <w:sz w:val="21"/>
          <w:szCs w:val="21"/>
        </w:rPr>
        <w:t>. Participant flow diagram</w:t>
      </w:r>
    </w:p>
    <w:p w:rsidR="00122B43" w:rsidRDefault="00122B43">
      <w:pPr>
        <w:rPr>
          <w:rFonts w:eastAsia="宋体"/>
          <w:lang w:eastAsia="zh-CN"/>
        </w:rPr>
      </w:pPr>
    </w:p>
    <w:sectPr w:rsidR="00122B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DD9" w:rsidRDefault="00E54DD9">
      <w:pPr>
        <w:spacing w:line="240" w:lineRule="auto"/>
      </w:pPr>
      <w:r>
        <w:separator/>
      </w:r>
    </w:p>
  </w:endnote>
  <w:endnote w:type="continuationSeparator" w:id="0">
    <w:p w:rsidR="00E54DD9" w:rsidRDefault="00E54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Calibri"/>
    <w:panose1 w:val="02020609040205080304"/>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DD9" w:rsidRDefault="00E54DD9">
      <w:pPr>
        <w:spacing w:after="0"/>
      </w:pPr>
      <w:r>
        <w:separator/>
      </w:r>
    </w:p>
  </w:footnote>
  <w:footnote w:type="continuationSeparator" w:id="0">
    <w:p w:rsidR="00E54DD9" w:rsidRDefault="00E54DD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1664237814">
    <w:abstractNumId w:val="1"/>
  </w:num>
  <w:num w:numId="2" w16cid:durableId="2026905238">
    <w:abstractNumId w:val="4"/>
  </w:num>
  <w:num w:numId="3" w16cid:durableId="525214950">
    <w:abstractNumId w:val="5"/>
  </w:num>
  <w:num w:numId="4" w16cid:durableId="1461070680">
    <w:abstractNumId w:val="2"/>
  </w:num>
  <w:num w:numId="5" w16cid:durableId="2038696271">
    <w:abstractNumId w:val="0"/>
  </w:num>
  <w:num w:numId="6" w16cid:durableId="831486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6C21"/>
    <w:rsid w:val="00033376"/>
    <w:rsid w:val="00034616"/>
    <w:rsid w:val="0004722C"/>
    <w:rsid w:val="0006063C"/>
    <w:rsid w:val="000840D5"/>
    <w:rsid w:val="000A6FC8"/>
    <w:rsid w:val="000C658F"/>
    <w:rsid w:val="00122B43"/>
    <w:rsid w:val="0015074B"/>
    <w:rsid w:val="00167A85"/>
    <w:rsid w:val="001B1BC8"/>
    <w:rsid w:val="001B38B4"/>
    <w:rsid w:val="001B56C4"/>
    <w:rsid w:val="001F2833"/>
    <w:rsid w:val="00224E51"/>
    <w:rsid w:val="00277791"/>
    <w:rsid w:val="00283C74"/>
    <w:rsid w:val="0029639D"/>
    <w:rsid w:val="002E6903"/>
    <w:rsid w:val="002F4182"/>
    <w:rsid w:val="003216E8"/>
    <w:rsid w:val="00326F90"/>
    <w:rsid w:val="00335922"/>
    <w:rsid w:val="003469FD"/>
    <w:rsid w:val="003545C9"/>
    <w:rsid w:val="00364C2C"/>
    <w:rsid w:val="003D286C"/>
    <w:rsid w:val="003F09F8"/>
    <w:rsid w:val="003F664D"/>
    <w:rsid w:val="004453C0"/>
    <w:rsid w:val="00453E8F"/>
    <w:rsid w:val="004B5E74"/>
    <w:rsid w:val="004E33E0"/>
    <w:rsid w:val="004F7933"/>
    <w:rsid w:val="00530039"/>
    <w:rsid w:val="00575AE1"/>
    <w:rsid w:val="005D5AB1"/>
    <w:rsid w:val="006006F7"/>
    <w:rsid w:val="00652F48"/>
    <w:rsid w:val="006574D1"/>
    <w:rsid w:val="00672792"/>
    <w:rsid w:val="006907E6"/>
    <w:rsid w:val="00693DA8"/>
    <w:rsid w:val="00721AFF"/>
    <w:rsid w:val="007D0D08"/>
    <w:rsid w:val="007F3059"/>
    <w:rsid w:val="00817996"/>
    <w:rsid w:val="008337BF"/>
    <w:rsid w:val="008460C6"/>
    <w:rsid w:val="0087200B"/>
    <w:rsid w:val="00893F78"/>
    <w:rsid w:val="00895791"/>
    <w:rsid w:val="008A2903"/>
    <w:rsid w:val="00975751"/>
    <w:rsid w:val="00990174"/>
    <w:rsid w:val="00995E7F"/>
    <w:rsid w:val="009F5905"/>
    <w:rsid w:val="00A85DB7"/>
    <w:rsid w:val="00A97889"/>
    <w:rsid w:val="00AA1D8D"/>
    <w:rsid w:val="00AA52D4"/>
    <w:rsid w:val="00AD7A51"/>
    <w:rsid w:val="00B47730"/>
    <w:rsid w:val="00B67CEE"/>
    <w:rsid w:val="00B75F2B"/>
    <w:rsid w:val="00B926F5"/>
    <w:rsid w:val="00BA2655"/>
    <w:rsid w:val="00BF7150"/>
    <w:rsid w:val="00C317DA"/>
    <w:rsid w:val="00C37442"/>
    <w:rsid w:val="00CA747C"/>
    <w:rsid w:val="00CB0664"/>
    <w:rsid w:val="00CB0DB3"/>
    <w:rsid w:val="00D014CF"/>
    <w:rsid w:val="00D06A1B"/>
    <w:rsid w:val="00D73719"/>
    <w:rsid w:val="00D7796A"/>
    <w:rsid w:val="00DA72C5"/>
    <w:rsid w:val="00DD66BE"/>
    <w:rsid w:val="00E30D88"/>
    <w:rsid w:val="00E54DD9"/>
    <w:rsid w:val="00E63ED0"/>
    <w:rsid w:val="00E91950"/>
    <w:rsid w:val="00EA379F"/>
    <w:rsid w:val="00EB0723"/>
    <w:rsid w:val="00ED11A6"/>
    <w:rsid w:val="00EF4BF0"/>
    <w:rsid w:val="00F00BAA"/>
    <w:rsid w:val="00FC693F"/>
    <w:rsid w:val="00FD2F4A"/>
    <w:rsid w:val="00FE2D1B"/>
    <w:rsid w:val="17821D6A"/>
    <w:rsid w:val="1C256201"/>
    <w:rsid w:val="1EA07C68"/>
    <w:rsid w:val="286D234D"/>
    <w:rsid w:val="31D50622"/>
    <w:rsid w:val="3FA82B86"/>
    <w:rsid w:val="49382317"/>
    <w:rsid w:val="4ABE3606"/>
    <w:rsid w:val="4BE216C0"/>
    <w:rsid w:val="57E67794"/>
    <w:rsid w:val="623624FA"/>
    <w:rsid w:val="70234FBE"/>
    <w:rsid w:val="77870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4FC0CAC"/>
  <w14:defaultImageDpi w14:val="300"/>
  <w15:docId w15:val="{7AC0942F-E404-466C-AFA8-9CD12A24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rFonts w:asciiTheme="minorHAnsi" w:eastAsiaTheme="minorEastAsia" w:hAnsiTheme="minorHAnsi" w:cstheme="minorBidi"/>
      <w:sz w:val="22"/>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paragraph" w:styleId="33">
    <w:name w:val="List 3"/>
    <w:basedOn w:val="a1"/>
    <w:uiPriority w:val="99"/>
    <w:unhideWhenUsed/>
    <w:qFormat/>
    <w:pPr>
      <w:ind w:left="1080" w:hanging="360"/>
      <w:contextualSpacing/>
    </w:pPr>
  </w:style>
  <w:style w:type="paragraph" w:styleId="2">
    <w:name w:val="List Number 2"/>
    <w:basedOn w:val="a1"/>
    <w:uiPriority w:val="99"/>
    <w:unhideWhenUsed/>
    <w:qFormat/>
    <w:pPr>
      <w:numPr>
        <w:numId w:val="1"/>
      </w:numPr>
      <w:contextualSpacing/>
    </w:pPr>
  </w:style>
  <w:style w:type="paragraph" w:styleId="a">
    <w:name w:val="List Number"/>
    <w:basedOn w:val="a1"/>
    <w:uiPriority w:val="99"/>
    <w:unhideWhenUsed/>
    <w:qFormat/>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qFormat/>
    <w:pPr>
      <w:numPr>
        <w:numId w:val="3"/>
      </w:numPr>
      <w:contextualSpacing/>
    </w:pPr>
  </w:style>
  <w:style w:type="paragraph" w:styleId="34">
    <w:name w:val="Body Text 3"/>
    <w:basedOn w:val="a1"/>
    <w:link w:val="35"/>
    <w:uiPriority w:val="99"/>
    <w:unhideWhenUsed/>
    <w:qFormat/>
    <w:pPr>
      <w:spacing w:after="120"/>
    </w:pPr>
    <w:rPr>
      <w:sz w:val="16"/>
      <w:szCs w:val="16"/>
    </w:rPr>
  </w:style>
  <w:style w:type="paragraph" w:styleId="30">
    <w:name w:val="List Bullet 3"/>
    <w:basedOn w:val="a1"/>
    <w:uiPriority w:val="99"/>
    <w:unhideWhenUsed/>
    <w:qFormat/>
    <w:pPr>
      <w:numPr>
        <w:numId w:val="4"/>
      </w:numPr>
      <w:contextualSpacing/>
    </w:pPr>
  </w:style>
  <w:style w:type="paragraph" w:styleId="a8">
    <w:name w:val="Body Text"/>
    <w:basedOn w:val="a1"/>
    <w:link w:val="a9"/>
    <w:uiPriority w:val="99"/>
    <w:unhideWhenUsed/>
    <w:qFormat/>
    <w:pPr>
      <w:spacing w:after="120"/>
    </w:pPr>
  </w:style>
  <w:style w:type="paragraph" w:styleId="3">
    <w:name w:val="List Number 3"/>
    <w:basedOn w:val="a1"/>
    <w:uiPriority w:val="99"/>
    <w:unhideWhenUsed/>
    <w:qFormat/>
    <w:pPr>
      <w:numPr>
        <w:numId w:val="5"/>
      </w:numPr>
      <w:contextualSpacing/>
    </w:pPr>
  </w:style>
  <w:style w:type="paragraph" w:styleId="23">
    <w:name w:val="List 2"/>
    <w:basedOn w:val="a1"/>
    <w:uiPriority w:val="99"/>
    <w:unhideWhenUsed/>
    <w:qFormat/>
    <w:pPr>
      <w:ind w:left="720" w:hanging="360"/>
      <w:contextualSpacing/>
    </w:pPr>
  </w:style>
  <w:style w:type="paragraph" w:styleId="aa">
    <w:name w:val="List Continue"/>
    <w:basedOn w:val="a1"/>
    <w:uiPriority w:val="99"/>
    <w:unhideWhenUsed/>
    <w:qFormat/>
    <w:pPr>
      <w:spacing w:after="120"/>
      <w:ind w:left="360"/>
      <w:contextualSpacing/>
    </w:pPr>
  </w:style>
  <w:style w:type="paragraph" w:styleId="20">
    <w:name w:val="List Bullet 2"/>
    <w:basedOn w:val="a1"/>
    <w:uiPriority w:val="99"/>
    <w:unhideWhenUsed/>
    <w:qFormat/>
    <w:pPr>
      <w:numPr>
        <w:numId w:val="6"/>
      </w:numPr>
      <w:contextualSpacing/>
    </w:pPr>
  </w:style>
  <w:style w:type="paragraph" w:styleId="ab">
    <w:name w:val="endnote text"/>
    <w:basedOn w:val="a1"/>
    <w:link w:val="ac"/>
    <w:uiPriority w:val="99"/>
    <w:semiHidden/>
    <w:unhideWhenUsed/>
    <w:qFormat/>
    <w:pPr>
      <w:snapToGrid w:val="0"/>
    </w:pPr>
  </w:style>
  <w:style w:type="paragraph" w:styleId="ad">
    <w:name w:val="footer"/>
    <w:basedOn w:val="a1"/>
    <w:link w:val="ae"/>
    <w:uiPriority w:val="99"/>
    <w:unhideWhenUsed/>
    <w:qFormat/>
    <w:pPr>
      <w:tabs>
        <w:tab w:val="center" w:pos="4680"/>
        <w:tab w:val="right" w:pos="9360"/>
      </w:tabs>
      <w:spacing w:after="0" w:line="240" w:lineRule="auto"/>
    </w:pPr>
  </w:style>
  <w:style w:type="paragraph" w:styleId="af">
    <w:name w:val="header"/>
    <w:basedOn w:val="a1"/>
    <w:link w:val="af0"/>
    <w:uiPriority w:val="99"/>
    <w:unhideWhenUsed/>
    <w:qFormat/>
    <w:pPr>
      <w:tabs>
        <w:tab w:val="center" w:pos="4680"/>
        <w:tab w:val="right" w:pos="9360"/>
      </w:tabs>
      <w:spacing w:after="0" w:line="240" w:lineRule="auto"/>
    </w:pPr>
  </w:style>
  <w:style w:type="paragraph" w:styleId="TOC1">
    <w:name w:val="toc 1"/>
    <w:basedOn w:val="a1"/>
    <w:next w:val="a1"/>
    <w:autoRedefine/>
    <w:uiPriority w:val="39"/>
    <w:unhideWhenUsed/>
    <w:qFormat/>
  </w:style>
  <w:style w:type="paragraph" w:styleId="af1">
    <w:name w:val="Subtitle"/>
    <w:basedOn w:val="a1"/>
    <w:next w:val="a1"/>
    <w:link w:val="af2"/>
    <w:uiPriority w:val="11"/>
    <w:qFormat/>
    <w:rPr>
      <w:rFonts w:asciiTheme="majorHAnsi" w:eastAsiaTheme="majorEastAsia" w:hAnsiTheme="majorHAnsi" w:cstheme="majorBidi"/>
      <w:i/>
      <w:iCs/>
      <w:color w:val="4F81BD" w:themeColor="accent1"/>
      <w:spacing w:val="15"/>
      <w:sz w:val="24"/>
      <w:szCs w:val="24"/>
    </w:rPr>
  </w:style>
  <w:style w:type="paragraph" w:styleId="af3">
    <w:name w:val="List"/>
    <w:basedOn w:val="a1"/>
    <w:uiPriority w:val="99"/>
    <w:unhideWhenUsed/>
    <w:qFormat/>
    <w:pPr>
      <w:ind w:left="360" w:hanging="360"/>
      <w:contextualSpacing/>
    </w:pPr>
  </w:style>
  <w:style w:type="paragraph" w:styleId="24">
    <w:name w:val="Body Text 2"/>
    <w:basedOn w:val="a1"/>
    <w:link w:val="25"/>
    <w:uiPriority w:val="99"/>
    <w:unhideWhenUsed/>
    <w:qFormat/>
    <w:pPr>
      <w:spacing w:after="120" w:line="480" w:lineRule="auto"/>
    </w:pPr>
  </w:style>
  <w:style w:type="paragraph" w:styleId="26">
    <w:name w:val="List Continue 2"/>
    <w:basedOn w:val="a1"/>
    <w:uiPriority w:val="99"/>
    <w:unhideWhenUsed/>
    <w:qFormat/>
    <w:pPr>
      <w:spacing w:after="120"/>
      <w:ind w:left="720"/>
      <w:contextualSpacing/>
    </w:pPr>
  </w:style>
  <w:style w:type="paragraph" w:styleId="36">
    <w:name w:val="List Continue 3"/>
    <w:basedOn w:val="a1"/>
    <w:uiPriority w:val="99"/>
    <w:unhideWhenUsed/>
    <w:qFormat/>
    <w:pPr>
      <w:spacing w:after="120"/>
      <w:ind w:left="1080"/>
      <w:contextualSpacing/>
    </w:pPr>
  </w:style>
  <w:style w:type="paragraph" w:styleId="af4">
    <w:name w:val="Title"/>
    <w:basedOn w:val="a1"/>
    <w:next w:val="a1"/>
    <w:link w:val="af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6">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Light Shading"/>
    <w:basedOn w:val="a3"/>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8">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9">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a">
    <w:name w:val="Dark List"/>
    <w:basedOn w:val="a3"/>
    <w:uiPriority w:val="70"/>
    <w:qFormat/>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b">
    <w:name w:val="Colorful Shading"/>
    <w:basedOn w:val="a3"/>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c">
    <w:name w:val="Colorful List"/>
    <w:basedOn w:val="a3"/>
    <w:uiPriority w:val="72"/>
    <w:qFormat/>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d">
    <w:name w:val="Colorful Grid"/>
    <w:basedOn w:val="a3"/>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e">
    <w:name w:val="Strong"/>
    <w:basedOn w:val="a2"/>
    <w:uiPriority w:val="22"/>
    <w:qFormat/>
    <w:rPr>
      <w:b/>
      <w:bCs/>
    </w:rPr>
  </w:style>
  <w:style w:type="character" w:styleId="aff">
    <w:name w:val="endnote reference"/>
    <w:basedOn w:val="a2"/>
    <w:uiPriority w:val="99"/>
    <w:semiHidden/>
    <w:unhideWhenUsed/>
    <w:qFormat/>
    <w:rPr>
      <w:vertAlign w:val="superscript"/>
    </w:rPr>
  </w:style>
  <w:style w:type="character" w:styleId="aff0">
    <w:name w:val="Emphasis"/>
    <w:basedOn w:val="a2"/>
    <w:uiPriority w:val="20"/>
    <w:qFormat/>
    <w:rPr>
      <w:i/>
      <w:iCs/>
    </w:rPr>
  </w:style>
  <w:style w:type="character" w:styleId="aff1">
    <w:name w:val="Hyperlink"/>
    <w:basedOn w:val="a2"/>
    <w:uiPriority w:val="99"/>
    <w:unhideWhenUsed/>
    <w:qFormat/>
    <w:rPr>
      <w:color w:val="0000FF" w:themeColor="hyperlink"/>
      <w:u w:val="single"/>
    </w:rPr>
  </w:style>
  <w:style w:type="character" w:customStyle="1" w:styleId="10">
    <w:name w:val="标题 1 字符"/>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af0">
    <w:name w:val="页眉 字符"/>
    <w:basedOn w:val="a2"/>
    <w:link w:val="af"/>
    <w:uiPriority w:val="99"/>
    <w:qFormat/>
  </w:style>
  <w:style w:type="character" w:customStyle="1" w:styleId="ae">
    <w:name w:val="页脚 字符"/>
    <w:basedOn w:val="a2"/>
    <w:link w:val="ad"/>
    <w:uiPriority w:val="99"/>
    <w:qFormat/>
  </w:style>
  <w:style w:type="paragraph" w:styleId="aff2">
    <w:name w:val="No Spacing"/>
    <w:uiPriority w:val="1"/>
    <w:qFormat/>
    <w:rPr>
      <w:rFonts w:asciiTheme="minorHAnsi" w:eastAsiaTheme="minorEastAsia" w:hAnsiTheme="minorHAnsi" w:cstheme="minorBidi"/>
      <w:sz w:val="22"/>
      <w:szCs w:val="22"/>
      <w:lang w:eastAsia="en-US"/>
    </w:rPr>
  </w:style>
  <w:style w:type="character" w:customStyle="1" w:styleId="22">
    <w:name w:val="标题 2 字符"/>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qFormat/>
    <w:rPr>
      <w:rFonts w:asciiTheme="majorHAnsi" w:eastAsiaTheme="majorEastAsia" w:hAnsiTheme="majorHAnsi" w:cstheme="majorBidi"/>
      <w:b/>
      <w:bCs/>
      <w:color w:val="4F81BD" w:themeColor="accent1"/>
    </w:rPr>
  </w:style>
  <w:style w:type="character" w:customStyle="1" w:styleId="af5">
    <w:name w:val="标题 字符"/>
    <w:basedOn w:val="a2"/>
    <w:link w:val="af4"/>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2">
    <w:name w:val="副标题 字符"/>
    <w:basedOn w:val="a2"/>
    <w:link w:val="af1"/>
    <w:uiPriority w:val="11"/>
    <w:qFormat/>
    <w:rPr>
      <w:rFonts w:asciiTheme="majorHAnsi" w:eastAsiaTheme="majorEastAsia" w:hAnsiTheme="majorHAnsi" w:cstheme="majorBidi"/>
      <w:i/>
      <w:iCs/>
      <w:color w:val="4F81BD" w:themeColor="accent1"/>
      <w:spacing w:val="15"/>
      <w:sz w:val="24"/>
      <w:szCs w:val="24"/>
    </w:rPr>
  </w:style>
  <w:style w:type="paragraph" w:styleId="aff3">
    <w:name w:val="List Paragraph"/>
    <w:basedOn w:val="a1"/>
    <w:uiPriority w:val="34"/>
    <w:qFormat/>
    <w:pPr>
      <w:ind w:left="720"/>
      <w:contextualSpacing/>
    </w:pPr>
  </w:style>
  <w:style w:type="character" w:customStyle="1" w:styleId="a9">
    <w:name w:val="正文文本 字符"/>
    <w:basedOn w:val="a2"/>
    <w:link w:val="a8"/>
    <w:uiPriority w:val="99"/>
    <w:qFormat/>
  </w:style>
  <w:style w:type="character" w:customStyle="1" w:styleId="25">
    <w:name w:val="正文文本 2 字符"/>
    <w:basedOn w:val="a2"/>
    <w:link w:val="24"/>
    <w:uiPriority w:val="99"/>
    <w:qFormat/>
  </w:style>
  <w:style w:type="character" w:customStyle="1" w:styleId="35">
    <w:name w:val="正文文本 3 字符"/>
    <w:basedOn w:val="a2"/>
    <w:link w:val="34"/>
    <w:uiPriority w:val="99"/>
    <w:qFormat/>
    <w:rPr>
      <w:sz w:val="16"/>
      <w:szCs w:val="16"/>
    </w:rPr>
  </w:style>
  <w:style w:type="character" w:customStyle="1" w:styleId="a6">
    <w:name w:val="宏文本 字符"/>
    <w:basedOn w:val="a2"/>
    <w:link w:val="a5"/>
    <w:uiPriority w:val="99"/>
    <w:qFormat/>
    <w:rPr>
      <w:rFonts w:ascii="Courier" w:hAnsi="Courier"/>
      <w:sz w:val="20"/>
      <w:szCs w:val="20"/>
    </w:rPr>
  </w:style>
  <w:style w:type="paragraph" w:styleId="aff4">
    <w:name w:val="Quote"/>
    <w:basedOn w:val="a1"/>
    <w:next w:val="a1"/>
    <w:link w:val="aff5"/>
    <w:uiPriority w:val="29"/>
    <w:qFormat/>
    <w:rPr>
      <w:i/>
      <w:iCs/>
      <w:color w:val="000000" w:themeColor="text1"/>
    </w:rPr>
  </w:style>
  <w:style w:type="character" w:customStyle="1" w:styleId="aff5">
    <w:name w:val="引用 字符"/>
    <w:basedOn w:val="a2"/>
    <w:link w:val="aff4"/>
    <w:uiPriority w:val="29"/>
    <w:qFormat/>
    <w:rPr>
      <w:i/>
      <w:iCs/>
      <w:color w:val="000000" w:themeColor="text1"/>
    </w:rPr>
  </w:style>
  <w:style w:type="character" w:customStyle="1" w:styleId="40">
    <w:name w:val="标题 4 字符"/>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f6">
    <w:name w:val="Intense Quote"/>
    <w:basedOn w:val="a1"/>
    <w:next w:val="a1"/>
    <w:link w:val="aff7"/>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7">
    <w:name w:val="明显引用 字符"/>
    <w:basedOn w:val="a2"/>
    <w:link w:val="aff6"/>
    <w:uiPriority w:val="30"/>
    <w:qFormat/>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0">
    <w:name w:val="TOC 标题1"/>
    <w:basedOn w:val="1"/>
    <w:next w:val="a1"/>
    <w:uiPriority w:val="39"/>
    <w:semiHidden/>
    <w:unhideWhenUsed/>
    <w:qFormat/>
    <w:pPr>
      <w:outlineLvl w:val="9"/>
    </w:pPr>
  </w:style>
  <w:style w:type="paragraph" w:customStyle="1" w:styleId="TableNote">
    <w:name w:val="TableNote"/>
    <w:basedOn w:val="a1"/>
    <w:qFormat/>
    <w:pPr>
      <w:spacing w:after="0" w:line="300" w:lineRule="exact"/>
    </w:pPr>
    <w:rPr>
      <w:rFonts w:ascii="Times New Roman" w:hAnsi="Times New Roman" w:cs="Times New Roman"/>
      <w:sz w:val="24"/>
      <w:szCs w:val="20"/>
      <w:lang w:val="en-GB"/>
    </w:rPr>
  </w:style>
  <w:style w:type="paragraph" w:customStyle="1" w:styleId="TableTitle">
    <w:name w:val="TableTitle"/>
    <w:basedOn w:val="a1"/>
    <w:qFormat/>
    <w:pPr>
      <w:spacing w:after="0" w:line="300" w:lineRule="exact"/>
    </w:pPr>
    <w:rPr>
      <w:rFonts w:ascii="Times New Roman" w:hAnsi="Times New Roman" w:cs="Times New Roman"/>
      <w:sz w:val="24"/>
      <w:szCs w:val="20"/>
      <w:lang w:val="en-GB"/>
    </w:rPr>
  </w:style>
  <w:style w:type="character" w:customStyle="1" w:styleId="URL">
    <w:name w:val="URL"/>
    <w:basedOn w:val="a2"/>
    <w:qFormat/>
    <w:rPr>
      <w:color w:val="666699"/>
    </w:rPr>
  </w:style>
  <w:style w:type="paragraph" w:customStyle="1" w:styleId="TableHeader">
    <w:name w:val="TableHeader"/>
    <w:basedOn w:val="a1"/>
    <w:qFormat/>
    <w:pPr>
      <w:spacing w:before="120" w:after="0" w:line="240" w:lineRule="auto"/>
    </w:pPr>
    <w:rPr>
      <w:rFonts w:ascii="Times New Roman" w:hAnsi="Times New Roman" w:cs="Times New Roman"/>
      <w:b/>
      <w:sz w:val="24"/>
      <w:szCs w:val="20"/>
      <w:lang w:val="en-GB"/>
    </w:rPr>
  </w:style>
  <w:style w:type="paragraph" w:customStyle="1" w:styleId="TableSubHead">
    <w:name w:val="TableSubHead"/>
    <w:basedOn w:val="TableHeader"/>
    <w:qFormat/>
  </w:style>
  <w:style w:type="paragraph" w:customStyle="1" w:styleId="TOC2">
    <w:name w:val="TOC 标题2"/>
    <w:basedOn w:val="1"/>
    <w:next w:val="a1"/>
    <w:uiPriority w:val="39"/>
    <w:unhideWhenUsed/>
    <w:qFormat/>
    <w:pPr>
      <w:spacing w:before="240" w:line="259" w:lineRule="auto"/>
      <w:outlineLvl w:val="9"/>
    </w:pPr>
    <w:rPr>
      <w:b w:val="0"/>
      <w:bCs w:val="0"/>
      <w:sz w:val="32"/>
      <w:szCs w:val="32"/>
      <w:lang w:eastAsia="zh-CN"/>
    </w:rPr>
  </w:style>
  <w:style w:type="character" w:customStyle="1" w:styleId="ac">
    <w:name w:val="尾注文本 字符"/>
    <w:basedOn w:val="a2"/>
    <w:link w:val="ab"/>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742</Words>
  <Characters>4320</Characters>
  <Application>Microsoft Office Word</Application>
  <DocSecurity>0</DocSecurity>
  <Lines>172</Lines>
  <Paragraphs>126</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xianhui ran</cp:lastModifiedBy>
  <cp:revision>51</cp:revision>
  <cp:lastPrinted>2025-04-18T03:37:00Z</cp:lastPrinted>
  <dcterms:created xsi:type="dcterms:W3CDTF">2025-04-08T11:19:00Z</dcterms:created>
  <dcterms:modified xsi:type="dcterms:W3CDTF">2026-02-12T02:51:00Z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eyJoZGlkIjoiNjE5ZTUwNzgyZTg4ZGE4NmNkYjQ4YzZkY2Q3Y2RiZjgiLCJ1c2VySWQiOiIxMTUzNTcwNTcxIn0=</vt:lpwstr>
  </property>
  <property fmtid="{D5CDD505-2E9C-101B-9397-08002B2CF9AE}" pid="3" name="KSOProductBuildVer">
    <vt:lpwstr>2052-12.1.0.24657</vt:lpwstr>
  </property>
  <property fmtid="{D5CDD505-2E9C-101B-9397-08002B2CF9AE}" pid="4" name="ICV">
    <vt:lpwstr>BC5551EE61804C929935793FF5CB5546_12</vt:lpwstr>
  </property>
</Properties>
</file>