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A73E3" w14:textId="3627B62B" w:rsidR="002517B7" w:rsidRPr="00754587" w:rsidRDefault="002517B7" w:rsidP="005243A4">
      <w:pPr>
        <w:pStyle w:val="Title2"/>
        <w:spacing w:line="360" w:lineRule="auto"/>
        <w:jc w:val="center"/>
        <w:rPr>
          <w:rFonts w:ascii="Arial" w:hAnsi="Arial" w:cs="Arial"/>
          <w:b w:val="0"/>
          <w:sz w:val="32"/>
          <w:szCs w:val="32"/>
        </w:rPr>
      </w:pPr>
      <w:r w:rsidRPr="00754587">
        <w:rPr>
          <w:rFonts w:ascii="Arial" w:hAnsi="Arial" w:cs="Arial"/>
          <w:b w:val="0"/>
          <w:sz w:val="32"/>
          <w:szCs w:val="32"/>
        </w:rPr>
        <w:t>Supporting Information</w:t>
      </w:r>
    </w:p>
    <w:p w14:paraId="418C9592" w14:textId="77777777" w:rsidR="002517B7" w:rsidRPr="00754587" w:rsidRDefault="002517B7" w:rsidP="002517B7">
      <w:pPr>
        <w:pStyle w:val="Tableofcontents"/>
        <w:spacing w:line="360" w:lineRule="auto"/>
        <w:rPr>
          <w:rFonts w:ascii="Arial" w:hAnsi="Arial" w:cs="Arial"/>
        </w:rPr>
      </w:pPr>
    </w:p>
    <w:p w14:paraId="4952CE2A" w14:textId="77777777" w:rsidR="002517B7" w:rsidRPr="00754587" w:rsidRDefault="002517B7" w:rsidP="002517B7">
      <w:pPr>
        <w:pStyle w:val="Title2"/>
        <w:spacing w:line="360" w:lineRule="auto"/>
        <w:rPr>
          <w:rFonts w:ascii="Arial" w:hAnsi="Arial" w:cs="Arial"/>
          <w:b w:val="0"/>
          <w:color w:val="FF0000"/>
        </w:rPr>
      </w:pPr>
      <w:r w:rsidRPr="00754587">
        <w:rPr>
          <w:rFonts w:ascii="Arial" w:hAnsi="Arial" w:cs="Arial"/>
          <w:lang w:val="en-GB"/>
        </w:rPr>
        <w:t>Transferrin-Functionalized Conjugated Polymer Nanoparticles for Enhanced Photodynamic Therapy of Glioblastoma</w:t>
      </w:r>
    </w:p>
    <w:p w14:paraId="08BC1015" w14:textId="77777777" w:rsidR="002517B7" w:rsidRPr="00754587" w:rsidRDefault="002517B7" w:rsidP="002517B7">
      <w:pPr>
        <w:pStyle w:val="Tableofcontents"/>
        <w:spacing w:line="360" w:lineRule="auto"/>
        <w:rPr>
          <w:rFonts w:ascii="Arial" w:hAnsi="Arial" w:cs="Arial"/>
        </w:rPr>
      </w:pPr>
    </w:p>
    <w:p w14:paraId="416B45EA" w14:textId="77777777" w:rsidR="00923127" w:rsidRPr="00923127" w:rsidRDefault="00923127" w:rsidP="00923127">
      <w:pPr>
        <w:pStyle w:val="Tableofcontents"/>
        <w:spacing w:line="360" w:lineRule="auto"/>
        <w:rPr>
          <w:rFonts w:ascii="Arial" w:hAnsi="Arial" w:cs="Arial"/>
          <w:i/>
          <w:lang w:val="es-AR"/>
        </w:rPr>
      </w:pPr>
      <w:r w:rsidRPr="00923127">
        <w:rPr>
          <w:rFonts w:ascii="Arial" w:hAnsi="Arial" w:cs="Arial"/>
          <w:i/>
          <w:lang w:val="es-AR"/>
        </w:rPr>
        <w:t>Matías Daniel Caverzan</w:t>
      </w:r>
      <w:r w:rsidRPr="00923127">
        <w:rPr>
          <w:rFonts w:ascii="Arial" w:hAnsi="Arial" w:cs="Arial"/>
          <w:i/>
          <w:vertAlign w:val="superscript"/>
          <w:lang w:val="es-AR"/>
        </w:rPr>
        <w:t>1,2</w:t>
      </w:r>
      <w:r w:rsidRPr="00923127">
        <w:rPr>
          <w:rFonts w:ascii="Arial" w:hAnsi="Arial" w:cs="Arial"/>
          <w:i/>
          <w:lang w:val="es-AR"/>
        </w:rPr>
        <w:t>, Bruno Agustín Cesca</w:t>
      </w:r>
      <w:r w:rsidRPr="00923127">
        <w:rPr>
          <w:rFonts w:ascii="Arial" w:hAnsi="Arial" w:cs="Arial"/>
          <w:i/>
          <w:vertAlign w:val="superscript"/>
          <w:lang w:val="es-AR"/>
        </w:rPr>
        <w:t>3</w:t>
      </w:r>
      <w:r w:rsidRPr="00923127">
        <w:rPr>
          <w:rFonts w:ascii="Arial" w:hAnsi="Arial" w:cs="Arial"/>
          <w:i/>
          <w:lang w:val="es-AR"/>
        </w:rPr>
        <w:t>, Rodrigo Emiliano Palacios</w:t>
      </w:r>
      <w:r w:rsidRPr="00923127">
        <w:rPr>
          <w:rFonts w:ascii="Arial" w:hAnsi="Arial" w:cs="Arial"/>
          <w:i/>
          <w:vertAlign w:val="superscript"/>
          <w:lang w:val="es-AR"/>
        </w:rPr>
        <w:t>1</w:t>
      </w:r>
      <w:r w:rsidRPr="00923127">
        <w:rPr>
          <w:rFonts w:ascii="Arial" w:hAnsi="Arial" w:cs="Arial"/>
          <w:i/>
          <w:lang w:val="es-AR"/>
        </w:rPr>
        <w:t>, Carlos Alberto Chesta</w:t>
      </w:r>
      <w:r w:rsidRPr="00923127">
        <w:rPr>
          <w:rFonts w:ascii="Arial" w:hAnsi="Arial" w:cs="Arial"/>
          <w:i/>
          <w:vertAlign w:val="superscript"/>
          <w:lang w:val="es-AR"/>
        </w:rPr>
        <w:t>1</w:t>
      </w:r>
      <w:r w:rsidRPr="00923127">
        <w:rPr>
          <w:rFonts w:ascii="Arial" w:hAnsi="Arial" w:cs="Arial"/>
          <w:i/>
          <w:lang w:val="es-AR"/>
        </w:rPr>
        <w:t>, Luis Exequiel Ibarra</w:t>
      </w:r>
      <w:r w:rsidRPr="00923127">
        <w:rPr>
          <w:rFonts w:ascii="Arial" w:hAnsi="Arial" w:cs="Arial"/>
          <w:i/>
          <w:vertAlign w:val="superscript"/>
          <w:lang w:val="es-AR"/>
        </w:rPr>
        <w:t>3,*</w:t>
      </w:r>
    </w:p>
    <w:p w14:paraId="6B78F9E3" w14:textId="77777777" w:rsidR="002517B7" w:rsidRPr="00923127" w:rsidRDefault="002517B7" w:rsidP="002517B7">
      <w:pPr>
        <w:pStyle w:val="Tableofcontents"/>
        <w:spacing w:line="360" w:lineRule="auto"/>
        <w:rPr>
          <w:rFonts w:ascii="Arial" w:hAnsi="Arial" w:cs="Arial"/>
          <w:lang w:val="es-AR"/>
        </w:rPr>
      </w:pPr>
    </w:p>
    <w:p w14:paraId="1B1763DE" w14:textId="77777777" w:rsidR="002517B7" w:rsidRPr="00754587" w:rsidRDefault="002517B7" w:rsidP="002517B7">
      <w:pPr>
        <w:pStyle w:val="Tableofcontents"/>
        <w:spacing w:line="360" w:lineRule="auto"/>
        <w:rPr>
          <w:rFonts w:ascii="Arial" w:hAnsi="Arial" w:cs="Arial"/>
          <w:lang w:val="pt-BR"/>
        </w:rPr>
      </w:pPr>
    </w:p>
    <w:p w14:paraId="6B5EEC6D" w14:textId="77777777" w:rsidR="002517B7" w:rsidRPr="00754587" w:rsidRDefault="002517B7" w:rsidP="002517B7">
      <w:pPr>
        <w:pStyle w:val="MDPI31text"/>
        <w:ind w:left="0" w:firstLine="0"/>
        <w:rPr>
          <w:rFonts w:ascii="Arial" w:hAnsi="Arial" w:cs="Arial"/>
          <w:noProof/>
          <w:lang w:val="es-AR"/>
        </w:rPr>
      </w:pPr>
    </w:p>
    <w:p w14:paraId="33A0F4F4" w14:textId="733445F7" w:rsidR="002517B7" w:rsidRPr="00754587" w:rsidRDefault="00923127" w:rsidP="002517B7">
      <w:pPr>
        <w:pStyle w:val="MDPI31text"/>
        <w:ind w:left="0" w:firstLine="0"/>
        <w:jc w:val="center"/>
        <w:rPr>
          <w:rFonts w:ascii="Arial" w:hAnsi="Arial" w:cs="Arial"/>
          <w:noProof/>
        </w:rPr>
      </w:pPr>
      <w:r>
        <w:rPr>
          <w:rFonts w:ascii="Arial" w:hAnsi="Arial" w:cs="Arial"/>
          <w:noProof/>
        </w:rPr>
        <w:drawing>
          <wp:inline distT="0" distB="0" distL="0" distR="0" wp14:anchorId="03F702BC" wp14:editId="1DAFA4E0">
            <wp:extent cx="4133941" cy="1933575"/>
            <wp:effectExtent l="0" t="0" r="0" b="0"/>
            <wp:docPr id="12087253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34079" cy="1933640"/>
                    </a:xfrm>
                    <a:prstGeom prst="rect">
                      <a:avLst/>
                    </a:prstGeom>
                    <a:noFill/>
                  </pic:spPr>
                </pic:pic>
              </a:graphicData>
            </a:graphic>
          </wp:inline>
        </w:drawing>
      </w:r>
    </w:p>
    <w:p w14:paraId="40E20916" w14:textId="77777777" w:rsidR="002517B7" w:rsidRPr="00754587" w:rsidRDefault="002517B7" w:rsidP="002517B7">
      <w:pPr>
        <w:pStyle w:val="MDPI31text"/>
        <w:ind w:left="0" w:firstLine="0"/>
        <w:rPr>
          <w:rFonts w:ascii="Arial" w:hAnsi="Arial" w:cs="Arial"/>
          <w:noProof/>
          <w:sz w:val="24"/>
          <w:szCs w:val="28"/>
        </w:rPr>
      </w:pPr>
      <w:r w:rsidRPr="00754587">
        <w:rPr>
          <w:rFonts w:ascii="Arial" w:hAnsi="Arial" w:cs="Arial"/>
          <w:b/>
          <w:bCs/>
          <w:noProof/>
          <w:sz w:val="24"/>
          <w:szCs w:val="28"/>
        </w:rPr>
        <w:t xml:space="preserve">Figure S1. </w:t>
      </w:r>
      <w:r w:rsidRPr="00754587">
        <w:rPr>
          <w:rFonts w:ascii="Arial" w:hAnsi="Arial" w:cs="Arial"/>
          <w:noProof/>
          <w:sz w:val="24"/>
          <w:szCs w:val="28"/>
        </w:rPr>
        <w:t>Calibration curve for holo-transferrin (holo-Tf) constructed for the quantification of holo-Tf concentration in aqueous samples using the Bicinchoninic Acid (BCA) protein assay. Data in the plot are presented as absorbance (A</w:t>
      </w:r>
      <w:r w:rsidRPr="00754587">
        <w:rPr>
          <w:rFonts w:ascii="Cambria Math" w:hAnsi="Cambria Math" w:cs="Cambria Math"/>
          <w:noProof/>
          <w:sz w:val="24"/>
          <w:szCs w:val="28"/>
        </w:rPr>
        <w:t>₅₇₀</w:t>
      </w:r>
      <w:r w:rsidRPr="00754587">
        <w:rPr>
          <w:rFonts w:ascii="Arial" w:hAnsi="Arial" w:cs="Arial"/>
          <w:noProof/>
          <w:sz w:val="24"/>
          <w:szCs w:val="28"/>
        </w:rPr>
        <w:t xml:space="preserve">) </w:t>
      </w:r>
      <w:r w:rsidRPr="00754587">
        <w:rPr>
          <w:rFonts w:ascii="Arial" w:hAnsi="Arial" w:cs="Arial"/>
          <w:i/>
          <w:iCs/>
          <w:noProof/>
          <w:sz w:val="24"/>
          <w:szCs w:val="28"/>
        </w:rPr>
        <w:t>vs</w:t>
      </w:r>
      <w:r w:rsidRPr="00754587">
        <w:rPr>
          <w:rFonts w:ascii="Arial" w:hAnsi="Arial" w:cs="Arial"/>
          <w:noProof/>
          <w:sz w:val="24"/>
          <w:szCs w:val="28"/>
        </w:rPr>
        <w:t xml:space="preserve"> holo-Tf concentration (mg·mL</w:t>
      </w:r>
      <w:r w:rsidRPr="00754587">
        <w:rPr>
          <w:rFonts w:ascii="Cambria Math" w:hAnsi="Cambria Math" w:cs="Cambria Math"/>
          <w:noProof/>
          <w:sz w:val="24"/>
          <w:szCs w:val="28"/>
        </w:rPr>
        <w:t>⁻</w:t>
      </w:r>
      <w:r w:rsidRPr="00754587">
        <w:rPr>
          <w:rFonts w:ascii="Arial" w:hAnsi="Arial" w:cs="Arial"/>
          <w:noProof/>
          <w:sz w:val="24"/>
          <w:szCs w:val="28"/>
        </w:rPr>
        <w:t xml:space="preserve">¹). Linear regression yielded the equation </w:t>
      </w:r>
      <w:r w:rsidRPr="00754587">
        <w:rPr>
          <w:rFonts w:ascii="Arial" w:hAnsi="Arial" w:cs="Arial"/>
          <w:i/>
          <w:iCs/>
          <w:noProof/>
          <w:sz w:val="24"/>
          <w:szCs w:val="28"/>
        </w:rPr>
        <w:t>y</w:t>
      </w:r>
      <w:r w:rsidRPr="00754587">
        <w:rPr>
          <w:rFonts w:ascii="Arial" w:hAnsi="Arial" w:cs="Arial"/>
          <w:noProof/>
          <w:sz w:val="24"/>
          <w:szCs w:val="28"/>
        </w:rPr>
        <w:t xml:space="preserve"> = 0.9803</w:t>
      </w:r>
      <w:r w:rsidRPr="00754587">
        <w:rPr>
          <w:rFonts w:ascii="Arial" w:hAnsi="Arial" w:cs="Arial"/>
          <w:i/>
          <w:iCs/>
          <w:noProof/>
          <w:sz w:val="24"/>
          <w:szCs w:val="28"/>
        </w:rPr>
        <w:t>x</w:t>
      </w:r>
      <w:r w:rsidRPr="00754587">
        <w:rPr>
          <w:rFonts w:ascii="Arial" w:hAnsi="Arial" w:cs="Arial"/>
          <w:noProof/>
          <w:sz w:val="24"/>
          <w:szCs w:val="28"/>
        </w:rPr>
        <w:t xml:space="preserve"> + 0.0152 with an associated coefficient of determination (</w:t>
      </w:r>
      <w:r w:rsidRPr="00754587">
        <w:rPr>
          <w:rFonts w:ascii="Arial" w:hAnsi="Arial" w:cs="Arial"/>
          <w:i/>
          <w:iCs/>
          <w:noProof/>
          <w:sz w:val="24"/>
          <w:szCs w:val="28"/>
        </w:rPr>
        <w:t>R²</w:t>
      </w:r>
      <w:r w:rsidRPr="00754587">
        <w:rPr>
          <w:rFonts w:ascii="Arial" w:hAnsi="Arial" w:cs="Arial"/>
          <w:noProof/>
          <w:sz w:val="24"/>
          <w:szCs w:val="28"/>
        </w:rPr>
        <w:t xml:space="preserve"> = 0.9983), indicating excellent linearity over the tested range. The slope of the calibration curve (0.9803) was used to estimate the concentration of unknown samples according to:CTf= A / slope, where </w:t>
      </w:r>
      <w:r w:rsidRPr="00754587">
        <w:rPr>
          <w:rFonts w:ascii="Arial" w:hAnsi="Arial" w:cs="Arial"/>
          <w:i/>
          <w:iCs/>
          <w:noProof/>
          <w:sz w:val="24"/>
          <w:szCs w:val="28"/>
        </w:rPr>
        <w:t>A</w:t>
      </w:r>
      <w:r w:rsidRPr="00754587">
        <w:rPr>
          <w:rFonts w:ascii="Arial" w:hAnsi="Arial" w:cs="Arial"/>
          <w:noProof/>
          <w:sz w:val="24"/>
          <w:szCs w:val="28"/>
        </w:rPr>
        <w:t xml:space="preserve"> is the absorbance at 570 nm after blank correction. Concentrations are expressed in mg·mL</w:t>
      </w:r>
      <w:r w:rsidRPr="00754587">
        <w:rPr>
          <w:rFonts w:ascii="Cambria Math" w:hAnsi="Cambria Math" w:cs="Cambria Math"/>
          <w:noProof/>
          <w:sz w:val="24"/>
          <w:szCs w:val="28"/>
        </w:rPr>
        <w:t>⁻</w:t>
      </w:r>
      <w:r w:rsidRPr="00754587">
        <w:rPr>
          <w:rFonts w:ascii="Arial" w:hAnsi="Arial" w:cs="Arial"/>
          <w:noProof/>
          <w:sz w:val="24"/>
          <w:szCs w:val="28"/>
        </w:rPr>
        <w:t>¹.</w:t>
      </w:r>
    </w:p>
    <w:p w14:paraId="71D2206B" w14:textId="77777777" w:rsidR="00D9086F" w:rsidRPr="00754587" w:rsidRDefault="00D9086F" w:rsidP="002517B7">
      <w:pPr>
        <w:pStyle w:val="MDPI31text"/>
        <w:ind w:left="0" w:firstLine="0"/>
        <w:rPr>
          <w:rFonts w:ascii="Arial" w:hAnsi="Arial" w:cs="Arial"/>
          <w:noProof/>
          <w:sz w:val="24"/>
          <w:szCs w:val="28"/>
        </w:rPr>
      </w:pPr>
    </w:p>
    <w:p w14:paraId="3A835FAB" w14:textId="77777777" w:rsidR="002517B7" w:rsidRPr="00754587" w:rsidRDefault="002517B7" w:rsidP="002517B7">
      <w:pPr>
        <w:pStyle w:val="MDPI31text"/>
        <w:ind w:left="0" w:firstLine="0"/>
        <w:rPr>
          <w:rFonts w:ascii="Arial" w:hAnsi="Arial" w:cs="Arial"/>
          <w:noProof/>
        </w:rPr>
      </w:pPr>
    </w:p>
    <w:p w14:paraId="5CF9F252" w14:textId="3DEEAA3C" w:rsidR="002517B7" w:rsidRPr="00754587" w:rsidRDefault="00754587" w:rsidP="002517B7">
      <w:pPr>
        <w:pStyle w:val="MDPI31text"/>
        <w:ind w:left="0" w:firstLine="0"/>
        <w:jc w:val="center"/>
        <w:rPr>
          <w:rFonts w:ascii="Arial" w:hAnsi="Arial" w:cs="Arial"/>
          <w:noProof/>
        </w:rPr>
      </w:pPr>
      <w:r>
        <w:rPr>
          <w:noProof/>
        </w:rPr>
        <w:drawing>
          <wp:inline distT="0" distB="0" distL="0" distR="0" wp14:anchorId="48B910BF" wp14:editId="581300DF">
            <wp:extent cx="2371725" cy="1598916"/>
            <wp:effectExtent l="0" t="0" r="0" b="1905"/>
            <wp:docPr id="40728260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82602" name="Imagen 1" descr="Interfaz de usuario gráfica, Aplicación&#10;&#10;El contenido generado por IA puede ser incorrec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0130" cy="1604582"/>
                    </a:xfrm>
                    <a:prstGeom prst="rect">
                      <a:avLst/>
                    </a:prstGeom>
                    <a:noFill/>
                    <a:ln>
                      <a:noFill/>
                    </a:ln>
                  </pic:spPr>
                </pic:pic>
              </a:graphicData>
            </a:graphic>
          </wp:inline>
        </w:drawing>
      </w:r>
    </w:p>
    <w:p w14:paraId="7BD20D66" w14:textId="60F39A68" w:rsidR="002517B7" w:rsidRDefault="002517B7" w:rsidP="002517B7">
      <w:pPr>
        <w:pStyle w:val="MDPI31text"/>
        <w:ind w:left="0" w:firstLine="0"/>
        <w:rPr>
          <w:rFonts w:ascii="Arial" w:hAnsi="Arial" w:cs="Arial"/>
          <w:sz w:val="24"/>
          <w:szCs w:val="28"/>
        </w:rPr>
      </w:pPr>
      <w:r w:rsidRPr="00754587">
        <w:rPr>
          <w:rFonts w:ascii="Arial" w:hAnsi="Arial" w:cs="Arial"/>
          <w:b/>
          <w:sz w:val="24"/>
          <w:szCs w:val="28"/>
        </w:rPr>
        <w:t xml:space="preserve">Figure S2. </w:t>
      </w:r>
      <w:r w:rsidRPr="00754587">
        <w:rPr>
          <w:rFonts w:ascii="Arial" w:hAnsi="Arial" w:cs="Arial"/>
          <w:sz w:val="24"/>
          <w:szCs w:val="28"/>
        </w:rPr>
        <w:t xml:space="preserve">Electrophoretic mobility of F8BT </w:t>
      </w:r>
      <w:r w:rsidR="00754587">
        <w:rPr>
          <w:rFonts w:ascii="Arial" w:hAnsi="Arial" w:cs="Arial"/>
          <w:sz w:val="24"/>
          <w:szCs w:val="28"/>
        </w:rPr>
        <w:t>CPNs</w:t>
      </w:r>
      <w:r w:rsidRPr="00754587">
        <w:rPr>
          <w:rFonts w:ascii="Arial" w:hAnsi="Arial" w:cs="Arial"/>
          <w:sz w:val="24"/>
          <w:szCs w:val="28"/>
        </w:rPr>
        <w:t xml:space="preserve"> before and after holo-</w:t>
      </w:r>
      <w:proofErr w:type="spellStart"/>
      <w:r w:rsidRPr="00754587">
        <w:rPr>
          <w:rFonts w:ascii="Arial" w:hAnsi="Arial" w:cs="Arial"/>
          <w:sz w:val="24"/>
          <w:szCs w:val="28"/>
        </w:rPr>
        <w:t>Tf</w:t>
      </w:r>
      <w:proofErr w:type="spellEnd"/>
      <w:r w:rsidRPr="00754587">
        <w:rPr>
          <w:rFonts w:ascii="Arial" w:hAnsi="Arial" w:cs="Arial"/>
          <w:sz w:val="24"/>
          <w:szCs w:val="28"/>
        </w:rPr>
        <w:t xml:space="preserve"> conjugation. (</w:t>
      </w:r>
      <w:r w:rsidR="00754587">
        <w:rPr>
          <w:rFonts w:ascii="Arial" w:hAnsi="Arial" w:cs="Arial"/>
          <w:sz w:val="24"/>
          <w:szCs w:val="28"/>
        </w:rPr>
        <w:t>A</w:t>
      </w:r>
      <w:r w:rsidRPr="00754587">
        <w:rPr>
          <w:rFonts w:ascii="Arial" w:hAnsi="Arial" w:cs="Arial"/>
          <w:sz w:val="24"/>
          <w:szCs w:val="28"/>
        </w:rPr>
        <w:t>) Electrophoretic mobility of holo-</w:t>
      </w:r>
      <w:proofErr w:type="spellStart"/>
      <w:r w:rsidRPr="00754587">
        <w:rPr>
          <w:rFonts w:ascii="Arial" w:hAnsi="Arial" w:cs="Arial"/>
          <w:sz w:val="24"/>
          <w:szCs w:val="28"/>
        </w:rPr>
        <w:t>Tf</w:t>
      </w:r>
      <w:proofErr w:type="spellEnd"/>
      <w:r w:rsidRPr="00754587">
        <w:rPr>
          <w:rFonts w:ascii="Arial" w:hAnsi="Arial" w:cs="Arial"/>
          <w:sz w:val="24"/>
          <w:szCs w:val="28"/>
        </w:rPr>
        <w:t xml:space="preserve"> functionalized F8BT </w:t>
      </w:r>
      <w:r w:rsidR="00754587">
        <w:rPr>
          <w:rFonts w:ascii="Arial" w:hAnsi="Arial" w:cs="Arial"/>
          <w:sz w:val="24"/>
          <w:szCs w:val="28"/>
        </w:rPr>
        <w:t>CPNs</w:t>
      </w:r>
      <w:r w:rsidRPr="00754587">
        <w:rPr>
          <w:rFonts w:ascii="Arial" w:hAnsi="Arial" w:cs="Arial"/>
          <w:sz w:val="24"/>
          <w:szCs w:val="28"/>
        </w:rPr>
        <w:t xml:space="preserve"> (1) and non-functionalized F8BT </w:t>
      </w:r>
      <w:r w:rsidR="00754587">
        <w:rPr>
          <w:rFonts w:ascii="Arial" w:hAnsi="Arial" w:cs="Arial"/>
          <w:sz w:val="24"/>
          <w:szCs w:val="28"/>
        </w:rPr>
        <w:t>CPNs</w:t>
      </w:r>
      <w:r w:rsidRPr="00754587">
        <w:rPr>
          <w:rFonts w:ascii="Arial" w:hAnsi="Arial" w:cs="Arial"/>
          <w:sz w:val="24"/>
          <w:szCs w:val="28"/>
        </w:rPr>
        <w:t xml:space="preserve"> (2), visualized under a blue LED transilluminator (</w:t>
      </w:r>
      <w:r w:rsidRPr="00754587">
        <w:rPr>
          <w:rFonts w:ascii="Arial" w:hAnsi="Arial" w:cs="Arial"/>
          <w:sz w:val="24"/>
          <w:szCs w:val="28"/>
          <w:lang w:val="es-AR"/>
        </w:rPr>
        <w:t>λ</w:t>
      </w:r>
      <w:r w:rsidRPr="00754587">
        <w:rPr>
          <w:rFonts w:ascii="Arial" w:hAnsi="Arial" w:cs="Arial"/>
          <w:sz w:val="24"/>
          <w:szCs w:val="28"/>
        </w:rPr>
        <w:t xml:space="preserve">ex = 460–470 nm, </w:t>
      </w:r>
      <w:r w:rsidRPr="00754587">
        <w:rPr>
          <w:rFonts w:ascii="Arial" w:hAnsi="Arial" w:cs="Arial"/>
          <w:sz w:val="24"/>
          <w:szCs w:val="28"/>
          <w:lang w:val="es-AR"/>
        </w:rPr>
        <w:t>λ</w:t>
      </w:r>
      <w:proofErr w:type="spellStart"/>
      <w:r w:rsidRPr="00754587">
        <w:rPr>
          <w:rFonts w:ascii="Arial" w:hAnsi="Arial" w:cs="Arial"/>
          <w:sz w:val="24"/>
          <w:szCs w:val="28"/>
        </w:rPr>
        <w:t>em</w:t>
      </w:r>
      <w:proofErr w:type="spellEnd"/>
      <w:r w:rsidRPr="00754587">
        <w:rPr>
          <w:rFonts w:ascii="Arial" w:hAnsi="Arial" w:cs="Arial"/>
          <w:sz w:val="24"/>
          <w:szCs w:val="28"/>
        </w:rPr>
        <w:t xml:space="preserve"> = 520–550 nm). (</w:t>
      </w:r>
      <w:r w:rsidR="00754587">
        <w:rPr>
          <w:rFonts w:ascii="Arial" w:hAnsi="Arial" w:cs="Arial"/>
          <w:sz w:val="24"/>
          <w:szCs w:val="28"/>
        </w:rPr>
        <w:t>B</w:t>
      </w:r>
      <w:r w:rsidRPr="00754587">
        <w:rPr>
          <w:rFonts w:ascii="Arial" w:hAnsi="Arial" w:cs="Arial"/>
          <w:sz w:val="24"/>
          <w:szCs w:val="28"/>
        </w:rPr>
        <w:t>) Electrophoretic mobility of F8BT CPNs incubated with holo-</w:t>
      </w:r>
      <w:proofErr w:type="spellStart"/>
      <w:r w:rsidRPr="00754587">
        <w:rPr>
          <w:rFonts w:ascii="Arial" w:hAnsi="Arial" w:cs="Arial"/>
          <w:sz w:val="24"/>
          <w:szCs w:val="28"/>
        </w:rPr>
        <w:t>Tf</w:t>
      </w:r>
      <w:proofErr w:type="spellEnd"/>
      <w:r w:rsidRPr="00754587">
        <w:rPr>
          <w:rFonts w:ascii="Arial" w:hAnsi="Arial" w:cs="Arial"/>
          <w:sz w:val="24"/>
          <w:szCs w:val="28"/>
        </w:rPr>
        <w:t xml:space="preserve"> and </w:t>
      </w:r>
      <w:proofErr w:type="spellStart"/>
      <w:r w:rsidRPr="00754587">
        <w:rPr>
          <w:rFonts w:ascii="Arial" w:hAnsi="Arial" w:cs="Arial"/>
          <w:sz w:val="24"/>
          <w:szCs w:val="28"/>
        </w:rPr>
        <w:t>fluorescamine</w:t>
      </w:r>
      <w:proofErr w:type="spellEnd"/>
      <w:r w:rsidRPr="00754587">
        <w:rPr>
          <w:rFonts w:ascii="Arial" w:hAnsi="Arial" w:cs="Arial"/>
          <w:sz w:val="24"/>
          <w:szCs w:val="28"/>
        </w:rPr>
        <w:t xml:space="preserve"> without EDC/NHS catalyst (1); the same </w:t>
      </w:r>
      <w:r w:rsidRPr="00754587">
        <w:rPr>
          <w:rFonts w:ascii="Arial" w:hAnsi="Arial" w:cs="Arial"/>
          <w:sz w:val="24"/>
          <w:szCs w:val="28"/>
        </w:rPr>
        <w:lastRenderedPageBreak/>
        <w:t>nanoparticles conjugated with holo-</w:t>
      </w:r>
      <w:proofErr w:type="spellStart"/>
      <w:r w:rsidRPr="00754587">
        <w:rPr>
          <w:rFonts w:ascii="Arial" w:hAnsi="Arial" w:cs="Arial"/>
          <w:sz w:val="24"/>
          <w:szCs w:val="28"/>
        </w:rPr>
        <w:t>Tf</w:t>
      </w:r>
      <w:proofErr w:type="spellEnd"/>
      <w:r w:rsidRPr="00754587">
        <w:rPr>
          <w:rFonts w:ascii="Arial" w:hAnsi="Arial" w:cs="Arial"/>
          <w:sz w:val="24"/>
          <w:szCs w:val="28"/>
        </w:rPr>
        <w:t xml:space="preserve"> using EDC/NHS and stained with </w:t>
      </w:r>
      <w:proofErr w:type="spellStart"/>
      <w:r w:rsidRPr="00754587">
        <w:rPr>
          <w:rFonts w:ascii="Arial" w:hAnsi="Arial" w:cs="Arial"/>
          <w:sz w:val="24"/>
          <w:szCs w:val="28"/>
        </w:rPr>
        <w:t>fluorescamine</w:t>
      </w:r>
      <w:proofErr w:type="spellEnd"/>
      <w:r w:rsidRPr="00754587">
        <w:rPr>
          <w:rFonts w:ascii="Arial" w:hAnsi="Arial" w:cs="Arial"/>
          <w:sz w:val="24"/>
          <w:szCs w:val="28"/>
        </w:rPr>
        <w:t xml:space="preserve"> (2); and </w:t>
      </w:r>
      <w:proofErr w:type="spellStart"/>
      <w:r w:rsidRPr="00754587">
        <w:rPr>
          <w:rFonts w:ascii="Arial" w:hAnsi="Arial" w:cs="Arial"/>
          <w:sz w:val="24"/>
          <w:szCs w:val="28"/>
        </w:rPr>
        <w:t>fluorescamine</w:t>
      </w:r>
      <w:proofErr w:type="spellEnd"/>
      <w:r w:rsidRPr="00754587">
        <w:rPr>
          <w:rFonts w:ascii="Arial" w:hAnsi="Arial" w:cs="Arial"/>
          <w:sz w:val="24"/>
          <w:szCs w:val="28"/>
        </w:rPr>
        <w:t>-stained holo-</w:t>
      </w:r>
      <w:proofErr w:type="spellStart"/>
      <w:r w:rsidRPr="00754587">
        <w:rPr>
          <w:rFonts w:ascii="Arial" w:hAnsi="Arial" w:cs="Arial"/>
          <w:sz w:val="24"/>
          <w:szCs w:val="28"/>
        </w:rPr>
        <w:t>Tf</w:t>
      </w:r>
      <w:proofErr w:type="spellEnd"/>
      <w:r w:rsidRPr="00754587">
        <w:rPr>
          <w:rFonts w:ascii="Arial" w:hAnsi="Arial" w:cs="Arial"/>
          <w:sz w:val="24"/>
          <w:szCs w:val="28"/>
        </w:rPr>
        <w:t xml:space="preserve"> controls at 0.1 mg/mL (3) and 1 mg/mL (4). Visualization was performed using a UV LED transilluminator (</w:t>
      </w:r>
      <w:r w:rsidRPr="00754587">
        <w:rPr>
          <w:rFonts w:ascii="Arial" w:hAnsi="Arial" w:cs="Arial"/>
          <w:sz w:val="24"/>
          <w:szCs w:val="28"/>
          <w:lang w:val="es-AR"/>
        </w:rPr>
        <w:t>λ</w:t>
      </w:r>
      <w:r w:rsidRPr="00754587">
        <w:rPr>
          <w:rFonts w:ascii="Arial" w:hAnsi="Arial" w:cs="Arial"/>
          <w:sz w:val="24"/>
          <w:szCs w:val="28"/>
        </w:rPr>
        <w:t xml:space="preserve">_ex = 365–395 nm; </w:t>
      </w:r>
      <w:r w:rsidRPr="00754587">
        <w:rPr>
          <w:rFonts w:ascii="Arial" w:hAnsi="Arial" w:cs="Arial"/>
          <w:sz w:val="24"/>
          <w:szCs w:val="28"/>
          <w:lang w:val="es-AR"/>
        </w:rPr>
        <w:t>λ</w:t>
      </w:r>
      <w:r w:rsidRPr="00754587">
        <w:rPr>
          <w:rFonts w:ascii="Arial" w:hAnsi="Arial" w:cs="Arial"/>
          <w:sz w:val="24"/>
          <w:szCs w:val="28"/>
        </w:rPr>
        <w:t>_</w:t>
      </w:r>
      <w:proofErr w:type="spellStart"/>
      <w:r w:rsidRPr="00754587">
        <w:rPr>
          <w:rFonts w:ascii="Arial" w:hAnsi="Arial" w:cs="Arial"/>
          <w:sz w:val="24"/>
          <w:szCs w:val="28"/>
        </w:rPr>
        <w:t>em</w:t>
      </w:r>
      <w:proofErr w:type="spellEnd"/>
      <w:r w:rsidRPr="00754587">
        <w:rPr>
          <w:rFonts w:ascii="Arial" w:hAnsi="Arial" w:cs="Arial"/>
          <w:sz w:val="24"/>
          <w:szCs w:val="28"/>
        </w:rPr>
        <w:t xml:space="preserve"> = 430–540 nm), which simultaneously excites the </w:t>
      </w:r>
      <w:proofErr w:type="spellStart"/>
      <w:r w:rsidRPr="00754587">
        <w:rPr>
          <w:rFonts w:ascii="Arial" w:hAnsi="Arial" w:cs="Arial"/>
          <w:sz w:val="24"/>
          <w:szCs w:val="28"/>
        </w:rPr>
        <w:t>fluorescamine</w:t>
      </w:r>
      <w:proofErr w:type="spellEnd"/>
      <w:r w:rsidRPr="00754587">
        <w:rPr>
          <w:rFonts w:ascii="Arial" w:hAnsi="Arial" w:cs="Arial"/>
          <w:sz w:val="24"/>
          <w:szCs w:val="28"/>
        </w:rPr>
        <w:t xml:space="preserve">–protein adducts (blue–green emission) and the F8BT </w:t>
      </w:r>
      <w:r w:rsidR="00754587">
        <w:rPr>
          <w:rFonts w:ascii="Arial" w:hAnsi="Arial" w:cs="Arial"/>
          <w:sz w:val="24"/>
          <w:szCs w:val="28"/>
        </w:rPr>
        <w:t>CPNs</w:t>
      </w:r>
      <w:r w:rsidRPr="00754587">
        <w:rPr>
          <w:rFonts w:ascii="Arial" w:hAnsi="Arial" w:cs="Arial"/>
          <w:sz w:val="24"/>
          <w:szCs w:val="28"/>
        </w:rPr>
        <w:t xml:space="preserve"> (green emission), enabling detection of both components within the gel.</w:t>
      </w:r>
    </w:p>
    <w:p w14:paraId="0D10C99B" w14:textId="77777777" w:rsidR="00754587" w:rsidRPr="00754587" w:rsidRDefault="00754587" w:rsidP="002517B7">
      <w:pPr>
        <w:pStyle w:val="MDPI31text"/>
        <w:ind w:left="0" w:firstLine="0"/>
        <w:rPr>
          <w:rFonts w:ascii="Arial" w:hAnsi="Arial" w:cs="Arial"/>
          <w:sz w:val="24"/>
          <w:szCs w:val="28"/>
        </w:rPr>
      </w:pPr>
    </w:p>
    <w:p w14:paraId="68B3FE4C" w14:textId="77777777" w:rsidR="00FA20FD" w:rsidRPr="00754587" w:rsidRDefault="00FA20FD" w:rsidP="002517B7">
      <w:pPr>
        <w:pStyle w:val="MDPI31text"/>
        <w:ind w:left="0" w:firstLine="0"/>
        <w:rPr>
          <w:rFonts w:ascii="Arial" w:hAnsi="Arial" w:cs="Arial"/>
          <w:sz w:val="24"/>
          <w:szCs w:val="28"/>
        </w:rPr>
      </w:pPr>
    </w:p>
    <w:p w14:paraId="44590B8C" w14:textId="77777777" w:rsidR="002517B7" w:rsidRPr="00754587" w:rsidRDefault="002517B7" w:rsidP="002517B7">
      <w:pPr>
        <w:rPr>
          <w:rFonts w:ascii="Arial" w:hAnsi="Arial" w:cs="Arial"/>
          <w:lang w:val="en-US" w:eastAsia="de-DE" w:bidi="en-US"/>
        </w:rPr>
      </w:pPr>
      <w:bookmarkStart w:id="0" w:name="_Hlk227405084"/>
    </w:p>
    <w:p w14:paraId="45287956" w14:textId="65427B74" w:rsidR="00FA20FD" w:rsidRPr="00754587" w:rsidRDefault="00923127" w:rsidP="002517B7">
      <w:pPr>
        <w:rPr>
          <w:rFonts w:ascii="Arial" w:hAnsi="Arial" w:cs="Arial"/>
          <w:lang w:val="en-US" w:eastAsia="de-DE" w:bidi="en-US"/>
        </w:rPr>
      </w:pPr>
      <w:r>
        <w:rPr>
          <w:noProof/>
        </w:rPr>
        <w:drawing>
          <wp:inline distT="0" distB="0" distL="0" distR="0" wp14:anchorId="4EC47674" wp14:editId="5E1342F4">
            <wp:extent cx="5772150" cy="2076955"/>
            <wp:effectExtent l="0" t="0" r="0" b="0"/>
            <wp:docPr id="1198559190" name="Imagen 2"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59190" name="Imagen 2" descr="Imagen en blanco y negro&#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7092" cy="2082331"/>
                    </a:xfrm>
                    <a:prstGeom prst="rect">
                      <a:avLst/>
                    </a:prstGeom>
                    <a:noFill/>
                    <a:ln>
                      <a:noFill/>
                    </a:ln>
                  </pic:spPr>
                </pic:pic>
              </a:graphicData>
            </a:graphic>
          </wp:inline>
        </w:drawing>
      </w:r>
    </w:p>
    <w:p w14:paraId="37F01FB1" w14:textId="77777777" w:rsidR="00FA20FD" w:rsidRPr="00754587" w:rsidRDefault="00FA20FD" w:rsidP="002517B7">
      <w:pPr>
        <w:rPr>
          <w:rFonts w:ascii="Arial" w:hAnsi="Arial" w:cs="Arial"/>
          <w:lang w:val="en-US" w:eastAsia="de-DE" w:bidi="en-US"/>
        </w:rPr>
      </w:pPr>
    </w:p>
    <w:p w14:paraId="271CDFB0" w14:textId="7D0F6A27" w:rsidR="002517B7" w:rsidRPr="00754587" w:rsidRDefault="00FA20FD" w:rsidP="002517B7">
      <w:pPr>
        <w:pStyle w:val="MDPI31text"/>
        <w:ind w:left="0" w:firstLine="0"/>
        <w:rPr>
          <w:rFonts w:ascii="Arial" w:hAnsi="Arial" w:cs="Arial"/>
          <w:bCs/>
          <w:sz w:val="24"/>
          <w:szCs w:val="28"/>
        </w:rPr>
      </w:pPr>
      <w:r w:rsidRPr="00754587">
        <w:rPr>
          <w:rFonts w:ascii="Arial" w:hAnsi="Arial" w:cs="Arial"/>
          <w:b/>
          <w:bCs/>
          <w:sz w:val="24"/>
          <w:szCs w:val="28"/>
          <w:lang w:val="de-DE"/>
        </w:rPr>
        <w:t>Figure S3.</w:t>
      </w:r>
      <w:r w:rsidRPr="00754587">
        <w:rPr>
          <w:rFonts w:ascii="Arial" w:hAnsi="Arial" w:cs="Arial"/>
          <w:bCs/>
          <w:sz w:val="24"/>
          <w:szCs w:val="28"/>
          <w:lang w:val="de-DE"/>
        </w:rPr>
        <w:t xml:space="preserve"> Immunohistochemical detection of transferrin receptor 1 (TfR1/CD71) in human brain tissues retrieved from the Human Protein Atlas database. Representative images illustrate TfR1 protein expression in normal cerebral cortex (left), low-grade glioma (center), and glioblastoma (right). Minimal staining is observed in normal brain tissue, whereas increased TfR1 immunoreactivity is detected in glioma samples, with the strongest signal observed in glioblastoma. These images support the relevance of TfR1 as a molecular target in malignant gliomas. Images were obtained from the Human Protein Atlas (</w:t>
      </w:r>
      <w:r w:rsidRPr="00754587">
        <w:rPr>
          <w:rFonts w:ascii="Arial" w:hAnsi="Arial" w:cs="Arial"/>
          <w:bCs/>
          <w:sz w:val="24"/>
          <w:szCs w:val="28"/>
          <w:lang w:val="de-DE"/>
        </w:rPr>
        <w:fldChar w:fldCharType="begin"/>
      </w:r>
      <w:r w:rsidRPr="00754587">
        <w:rPr>
          <w:rFonts w:ascii="Arial" w:hAnsi="Arial" w:cs="Arial"/>
          <w:bCs/>
          <w:sz w:val="24"/>
          <w:szCs w:val="28"/>
          <w:lang w:val="de-DE"/>
        </w:rPr>
        <w:instrText>HYPERLINK "https://www.proteinatlas.org" \t "_new"</w:instrText>
      </w:r>
      <w:r w:rsidRPr="00754587">
        <w:rPr>
          <w:rFonts w:ascii="Arial" w:hAnsi="Arial" w:cs="Arial"/>
          <w:bCs/>
          <w:sz w:val="24"/>
          <w:szCs w:val="28"/>
          <w:lang w:val="de-DE"/>
        </w:rPr>
      </w:r>
      <w:r w:rsidRPr="00754587">
        <w:rPr>
          <w:rFonts w:ascii="Arial" w:hAnsi="Arial" w:cs="Arial"/>
          <w:bCs/>
          <w:sz w:val="24"/>
          <w:szCs w:val="28"/>
          <w:lang w:val="de-DE"/>
        </w:rPr>
        <w:fldChar w:fldCharType="separate"/>
      </w:r>
      <w:r w:rsidRPr="00754587">
        <w:rPr>
          <w:rStyle w:val="Hipervnculo"/>
          <w:rFonts w:ascii="Arial" w:hAnsi="Arial" w:cs="Arial"/>
          <w:bCs/>
          <w:sz w:val="24"/>
          <w:szCs w:val="28"/>
          <w:lang w:val="de-DE"/>
        </w:rPr>
        <w:t>https://www.proteinatlas.org</w:t>
      </w:r>
      <w:r w:rsidRPr="00754587">
        <w:rPr>
          <w:rFonts w:ascii="Arial" w:hAnsi="Arial" w:cs="Arial"/>
          <w:bCs/>
          <w:sz w:val="24"/>
          <w:szCs w:val="28"/>
          <w:lang w:val="de-DE"/>
        </w:rPr>
        <w:fldChar w:fldCharType="end"/>
      </w:r>
      <w:r w:rsidRPr="00754587">
        <w:rPr>
          <w:rFonts w:ascii="Arial" w:hAnsi="Arial" w:cs="Arial"/>
          <w:bCs/>
          <w:sz w:val="24"/>
          <w:szCs w:val="28"/>
          <w:lang w:val="de-DE"/>
        </w:rPr>
        <w:t>) according to the database usage policy.</w:t>
      </w:r>
    </w:p>
    <w:bookmarkEnd w:id="0"/>
    <w:p w14:paraId="19BE3702" w14:textId="3EAC5656" w:rsidR="002517B7" w:rsidRPr="00754587" w:rsidRDefault="00923127" w:rsidP="002517B7">
      <w:pPr>
        <w:pStyle w:val="MDPI31text"/>
        <w:ind w:left="0" w:firstLine="0"/>
        <w:jc w:val="center"/>
        <w:rPr>
          <w:rFonts w:ascii="Arial" w:hAnsi="Arial" w:cs="Arial"/>
          <w:bCs/>
        </w:rPr>
      </w:pPr>
      <w:r>
        <w:rPr>
          <w:noProof/>
        </w:rPr>
        <w:lastRenderedPageBreak/>
        <w:drawing>
          <wp:inline distT="0" distB="0" distL="0" distR="0" wp14:anchorId="1F529B38" wp14:editId="05490A0D">
            <wp:extent cx="5171462" cy="4258180"/>
            <wp:effectExtent l="0" t="0" r="0" b="9525"/>
            <wp:docPr id="818085116" name="Imagen 3"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85116" name="Imagen 3" descr="Imagen que contiene Patrón de fondo&#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9452" cy="4264759"/>
                    </a:xfrm>
                    <a:prstGeom prst="rect">
                      <a:avLst/>
                    </a:prstGeom>
                    <a:noFill/>
                    <a:ln>
                      <a:noFill/>
                    </a:ln>
                  </pic:spPr>
                </pic:pic>
              </a:graphicData>
            </a:graphic>
          </wp:inline>
        </w:drawing>
      </w:r>
    </w:p>
    <w:p w14:paraId="315119ED" w14:textId="29EB3A42" w:rsidR="002517B7" w:rsidRPr="00754587" w:rsidRDefault="002517B7" w:rsidP="002517B7">
      <w:pPr>
        <w:jc w:val="both"/>
        <w:rPr>
          <w:rFonts w:ascii="Arial" w:eastAsia="Times New Roman" w:hAnsi="Arial" w:cs="Arial"/>
          <w:bCs/>
          <w:snapToGrid w:val="0"/>
          <w:color w:val="000000"/>
          <w:lang w:val="en-US" w:eastAsia="de-DE" w:bidi="en-US"/>
        </w:rPr>
      </w:pPr>
      <w:r w:rsidRPr="00754587">
        <w:rPr>
          <w:rFonts w:ascii="Arial" w:eastAsia="Times New Roman" w:hAnsi="Arial" w:cs="Arial"/>
          <w:b/>
          <w:snapToGrid w:val="0"/>
          <w:color w:val="000000"/>
          <w:lang w:val="en-US" w:eastAsia="de-DE" w:bidi="en-US"/>
        </w:rPr>
        <w:t>Figure S</w:t>
      </w:r>
      <w:r w:rsidR="00336CE8" w:rsidRPr="00754587">
        <w:rPr>
          <w:rFonts w:ascii="Arial" w:eastAsia="Times New Roman" w:hAnsi="Arial" w:cs="Arial"/>
          <w:b/>
          <w:snapToGrid w:val="0"/>
          <w:color w:val="000000"/>
          <w:lang w:val="en-US" w:eastAsia="de-DE" w:bidi="en-US"/>
        </w:rPr>
        <w:t>4</w:t>
      </w:r>
      <w:r w:rsidRPr="00754587">
        <w:rPr>
          <w:rFonts w:ascii="Arial" w:eastAsia="Times New Roman" w:hAnsi="Arial" w:cs="Arial"/>
          <w:b/>
          <w:snapToGrid w:val="0"/>
          <w:color w:val="000000"/>
          <w:lang w:val="en-US" w:eastAsia="de-DE" w:bidi="en-US"/>
        </w:rPr>
        <w:t xml:space="preserve">. </w:t>
      </w:r>
      <w:r w:rsidRPr="00754587">
        <w:rPr>
          <w:rFonts w:ascii="Arial" w:eastAsia="Times New Roman" w:hAnsi="Arial" w:cs="Arial"/>
          <w:bCs/>
          <w:snapToGrid w:val="0"/>
          <w:color w:val="000000"/>
          <w:lang w:val="en-US" w:eastAsia="de-DE" w:bidi="en-US"/>
        </w:rPr>
        <w:t>Assessment of photodynamic therapy (PDT) efficacy in U87MG cells by phase-contrast morphology and propidium iodide (PI) staining 24 h post-irradiation</w:t>
      </w:r>
      <w:r w:rsidRPr="00754587">
        <w:rPr>
          <w:rFonts w:ascii="Arial" w:hAnsi="Arial" w:cs="Arial"/>
          <w:bCs/>
          <w:lang w:val="en-US" w:eastAsia="de-DE" w:bidi="en-US"/>
        </w:rPr>
        <w:t>.</w:t>
      </w:r>
      <w:r w:rsidRPr="00754587">
        <w:rPr>
          <w:rFonts w:ascii="Arial" w:hAnsi="Arial" w:cs="Arial"/>
          <w:lang w:val="en-US" w:eastAsia="de-DE" w:bidi="en-US"/>
        </w:rPr>
        <w:t xml:space="preserve"> </w:t>
      </w:r>
      <w:r w:rsidRPr="00754587">
        <w:rPr>
          <w:rFonts w:ascii="Arial" w:eastAsia="Times New Roman" w:hAnsi="Arial" w:cs="Arial"/>
          <w:bCs/>
          <w:snapToGrid w:val="0"/>
          <w:color w:val="000000"/>
          <w:lang w:val="en-US" w:eastAsia="de-DE" w:bidi="en-US"/>
        </w:rPr>
        <w:t xml:space="preserve">Representative images of U87MG cells subjected to different treatment conditions are shown: </w:t>
      </w:r>
      <w:r w:rsidRPr="00754587">
        <w:rPr>
          <w:rFonts w:ascii="Arial" w:hAnsi="Arial" w:cs="Arial"/>
          <w:kern w:val="2"/>
          <w14:ligatures w14:val="standardContextual"/>
        </w:rPr>
        <w:t xml:space="preserve">F8BT-PtOEP-Tf </w:t>
      </w:r>
      <w:r w:rsidR="00923127">
        <w:rPr>
          <w:rFonts w:ascii="Arial" w:hAnsi="Arial" w:cs="Arial"/>
          <w:kern w:val="2"/>
          <w14:ligatures w14:val="standardContextual"/>
        </w:rPr>
        <w:t>CPNs</w:t>
      </w:r>
      <w:r w:rsidRPr="00754587">
        <w:rPr>
          <w:rFonts w:ascii="Arial" w:hAnsi="Arial" w:cs="Arial"/>
          <w:kern w:val="2"/>
          <w14:ligatures w14:val="standardContextual"/>
        </w:rPr>
        <w:t xml:space="preserve"> </w:t>
      </w:r>
      <w:r w:rsidRPr="00754587">
        <w:rPr>
          <w:rFonts w:ascii="Arial" w:eastAsia="Times New Roman" w:hAnsi="Arial" w:cs="Arial"/>
          <w:bCs/>
          <w:snapToGrid w:val="0"/>
          <w:color w:val="000000"/>
          <w:lang w:val="en-US" w:eastAsia="de-DE" w:bidi="en-US"/>
        </w:rPr>
        <w:t xml:space="preserve">-treated followed by PDT illumination (top row), </w:t>
      </w:r>
      <w:r w:rsidRPr="00754587">
        <w:rPr>
          <w:rFonts w:ascii="Arial" w:hAnsi="Arial" w:cs="Arial"/>
          <w:kern w:val="2"/>
          <w14:ligatures w14:val="standardContextual"/>
        </w:rPr>
        <w:t xml:space="preserve">F8BT-PtOEP </w:t>
      </w:r>
      <w:r w:rsidR="00923127">
        <w:rPr>
          <w:rFonts w:ascii="Arial" w:hAnsi="Arial" w:cs="Arial"/>
          <w:kern w:val="2"/>
          <w14:ligatures w14:val="standardContextual"/>
        </w:rPr>
        <w:t>CPNs</w:t>
      </w:r>
      <w:r w:rsidRPr="00754587">
        <w:rPr>
          <w:rFonts w:ascii="Arial" w:eastAsia="Times New Roman" w:hAnsi="Arial" w:cs="Arial"/>
          <w:bCs/>
          <w:snapToGrid w:val="0"/>
          <w:color w:val="000000"/>
          <w:lang w:val="en-US" w:eastAsia="de-DE" w:bidi="en-US"/>
        </w:rPr>
        <w:t>-treated followed by PDT illumination (middle row), and light illumination-treated cells (bottom row). For each condition, phase-contrast micrographs (left column) depict cell morphology, Hoechst-stained nuclei (center column, blue) confirm total cell number, and PI staining (right column, red) indicates membrane-compromised, non-viable cells. Cells exposed to PDT show pronounced cytotoxic effects, including loss of cell–cell contacts, rounding, detachment, and a marked increase in PI-positive nuclei compared with controls and non-irradiated CPN groups. Scale bars = 100 µm.</w:t>
      </w:r>
    </w:p>
    <w:p w14:paraId="0F5C568B" w14:textId="77777777" w:rsidR="002517B7" w:rsidRPr="00754587" w:rsidRDefault="002517B7" w:rsidP="002517B7">
      <w:pPr>
        <w:jc w:val="both"/>
        <w:rPr>
          <w:rFonts w:ascii="Arial" w:eastAsia="Times New Roman" w:hAnsi="Arial" w:cs="Arial"/>
          <w:bCs/>
          <w:snapToGrid w:val="0"/>
          <w:color w:val="000000"/>
          <w:sz w:val="20"/>
          <w:lang w:val="en-US" w:eastAsia="de-DE" w:bidi="en-US"/>
        </w:rPr>
      </w:pPr>
    </w:p>
    <w:p w14:paraId="6470C3DF" w14:textId="59BC3E82" w:rsidR="002517B7" w:rsidRPr="00754587" w:rsidRDefault="00923127" w:rsidP="002517B7">
      <w:pPr>
        <w:jc w:val="both"/>
        <w:rPr>
          <w:rFonts w:ascii="Arial" w:eastAsia="Times New Roman" w:hAnsi="Arial" w:cs="Arial"/>
          <w:bCs/>
          <w:snapToGrid w:val="0"/>
          <w:color w:val="000000"/>
          <w:sz w:val="20"/>
          <w:lang w:val="en-US" w:eastAsia="de-DE" w:bidi="en-US"/>
        </w:rPr>
      </w:pPr>
      <w:r>
        <w:rPr>
          <w:noProof/>
        </w:rPr>
        <w:lastRenderedPageBreak/>
        <w:drawing>
          <wp:inline distT="0" distB="0" distL="0" distR="0" wp14:anchorId="7DBDB1D9" wp14:editId="0A309822">
            <wp:extent cx="5295900" cy="4376392"/>
            <wp:effectExtent l="0" t="0" r="0" b="5715"/>
            <wp:docPr id="1282185097" name="Imagen 4"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85097" name="Imagen 4" descr="Escala de tiemp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0573" cy="4380254"/>
                    </a:xfrm>
                    <a:prstGeom prst="rect">
                      <a:avLst/>
                    </a:prstGeom>
                    <a:noFill/>
                    <a:ln>
                      <a:noFill/>
                    </a:ln>
                  </pic:spPr>
                </pic:pic>
              </a:graphicData>
            </a:graphic>
          </wp:inline>
        </w:drawing>
      </w:r>
    </w:p>
    <w:p w14:paraId="551736C0" w14:textId="2E38804D" w:rsidR="002517B7" w:rsidRPr="00754587" w:rsidRDefault="002517B7" w:rsidP="002517B7">
      <w:pPr>
        <w:jc w:val="both"/>
        <w:rPr>
          <w:rFonts w:ascii="Arial" w:eastAsia="Times New Roman" w:hAnsi="Arial" w:cs="Arial"/>
          <w:lang w:val="en-US" w:eastAsia="de-DE" w:bidi="en-US"/>
        </w:rPr>
      </w:pPr>
      <w:r w:rsidRPr="00754587">
        <w:rPr>
          <w:rFonts w:ascii="Arial" w:eastAsia="Times New Roman" w:hAnsi="Arial" w:cs="Arial"/>
          <w:b/>
          <w:snapToGrid w:val="0"/>
          <w:color w:val="000000"/>
          <w:lang w:val="en-US" w:eastAsia="de-DE" w:bidi="en-US"/>
        </w:rPr>
        <w:t>Figure S</w:t>
      </w:r>
      <w:r w:rsidR="00336CE8" w:rsidRPr="00754587">
        <w:rPr>
          <w:rFonts w:ascii="Arial" w:eastAsia="Times New Roman" w:hAnsi="Arial" w:cs="Arial"/>
          <w:b/>
          <w:snapToGrid w:val="0"/>
          <w:color w:val="000000"/>
          <w:lang w:val="en-US" w:eastAsia="de-DE" w:bidi="en-US"/>
        </w:rPr>
        <w:t>5</w:t>
      </w:r>
      <w:r w:rsidRPr="00754587">
        <w:rPr>
          <w:rFonts w:ascii="Arial" w:eastAsia="Times New Roman" w:hAnsi="Arial" w:cs="Arial"/>
          <w:b/>
          <w:snapToGrid w:val="0"/>
          <w:color w:val="000000"/>
          <w:lang w:val="en-US" w:eastAsia="de-DE" w:bidi="en-US"/>
        </w:rPr>
        <w:t xml:space="preserve">. </w:t>
      </w:r>
      <w:r w:rsidRPr="00754587">
        <w:rPr>
          <w:rFonts w:ascii="Arial" w:eastAsia="Times New Roman" w:hAnsi="Arial" w:cs="Arial"/>
          <w:bCs/>
          <w:snapToGrid w:val="0"/>
          <w:color w:val="000000"/>
          <w:lang w:val="en-US" w:eastAsia="de-DE" w:bidi="en-US"/>
        </w:rPr>
        <w:t>Assessment of PDT efficacy in T98G cells by phase-contrast morphology and PI staining 24 h post-irradiation</w:t>
      </w:r>
      <w:r w:rsidRPr="00754587">
        <w:rPr>
          <w:rFonts w:ascii="Arial" w:hAnsi="Arial" w:cs="Arial"/>
          <w:bCs/>
          <w:lang w:val="en-US" w:eastAsia="de-DE" w:bidi="en-US"/>
        </w:rPr>
        <w:t>.</w:t>
      </w:r>
      <w:r w:rsidRPr="00754587">
        <w:rPr>
          <w:rFonts w:ascii="Arial" w:hAnsi="Arial" w:cs="Arial"/>
          <w:lang w:val="en-US" w:eastAsia="de-DE" w:bidi="en-US"/>
        </w:rPr>
        <w:t xml:space="preserve"> </w:t>
      </w:r>
      <w:r w:rsidRPr="00754587">
        <w:rPr>
          <w:rFonts w:ascii="Arial" w:eastAsia="Times New Roman" w:hAnsi="Arial" w:cs="Arial"/>
          <w:bCs/>
          <w:snapToGrid w:val="0"/>
          <w:color w:val="000000"/>
          <w:lang w:val="en-US" w:eastAsia="de-DE" w:bidi="en-US"/>
        </w:rPr>
        <w:t xml:space="preserve">Representative images of T98G cells subjected to different treatment conditions are shown: </w:t>
      </w:r>
      <w:r w:rsidRPr="00754587">
        <w:rPr>
          <w:rFonts w:ascii="Arial" w:hAnsi="Arial" w:cs="Arial"/>
          <w:kern w:val="2"/>
          <w14:ligatures w14:val="standardContextual"/>
        </w:rPr>
        <w:t xml:space="preserve">F8BT-PtOEP-Tf </w:t>
      </w:r>
      <w:r w:rsidR="00923127">
        <w:rPr>
          <w:rFonts w:ascii="Arial" w:hAnsi="Arial" w:cs="Arial"/>
          <w:kern w:val="2"/>
          <w14:ligatures w14:val="standardContextual"/>
        </w:rPr>
        <w:t>CPNs</w:t>
      </w:r>
      <w:r w:rsidRPr="00754587">
        <w:rPr>
          <w:rFonts w:ascii="Arial" w:hAnsi="Arial" w:cs="Arial"/>
          <w:kern w:val="2"/>
          <w14:ligatures w14:val="standardContextual"/>
        </w:rPr>
        <w:t xml:space="preserve"> </w:t>
      </w:r>
      <w:r w:rsidRPr="00754587">
        <w:rPr>
          <w:rFonts w:ascii="Arial" w:eastAsia="Times New Roman" w:hAnsi="Arial" w:cs="Arial"/>
          <w:bCs/>
          <w:snapToGrid w:val="0"/>
          <w:color w:val="000000"/>
          <w:lang w:val="en-US" w:eastAsia="de-DE" w:bidi="en-US"/>
        </w:rPr>
        <w:t xml:space="preserve">-treated followed by PDT illumination (top row), </w:t>
      </w:r>
      <w:r w:rsidRPr="00754587">
        <w:rPr>
          <w:rFonts w:ascii="Arial" w:hAnsi="Arial" w:cs="Arial"/>
          <w:kern w:val="2"/>
          <w14:ligatures w14:val="standardContextual"/>
        </w:rPr>
        <w:t xml:space="preserve">F8BT-PtOEP </w:t>
      </w:r>
      <w:r w:rsidR="00923127">
        <w:rPr>
          <w:rFonts w:ascii="Arial" w:hAnsi="Arial" w:cs="Arial"/>
          <w:kern w:val="2"/>
          <w14:ligatures w14:val="standardContextual"/>
        </w:rPr>
        <w:t>CPNs</w:t>
      </w:r>
      <w:r w:rsidRPr="00754587">
        <w:rPr>
          <w:rFonts w:ascii="Arial" w:eastAsia="Times New Roman" w:hAnsi="Arial" w:cs="Arial"/>
          <w:bCs/>
          <w:snapToGrid w:val="0"/>
          <w:color w:val="000000"/>
          <w:lang w:val="en-US" w:eastAsia="de-DE" w:bidi="en-US"/>
        </w:rPr>
        <w:t>-treated followed by PDT illumination (middle row), and light illumination-treated cells (bottom row). For each condition, phase-contrast micrographs (left column) depict cell morphology, Hoechst-stained nuclei (center column, blue) confirm total cell number, and PI staining (right column, red) indicates membrane-compromised, non-viable cells. Cells exposed to PDT show pronounced cytotoxic effects, including loss of cell–cell contacts, rounding, detachment, and a marked increase in PI-positive nuclei compared with controls and non-irradiated CPN groups. Scale bars = 100 µm</w:t>
      </w:r>
      <w:r w:rsidR="00923127">
        <w:rPr>
          <w:rFonts w:ascii="Arial" w:eastAsia="Times New Roman" w:hAnsi="Arial" w:cs="Arial"/>
          <w:bCs/>
          <w:snapToGrid w:val="0"/>
          <w:color w:val="000000"/>
          <w:lang w:val="en-US" w:eastAsia="de-DE" w:bidi="en-US"/>
        </w:rPr>
        <w:t>.</w:t>
      </w:r>
    </w:p>
    <w:p w14:paraId="769C3D70" w14:textId="77777777" w:rsidR="002517B7" w:rsidRPr="00754587" w:rsidRDefault="002517B7" w:rsidP="002517B7">
      <w:pPr>
        <w:rPr>
          <w:rFonts w:ascii="Arial" w:hAnsi="Arial" w:cs="Arial"/>
          <w:lang w:val="en-US" w:eastAsia="de-DE" w:bidi="en-US"/>
        </w:rPr>
      </w:pPr>
    </w:p>
    <w:p w14:paraId="4FDD1BD9" w14:textId="77777777" w:rsidR="00336CE8" w:rsidRPr="00754587" w:rsidRDefault="00336CE8" w:rsidP="002517B7">
      <w:pPr>
        <w:rPr>
          <w:rFonts w:ascii="Arial" w:hAnsi="Arial" w:cs="Arial"/>
          <w:lang w:val="en-US" w:eastAsia="de-DE" w:bidi="en-US"/>
        </w:rPr>
      </w:pPr>
    </w:p>
    <w:p w14:paraId="4F3B58D8" w14:textId="77777777" w:rsidR="00336CE8" w:rsidRPr="00754587" w:rsidRDefault="00336CE8" w:rsidP="002517B7">
      <w:pPr>
        <w:rPr>
          <w:rFonts w:ascii="Arial" w:hAnsi="Arial" w:cs="Arial"/>
          <w:lang w:val="en-US" w:eastAsia="de-DE" w:bidi="en-US"/>
        </w:rPr>
      </w:pPr>
    </w:p>
    <w:p w14:paraId="5D3B25D2" w14:textId="77777777" w:rsidR="00336CE8" w:rsidRPr="00754587" w:rsidRDefault="00336CE8" w:rsidP="002517B7">
      <w:pPr>
        <w:rPr>
          <w:rFonts w:ascii="Arial" w:hAnsi="Arial" w:cs="Arial"/>
          <w:lang w:val="en-US" w:eastAsia="de-DE" w:bidi="en-US"/>
        </w:rPr>
      </w:pPr>
    </w:p>
    <w:p w14:paraId="3CEE5C18" w14:textId="77777777" w:rsidR="00336CE8" w:rsidRPr="00754587" w:rsidRDefault="00336CE8" w:rsidP="002517B7">
      <w:pPr>
        <w:rPr>
          <w:rFonts w:ascii="Arial" w:hAnsi="Arial" w:cs="Arial"/>
          <w:b/>
          <w:bCs/>
          <w:lang w:eastAsia="de-DE" w:bidi="en-US"/>
        </w:rPr>
      </w:pPr>
    </w:p>
    <w:p w14:paraId="574D77C8" w14:textId="77777777" w:rsidR="00336CE8" w:rsidRPr="00754587" w:rsidRDefault="00336CE8" w:rsidP="002517B7">
      <w:pPr>
        <w:rPr>
          <w:rFonts w:ascii="Arial" w:hAnsi="Arial" w:cs="Arial"/>
          <w:b/>
          <w:bCs/>
          <w:lang w:eastAsia="de-DE" w:bidi="en-US"/>
        </w:rPr>
      </w:pPr>
    </w:p>
    <w:p w14:paraId="5D5ED216" w14:textId="77777777" w:rsidR="00336CE8" w:rsidRPr="00754587" w:rsidRDefault="00336CE8" w:rsidP="002517B7">
      <w:pPr>
        <w:rPr>
          <w:rFonts w:ascii="Arial" w:hAnsi="Arial" w:cs="Arial"/>
          <w:b/>
          <w:bCs/>
          <w:lang w:eastAsia="de-DE" w:bidi="en-US"/>
        </w:rPr>
      </w:pPr>
    </w:p>
    <w:p w14:paraId="58ADFA61" w14:textId="77777777" w:rsidR="00336CE8" w:rsidRPr="00754587" w:rsidRDefault="00336CE8" w:rsidP="002517B7">
      <w:pPr>
        <w:rPr>
          <w:rFonts w:ascii="Arial" w:hAnsi="Arial" w:cs="Arial"/>
          <w:b/>
          <w:bCs/>
          <w:lang w:eastAsia="de-DE" w:bidi="en-US"/>
        </w:rPr>
      </w:pPr>
    </w:p>
    <w:p w14:paraId="1F38D6E9" w14:textId="77777777" w:rsidR="00336CE8" w:rsidRPr="00754587" w:rsidRDefault="00336CE8" w:rsidP="002517B7">
      <w:pPr>
        <w:rPr>
          <w:rFonts w:ascii="Arial" w:hAnsi="Arial" w:cs="Arial"/>
          <w:b/>
          <w:bCs/>
          <w:lang w:eastAsia="de-DE" w:bidi="en-US"/>
        </w:rPr>
      </w:pPr>
    </w:p>
    <w:p w14:paraId="33865F5F" w14:textId="77777777" w:rsidR="00336CE8" w:rsidRPr="00754587" w:rsidRDefault="00336CE8" w:rsidP="002517B7">
      <w:pPr>
        <w:rPr>
          <w:rFonts w:ascii="Arial" w:hAnsi="Arial" w:cs="Arial"/>
          <w:b/>
          <w:bCs/>
          <w:lang w:eastAsia="de-DE" w:bidi="en-US"/>
        </w:rPr>
      </w:pPr>
    </w:p>
    <w:p w14:paraId="7FAB67F6" w14:textId="77777777" w:rsidR="00336CE8" w:rsidRPr="00754587" w:rsidRDefault="00336CE8" w:rsidP="002517B7">
      <w:pPr>
        <w:rPr>
          <w:rFonts w:ascii="Arial" w:hAnsi="Arial" w:cs="Arial"/>
          <w:b/>
          <w:bCs/>
          <w:lang w:eastAsia="de-DE" w:bidi="en-US"/>
        </w:rPr>
      </w:pPr>
    </w:p>
    <w:p w14:paraId="06E8E121" w14:textId="77777777" w:rsidR="00336CE8" w:rsidRPr="00754587" w:rsidRDefault="00336CE8" w:rsidP="002517B7">
      <w:pPr>
        <w:rPr>
          <w:rFonts w:ascii="Arial" w:hAnsi="Arial" w:cs="Arial"/>
          <w:b/>
          <w:bCs/>
          <w:lang w:eastAsia="de-DE" w:bidi="en-US"/>
        </w:rPr>
      </w:pPr>
    </w:p>
    <w:p w14:paraId="685CEE4C" w14:textId="77777777" w:rsidR="00336CE8" w:rsidRPr="00754587" w:rsidRDefault="00336CE8" w:rsidP="00336CE8">
      <w:pPr>
        <w:jc w:val="both"/>
        <w:rPr>
          <w:rFonts w:ascii="Arial" w:hAnsi="Arial" w:cs="Arial"/>
          <w:b/>
          <w:bCs/>
          <w:lang w:eastAsia="de-DE" w:bidi="en-US"/>
        </w:rPr>
      </w:pPr>
    </w:p>
    <w:p w14:paraId="3063F25D" w14:textId="26F26BC3" w:rsidR="00336CE8" w:rsidRPr="00754587" w:rsidRDefault="00923127" w:rsidP="00336CE8">
      <w:pPr>
        <w:jc w:val="both"/>
        <w:rPr>
          <w:rFonts w:ascii="Arial" w:hAnsi="Arial" w:cs="Arial"/>
          <w:b/>
          <w:bCs/>
          <w:lang w:eastAsia="de-DE" w:bidi="en-US"/>
        </w:rPr>
      </w:pPr>
      <w:r>
        <w:rPr>
          <w:noProof/>
        </w:rPr>
        <w:lastRenderedPageBreak/>
        <w:drawing>
          <wp:inline distT="0" distB="0" distL="0" distR="0" wp14:anchorId="1DDF3BD5" wp14:editId="54F9B20E">
            <wp:extent cx="5760720" cy="5288280"/>
            <wp:effectExtent l="0" t="0" r="0" b="7620"/>
            <wp:docPr id="1483965380" name="Imagen 5"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65380" name="Imagen 5" descr="Imagen que contiene Diagrama&#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288280"/>
                    </a:xfrm>
                    <a:prstGeom prst="rect">
                      <a:avLst/>
                    </a:prstGeom>
                    <a:noFill/>
                    <a:ln>
                      <a:noFill/>
                    </a:ln>
                  </pic:spPr>
                </pic:pic>
              </a:graphicData>
            </a:graphic>
          </wp:inline>
        </w:drawing>
      </w:r>
    </w:p>
    <w:p w14:paraId="4FEE51AF" w14:textId="3C10974F" w:rsidR="00336CE8" w:rsidRPr="00754587" w:rsidRDefault="00336CE8" w:rsidP="00336CE8">
      <w:pPr>
        <w:jc w:val="both"/>
        <w:rPr>
          <w:rFonts w:ascii="Arial" w:hAnsi="Arial" w:cs="Arial"/>
          <w:lang w:val="en-US" w:eastAsia="de-DE" w:bidi="en-US"/>
        </w:rPr>
      </w:pPr>
      <w:r w:rsidRPr="00754587">
        <w:rPr>
          <w:rFonts w:ascii="Arial" w:hAnsi="Arial" w:cs="Arial"/>
          <w:b/>
          <w:bCs/>
          <w:lang w:eastAsia="de-DE" w:bidi="en-US"/>
        </w:rPr>
        <w:t xml:space="preserve">Figure S6. </w:t>
      </w:r>
      <w:r w:rsidRPr="00754587">
        <w:rPr>
          <w:rFonts w:ascii="Arial" w:hAnsi="Arial" w:cs="Arial"/>
          <w:lang w:eastAsia="de-DE" w:bidi="en-US"/>
        </w:rPr>
        <w:t>Effect of CPNs-mediated PDT on GBM cell migration evaluated by wound healing assay. Representative phase-contrast images of wound closure in U87MG (</w:t>
      </w:r>
      <w:r w:rsidR="00923127">
        <w:rPr>
          <w:rFonts w:ascii="Arial" w:hAnsi="Arial" w:cs="Arial"/>
          <w:lang w:eastAsia="de-DE" w:bidi="en-US"/>
        </w:rPr>
        <w:t>A</w:t>
      </w:r>
      <w:r w:rsidRPr="00754587">
        <w:rPr>
          <w:rFonts w:ascii="Arial" w:hAnsi="Arial" w:cs="Arial"/>
          <w:lang w:eastAsia="de-DE" w:bidi="en-US"/>
        </w:rPr>
        <w:t>) and T98G (</w:t>
      </w:r>
      <w:r w:rsidR="00923127">
        <w:rPr>
          <w:rFonts w:ascii="Arial" w:hAnsi="Arial" w:cs="Arial"/>
          <w:lang w:eastAsia="de-DE" w:bidi="en-US"/>
        </w:rPr>
        <w:t>B</w:t>
      </w:r>
      <w:r w:rsidRPr="00754587">
        <w:rPr>
          <w:rFonts w:ascii="Arial" w:hAnsi="Arial" w:cs="Arial"/>
          <w:lang w:eastAsia="de-DE" w:bidi="en-US"/>
        </w:rPr>
        <w:t>) cells immediately after scratch generation (0 h) and after 24 h. Cells were treated with a sublethal concentration of nanoparticles (2.5 mg·L</w:t>
      </w:r>
      <w:r w:rsidRPr="00754587">
        <w:rPr>
          <w:rFonts w:ascii="Cambria Math" w:hAnsi="Cambria Math" w:cs="Cambria Math"/>
          <w:lang w:eastAsia="de-DE" w:bidi="en-US"/>
        </w:rPr>
        <w:t>⁻</w:t>
      </w:r>
      <w:r w:rsidRPr="00754587">
        <w:rPr>
          <w:rFonts w:ascii="Arial" w:hAnsi="Arial" w:cs="Arial"/>
          <w:lang w:eastAsia="de-DE" w:bidi="en-US"/>
        </w:rPr>
        <w:t>¹) followed by PDT under the irradiation conditions described in the Methods section. The wound edges are outlined for clarity. Scale bars: 500 μm. (</w:t>
      </w:r>
      <w:r w:rsidR="00923127">
        <w:rPr>
          <w:rFonts w:ascii="Arial" w:hAnsi="Arial" w:cs="Arial"/>
          <w:lang w:eastAsia="de-DE" w:bidi="en-US"/>
        </w:rPr>
        <w:t>C</w:t>
      </w:r>
      <w:r w:rsidRPr="00754587">
        <w:rPr>
          <w:rFonts w:ascii="Arial" w:hAnsi="Arial" w:cs="Arial"/>
          <w:lang w:eastAsia="de-DE" w:bidi="en-US"/>
        </w:rPr>
        <w:t>) Quantification of wound closure expressed as percentage of wound closure relative to the initial wound area. Data represent mean ± SD (n = 3). Statistical significance was determined using one-way ANOVA followed by post hoc multiple comparison test. **</w:t>
      </w:r>
      <w:r w:rsidRPr="00754587">
        <w:rPr>
          <w:rFonts w:ascii="Arial" w:hAnsi="Arial" w:cs="Arial"/>
          <w:i/>
          <w:iCs/>
          <w:lang w:eastAsia="de-DE" w:bidi="en-US"/>
        </w:rPr>
        <w:t>p &lt; 0.01</w:t>
      </w:r>
      <w:r w:rsidRPr="00754587">
        <w:rPr>
          <w:rFonts w:ascii="Arial" w:hAnsi="Arial" w:cs="Arial"/>
          <w:lang w:eastAsia="de-DE" w:bidi="en-US"/>
        </w:rPr>
        <w:t>, ****</w:t>
      </w:r>
      <w:r w:rsidRPr="00754587">
        <w:rPr>
          <w:rFonts w:ascii="Arial" w:hAnsi="Arial" w:cs="Arial"/>
          <w:i/>
          <w:iCs/>
          <w:lang w:eastAsia="de-DE" w:bidi="en-US"/>
        </w:rPr>
        <w:t>p &lt; 0.0001</w:t>
      </w:r>
      <w:r w:rsidRPr="00754587">
        <w:rPr>
          <w:rFonts w:ascii="Arial" w:hAnsi="Arial" w:cs="Arial"/>
          <w:lang w:eastAsia="de-DE" w:bidi="en-US"/>
        </w:rPr>
        <w:t>.</w:t>
      </w:r>
      <w:r w:rsidRPr="00754587">
        <w:rPr>
          <w:rFonts w:ascii="Arial" w:hAnsi="Arial" w:cs="Arial"/>
          <w:lang w:val="en-US" w:eastAsia="de-DE" w:bidi="en-US"/>
        </w:rPr>
        <w:t xml:space="preserve"> </w:t>
      </w:r>
    </w:p>
    <w:p w14:paraId="7715CE0E" w14:textId="77777777" w:rsidR="00D9086F" w:rsidRPr="00754587" w:rsidRDefault="00D9086F" w:rsidP="00336CE8">
      <w:pPr>
        <w:jc w:val="both"/>
        <w:rPr>
          <w:rFonts w:ascii="Arial" w:hAnsi="Arial" w:cs="Arial"/>
          <w:lang w:val="en-US" w:eastAsia="de-DE" w:bidi="en-US"/>
        </w:rPr>
      </w:pPr>
    </w:p>
    <w:p w14:paraId="48D90004" w14:textId="77777777" w:rsidR="00D9086F" w:rsidRPr="00754587" w:rsidRDefault="00D9086F" w:rsidP="00336CE8">
      <w:pPr>
        <w:jc w:val="both"/>
        <w:rPr>
          <w:rFonts w:ascii="Arial" w:hAnsi="Arial" w:cs="Arial"/>
          <w:b/>
          <w:bCs/>
          <w:lang w:eastAsia="de-DE" w:bidi="en-US"/>
        </w:rPr>
      </w:pPr>
    </w:p>
    <w:p w14:paraId="5445C33D" w14:textId="77777777" w:rsidR="00D9086F" w:rsidRPr="00754587" w:rsidRDefault="00D9086F" w:rsidP="00336CE8">
      <w:pPr>
        <w:jc w:val="both"/>
        <w:rPr>
          <w:rFonts w:ascii="Arial" w:hAnsi="Arial" w:cs="Arial"/>
          <w:b/>
          <w:bCs/>
          <w:lang w:eastAsia="de-DE" w:bidi="en-US"/>
        </w:rPr>
      </w:pPr>
    </w:p>
    <w:p w14:paraId="5EC8CF2E" w14:textId="77777777" w:rsidR="00D9086F" w:rsidRPr="00754587" w:rsidRDefault="00D9086F" w:rsidP="00336CE8">
      <w:pPr>
        <w:jc w:val="both"/>
        <w:rPr>
          <w:rFonts w:ascii="Arial" w:hAnsi="Arial" w:cs="Arial"/>
          <w:b/>
          <w:bCs/>
          <w:lang w:eastAsia="de-DE" w:bidi="en-US"/>
        </w:rPr>
      </w:pPr>
    </w:p>
    <w:p w14:paraId="7D80DA12" w14:textId="77777777" w:rsidR="00D9086F" w:rsidRPr="00754587" w:rsidRDefault="00D9086F" w:rsidP="00336CE8">
      <w:pPr>
        <w:jc w:val="both"/>
        <w:rPr>
          <w:rFonts w:ascii="Arial" w:hAnsi="Arial" w:cs="Arial"/>
          <w:b/>
          <w:bCs/>
          <w:lang w:eastAsia="de-DE" w:bidi="en-US"/>
        </w:rPr>
      </w:pPr>
    </w:p>
    <w:p w14:paraId="164934A2" w14:textId="77777777" w:rsidR="00D9086F" w:rsidRPr="00754587" w:rsidRDefault="00D9086F" w:rsidP="00336CE8">
      <w:pPr>
        <w:jc w:val="both"/>
        <w:rPr>
          <w:rFonts w:ascii="Arial" w:hAnsi="Arial" w:cs="Arial"/>
          <w:b/>
          <w:bCs/>
          <w:lang w:eastAsia="de-DE" w:bidi="en-US"/>
        </w:rPr>
      </w:pPr>
    </w:p>
    <w:p w14:paraId="4ABBB71C" w14:textId="77777777" w:rsidR="00D9086F" w:rsidRPr="00754587" w:rsidRDefault="00D9086F" w:rsidP="00336CE8">
      <w:pPr>
        <w:jc w:val="both"/>
        <w:rPr>
          <w:rFonts w:ascii="Arial" w:hAnsi="Arial" w:cs="Arial"/>
          <w:b/>
          <w:bCs/>
          <w:lang w:eastAsia="de-DE" w:bidi="en-US"/>
        </w:rPr>
      </w:pPr>
    </w:p>
    <w:p w14:paraId="46D19540" w14:textId="77777777" w:rsidR="00D9086F" w:rsidRPr="00754587" w:rsidRDefault="00D9086F" w:rsidP="00336CE8">
      <w:pPr>
        <w:jc w:val="both"/>
        <w:rPr>
          <w:rFonts w:ascii="Arial" w:hAnsi="Arial" w:cs="Arial"/>
          <w:b/>
          <w:bCs/>
          <w:lang w:eastAsia="de-DE" w:bidi="en-US"/>
        </w:rPr>
      </w:pPr>
    </w:p>
    <w:p w14:paraId="475B703A" w14:textId="77777777" w:rsidR="00D9086F" w:rsidRPr="00754587" w:rsidRDefault="00D9086F" w:rsidP="00336CE8">
      <w:pPr>
        <w:jc w:val="both"/>
        <w:rPr>
          <w:rFonts w:ascii="Arial" w:hAnsi="Arial" w:cs="Arial"/>
          <w:b/>
          <w:bCs/>
          <w:lang w:eastAsia="de-DE" w:bidi="en-US"/>
        </w:rPr>
      </w:pPr>
    </w:p>
    <w:p w14:paraId="3BEB9A79" w14:textId="77777777" w:rsidR="00D9086F" w:rsidRPr="00754587" w:rsidRDefault="00D9086F" w:rsidP="00336CE8">
      <w:pPr>
        <w:jc w:val="both"/>
        <w:rPr>
          <w:rFonts w:ascii="Arial" w:hAnsi="Arial" w:cs="Arial"/>
          <w:b/>
          <w:bCs/>
          <w:lang w:eastAsia="de-DE" w:bidi="en-US"/>
        </w:rPr>
      </w:pPr>
    </w:p>
    <w:p w14:paraId="71DAF717" w14:textId="77777777" w:rsidR="00D9086F" w:rsidRPr="00754587" w:rsidRDefault="00D9086F" w:rsidP="00336CE8">
      <w:pPr>
        <w:jc w:val="both"/>
        <w:rPr>
          <w:rFonts w:ascii="Arial" w:hAnsi="Arial" w:cs="Arial"/>
          <w:b/>
          <w:bCs/>
          <w:lang w:eastAsia="de-DE" w:bidi="en-US"/>
        </w:rPr>
      </w:pPr>
    </w:p>
    <w:p w14:paraId="33100995" w14:textId="77777777" w:rsidR="00D9086F" w:rsidRPr="00754587" w:rsidRDefault="00D9086F" w:rsidP="00336CE8">
      <w:pPr>
        <w:jc w:val="both"/>
        <w:rPr>
          <w:rFonts w:ascii="Arial" w:hAnsi="Arial" w:cs="Arial"/>
          <w:b/>
          <w:bCs/>
          <w:lang w:eastAsia="de-DE" w:bidi="en-US"/>
        </w:rPr>
      </w:pPr>
    </w:p>
    <w:p w14:paraId="6867959B" w14:textId="2D24A8E2" w:rsidR="00D6033F" w:rsidRPr="00754587" w:rsidRDefault="00923127" w:rsidP="00336CE8">
      <w:pPr>
        <w:jc w:val="both"/>
        <w:rPr>
          <w:rFonts w:ascii="Arial" w:hAnsi="Arial" w:cs="Arial"/>
          <w:b/>
          <w:bCs/>
          <w:lang w:eastAsia="de-DE" w:bidi="en-US"/>
        </w:rPr>
      </w:pPr>
      <w:r>
        <w:rPr>
          <w:noProof/>
        </w:rPr>
        <w:lastRenderedPageBreak/>
        <w:drawing>
          <wp:inline distT="0" distB="0" distL="0" distR="0" wp14:anchorId="62EFCF54" wp14:editId="7208C1A4">
            <wp:extent cx="5760720" cy="2170430"/>
            <wp:effectExtent l="0" t="0" r="0" b="1270"/>
            <wp:docPr id="1370486050" name="Imagen 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86050" name="Imagen 6" descr="Gráfic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170430"/>
                    </a:xfrm>
                    <a:prstGeom prst="rect">
                      <a:avLst/>
                    </a:prstGeom>
                    <a:noFill/>
                    <a:ln>
                      <a:noFill/>
                    </a:ln>
                  </pic:spPr>
                </pic:pic>
              </a:graphicData>
            </a:graphic>
          </wp:inline>
        </w:drawing>
      </w:r>
    </w:p>
    <w:p w14:paraId="539BB482" w14:textId="570B701E" w:rsidR="00D9086F" w:rsidRPr="00754587" w:rsidRDefault="00D9086F" w:rsidP="00336CE8">
      <w:pPr>
        <w:jc w:val="both"/>
        <w:rPr>
          <w:rFonts w:ascii="Arial" w:hAnsi="Arial" w:cs="Arial"/>
          <w:lang w:eastAsia="de-DE" w:bidi="en-US"/>
        </w:rPr>
      </w:pPr>
      <w:bookmarkStart w:id="1" w:name="_Hlk228917528"/>
      <w:r w:rsidRPr="00754587">
        <w:rPr>
          <w:rFonts w:ascii="Arial" w:hAnsi="Arial" w:cs="Arial"/>
          <w:b/>
          <w:bCs/>
          <w:lang w:eastAsia="de-DE" w:bidi="en-US"/>
        </w:rPr>
        <w:t>Figure S7. Clonogenic survival of GBM cells following PDT mediated by F8BT-PtOEP CPNs.</w:t>
      </w:r>
      <w:r w:rsidRPr="00754587">
        <w:rPr>
          <w:rFonts w:ascii="Arial" w:hAnsi="Arial" w:cs="Arial"/>
          <w:lang w:eastAsia="de-DE" w:bidi="en-US"/>
        </w:rPr>
        <w:t xml:space="preserve"> (</w:t>
      </w:r>
      <w:r w:rsidR="00923127">
        <w:rPr>
          <w:rFonts w:ascii="Arial" w:hAnsi="Arial" w:cs="Arial"/>
          <w:lang w:eastAsia="de-DE" w:bidi="en-US"/>
        </w:rPr>
        <w:t>A</w:t>
      </w:r>
      <w:r w:rsidRPr="00754587">
        <w:rPr>
          <w:rFonts w:ascii="Arial" w:hAnsi="Arial" w:cs="Arial"/>
          <w:lang w:eastAsia="de-DE" w:bidi="en-US"/>
        </w:rPr>
        <w:t>) Representative images of crystal violet-stained colonies formed by U87MG and T98G cells after treatment with F8BT-PtOEP CPNs or F8BT-PtOEP-Tf CPNs (10 mg·L</w:t>
      </w:r>
      <w:r w:rsidRPr="00754587">
        <w:rPr>
          <w:rFonts w:ascii="Cambria Math" w:hAnsi="Cambria Math" w:cs="Cambria Math"/>
          <w:lang w:eastAsia="de-DE" w:bidi="en-US"/>
        </w:rPr>
        <w:t>⁻</w:t>
      </w:r>
      <w:r w:rsidRPr="00754587">
        <w:rPr>
          <w:rFonts w:ascii="Arial" w:hAnsi="Arial" w:cs="Arial"/>
          <w:lang w:eastAsia="de-DE" w:bidi="en-US"/>
        </w:rPr>
        <w:t>¹) followed by PDT (40 J·cm</w:t>
      </w:r>
      <w:r w:rsidRPr="00754587">
        <w:rPr>
          <w:rFonts w:ascii="Cambria Math" w:hAnsi="Cambria Math" w:cs="Cambria Math"/>
          <w:lang w:eastAsia="de-DE" w:bidi="en-US"/>
        </w:rPr>
        <w:t>⁻</w:t>
      </w:r>
      <w:r w:rsidRPr="00754587">
        <w:rPr>
          <w:rFonts w:ascii="Arial" w:hAnsi="Arial" w:cs="Arial"/>
          <w:lang w:eastAsia="de-DE" w:bidi="en-US"/>
        </w:rPr>
        <w:t xml:space="preserve">²). Cells treated with light only were included as irradiated controls. Colonies were allowed to grow for </w:t>
      </w:r>
      <w:r w:rsidR="0056420E" w:rsidRPr="00754587">
        <w:rPr>
          <w:rFonts w:ascii="Arial" w:hAnsi="Arial" w:cs="Arial"/>
          <w:lang w:eastAsia="de-DE" w:bidi="en-US"/>
        </w:rPr>
        <w:t>7</w:t>
      </w:r>
      <w:r w:rsidRPr="00754587">
        <w:rPr>
          <w:rFonts w:ascii="Arial" w:hAnsi="Arial" w:cs="Arial"/>
          <w:lang w:eastAsia="de-DE" w:bidi="en-US"/>
        </w:rPr>
        <w:t xml:space="preserve"> days after treatment before fixation and staining.</w:t>
      </w:r>
      <w:r w:rsidR="001213CA" w:rsidRPr="00754587">
        <w:rPr>
          <w:rFonts w:ascii="Arial" w:hAnsi="Arial" w:cs="Arial"/>
          <w:lang w:eastAsia="de-DE" w:bidi="en-US"/>
        </w:rPr>
        <w:t xml:space="preserve"> </w:t>
      </w:r>
      <w:r w:rsidRPr="00754587">
        <w:rPr>
          <w:rFonts w:ascii="Arial" w:hAnsi="Arial" w:cs="Arial"/>
          <w:lang w:eastAsia="de-DE" w:bidi="en-US"/>
        </w:rPr>
        <w:t>(</w:t>
      </w:r>
      <w:r w:rsidR="00923127">
        <w:rPr>
          <w:rFonts w:ascii="Arial" w:hAnsi="Arial" w:cs="Arial"/>
          <w:lang w:eastAsia="de-DE" w:bidi="en-US"/>
        </w:rPr>
        <w:t>B</w:t>
      </w:r>
      <w:r w:rsidRPr="00754587">
        <w:rPr>
          <w:rFonts w:ascii="Arial" w:hAnsi="Arial" w:cs="Arial"/>
          <w:lang w:eastAsia="de-DE" w:bidi="en-US"/>
        </w:rPr>
        <w:t>) Quantification of colony number for each experimental condition. PDT mediated by F8BT-PtOEP-Tf CPNs significantly reduced clonogenic survival in U87MG cells compared with non-functionalized nanoparticles, whereas a more moderate effect was observed in T98G cells. Data are presented as mean ± SD. Statistical significance was determined by one-way ANOVA followed by appropriate post hoc analysis (***p &lt; 0.001; ns: not significant).</w:t>
      </w:r>
    </w:p>
    <w:bookmarkEnd w:id="1"/>
    <w:p w14:paraId="613BC921" w14:textId="77777777" w:rsidR="00D9086F" w:rsidRPr="00754587" w:rsidRDefault="00D9086F" w:rsidP="00336CE8">
      <w:pPr>
        <w:jc w:val="both"/>
        <w:rPr>
          <w:rFonts w:ascii="Arial" w:hAnsi="Arial" w:cs="Arial"/>
          <w:lang w:eastAsia="de-DE" w:bidi="en-US"/>
        </w:rPr>
      </w:pPr>
    </w:p>
    <w:p w14:paraId="7822BFC4" w14:textId="49014C10" w:rsidR="00D9086F" w:rsidRPr="00754587" w:rsidRDefault="00D9086F" w:rsidP="00336CE8">
      <w:pPr>
        <w:jc w:val="both"/>
        <w:rPr>
          <w:rFonts w:ascii="Arial" w:hAnsi="Arial" w:cs="Arial"/>
          <w:lang w:val="en-US" w:eastAsia="de-DE" w:bidi="en-US"/>
        </w:rPr>
      </w:pPr>
    </w:p>
    <w:p w14:paraId="62EDDBC9" w14:textId="1A85D5D3" w:rsidR="002517B7" w:rsidRPr="00754587" w:rsidRDefault="00923127" w:rsidP="002517B7">
      <w:pPr>
        <w:pStyle w:val="MDPI31text"/>
        <w:ind w:left="0" w:firstLine="0"/>
        <w:jc w:val="center"/>
        <w:rPr>
          <w:rFonts w:ascii="Arial" w:hAnsi="Arial" w:cs="Arial"/>
          <w:b/>
          <w:lang w:val="en-GB"/>
        </w:rPr>
      </w:pPr>
      <w:r>
        <w:rPr>
          <w:noProof/>
        </w:rPr>
        <w:drawing>
          <wp:inline distT="0" distB="0" distL="0" distR="0" wp14:anchorId="4EC6033F" wp14:editId="0AE443C6">
            <wp:extent cx="2945849" cy="2609850"/>
            <wp:effectExtent l="0" t="0" r="6985" b="0"/>
            <wp:docPr id="444310502" name="Imagen 7"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10502" name="Imagen 7" descr="Imagen que contiene Interfaz de usuario gráfica&#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0924" cy="2614346"/>
                    </a:xfrm>
                    <a:prstGeom prst="rect">
                      <a:avLst/>
                    </a:prstGeom>
                    <a:noFill/>
                    <a:ln>
                      <a:noFill/>
                    </a:ln>
                  </pic:spPr>
                </pic:pic>
              </a:graphicData>
            </a:graphic>
          </wp:inline>
        </w:drawing>
      </w:r>
    </w:p>
    <w:p w14:paraId="158CD038" w14:textId="448024D8" w:rsidR="00853D30" w:rsidRPr="00754587" w:rsidRDefault="002517B7" w:rsidP="00923127">
      <w:pPr>
        <w:pStyle w:val="MDPI31text"/>
        <w:ind w:left="0" w:firstLine="0"/>
        <w:rPr>
          <w:rFonts w:ascii="Arial" w:hAnsi="Arial" w:cs="Arial"/>
          <w:lang w:val="es-AR"/>
        </w:rPr>
      </w:pPr>
      <w:bookmarkStart w:id="2" w:name="_Hlk228917546"/>
      <w:r w:rsidRPr="00754587">
        <w:rPr>
          <w:rFonts w:ascii="Arial" w:hAnsi="Arial" w:cs="Arial"/>
          <w:b/>
          <w:sz w:val="24"/>
          <w:szCs w:val="28"/>
        </w:rPr>
        <w:t>Figure S</w:t>
      </w:r>
      <w:r w:rsidR="006E0799" w:rsidRPr="00754587">
        <w:rPr>
          <w:rFonts w:ascii="Arial" w:hAnsi="Arial" w:cs="Arial"/>
          <w:b/>
          <w:sz w:val="24"/>
          <w:szCs w:val="28"/>
        </w:rPr>
        <w:t>8</w:t>
      </w:r>
      <w:r w:rsidRPr="00754587">
        <w:rPr>
          <w:rFonts w:ascii="Arial" w:hAnsi="Arial" w:cs="Arial"/>
          <w:b/>
          <w:sz w:val="24"/>
          <w:szCs w:val="28"/>
        </w:rPr>
        <w:t xml:space="preserve">. </w:t>
      </w:r>
      <w:r w:rsidRPr="00754587">
        <w:rPr>
          <w:rFonts w:ascii="Arial" w:hAnsi="Arial" w:cs="Arial"/>
          <w:bCs/>
          <w:sz w:val="24"/>
          <w:szCs w:val="28"/>
        </w:rPr>
        <w:t>Orthotopic GBM model established by stereotactic implantation of human U87MG-tdiRFP cells. Tumor cells were injected into the right cerebral hemisphere under stereotaxic guidance. (</w:t>
      </w:r>
      <w:r w:rsidR="00923127">
        <w:rPr>
          <w:rFonts w:ascii="Arial" w:hAnsi="Arial" w:cs="Arial"/>
          <w:bCs/>
          <w:sz w:val="24"/>
          <w:szCs w:val="28"/>
        </w:rPr>
        <w:t>A</w:t>
      </w:r>
      <w:r w:rsidRPr="00754587">
        <w:rPr>
          <w:rFonts w:ascii="Arial" w:hAnsi="Arial" w:cs="Arial"/>
          <w:bCs/>
          <w:sz w:val="24"/>
          <w:szCs w:val="28"/>
        </w:rPr>
        <w:t>) Macroscopic view of an excised mouse brain showing a developed tumor 15 days after implantation of U87MG-tdiRFP cells. (</w:t>
      </w:r>
      <w:r w:rsidR="00923127">
        <w:rPr>
          <w:rFonts w:ascii="Arial" w:hAnsi="Arial" w:cs="Arial"/>
          <w:bCs/>
          <w:sz w:val="24"/>
          <w:szCs w:val="28"/>
        </w:rPr>
        <w:t>B</w:t>
      </w:r>
      <w:r w:rsidRPr="00754587">
        <w:rPr>
          <w:rFonts w:ascii="Arial" w:hAnsi="Arial" w:cs="Arial"/>
          <w:bCs/>
          <w:sz w:val="24"/>
          <w:szCs w:val="28"/>
        </w:rPr>
        <w:t>) Corresponding near-infrared fluorescence image documenting the presence and location of the tumor mass derived from U87G-tdiRFP cells. (</w:t>
      </w:r>
      <w:r w:rsidR="00923127">
        <w:rPr>
          <w:rFonts w:ascii="Arial" w:hAnsi="Arial" w:cs="Arial"/>
          <w:bCs/>
          <w:sz w:val="24"/>
          <w:szCs w:val="28"/>
        </w:rPr>
        <w:t>C</w:t>
      </w:r>
      <w:r w:rsidRPr="00754587">
        <w:rPr>
          <w:rFonts w:ascii="Arial" w:hAnsi="Arial" w:cs="Arial"/>
          <w:bCs/>
          <w:sz w:val="24"/>
          <w:szCs w:val="28"/>
        </w:rPr>
        <w:t>) Representative hematoxylin–eosin (H&amp;E) micrograph of the tumor at 10× magnification. Scale bars = 10 µm. (</w:t>
      </w:r>
      <w:r w:rsidR="00923127">
        <w:rPr>
          <w:rFonts w:ascii="Arial" w:hAnsi="Arial" w:cs="Arial"/>
          <w:bCs/>
          <w:sz w:val="24"/>
          <w:szCs w:val="28"/>
        </w:rPr>
        <w:t>D</w:t>
      </w:r>
      <w:r w:rsidRPr="00754587">
        <w:rPr>
          <w:rFonts w:ascii="Arial" w:hAnsi="Arial" w:cs="Arial"/>
          <w:bCs/>
          <w:sz w:val="24"/>
          <w:szCs w:val="28"/>
        </w:rPr>
        <w:t xml:space="preserve">) Higher-magnification (40×) H&amp;E image highlighting the prominent vascular proliferation characteristic of GBM. Brains were fixed in 4% buffered formaldehyde, dehydrated, paraffin-embedded, and sectioned at 5 µm prior to H&amp;E staining. </w:t>
      </w:r>
      <w:proofErr w:type="spellStart"/>
      <w:r w:rsidRPr="00754587">
        <w:rPr>
          <w:rFonts w:ascii="Arial" w:hAnsi="Arial" w:cs="Arial"/>
          <w:bCs/>
          <w:sz w:val="24"/>
          <w:szCs w:val="28"/>
          <w:lang w:val="es-AR"/>
        </w:rPr>
        <w:t>Scale</w:t>
      </w:r>
      <w:proofErr w:type="spellEnd"/>
      <w:r w:rsidRPr="00754587">
        <w:rPr>
          <w:rFonts w:ascii="Arial" w:hAnsi="Arial" w:cs="Arial"/>
          <w:bCs/>
          <w:sz w:val="24"/>
          <w:szCs w:val="28"/>
          <w:lang w:val="es-AR"/>
        </w:rPr>
        <w:t xml:space="preserve"> </w:t>
      </w:r>
      <w:proofErr w:type="spellStart"/>
      <w:r w:rsidRPr="00754587">
        <w:rPr>
          <w:rFonts w:ascii="Arial" w:hAnsi="Arial" w:cs="Arial"/>
          <w:bCs/>
          <w:sz w:val="24"/>
          <w:szCs w:val="28"/>
          <w:lang w:val="es-AR"/>
        </w:rPr>
        <w:t>bars</w:t>
      </w:r>
      <w:proofErr w:type="spellEnd"/>
      <w:r w:rsidRPr="00754587">
        <w:rPr>
          <w:rFonts w:ascii="Arial" w:hAnsi="Arial" w:cs="Arial"/>
          <w:bCs/>
          <w:sz w:val="24"/>
          <w:szCs w:val="28"/>
          <w:lang w:val="es-AR"/>
        </w:rPr>
        <w:t xml:space="preserve"> = 100 µm.</w:t>
      </w:r>
      <w:bookmarkEnd w:id="2"/>
    </w:p>
    <w:sectPr w:rsidR="00853D30" w:rsidRPr="00754587" w:rsidSect="002517B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7B7"/>
    <w:rsid w:val="000450A0"/>
    <w:rsid w:val="00103DD9"/>
    <w:rsid w:val="001213CA"/>
    <w:rsid w:val="00125ED5"/>
    <w:rsid w:val="001742CD"/>
    <w:rsid w:val="00250EC6"/>
    <w:rsid w:val="002517B7"/>
    <w:rsid w:val="00267DE8"/>
    <w:rsid w:val="00336CE8"/>
    <w:rsid w:val="005243A4"/>
    <w:rsid w:val="0056420E"/>
    <w:rsid w:val="006413AA"/>
    <w:rsid w:val="006E0799"/>
    <w:rsid w:val="00754587"/>
    <w:rsid w:val="00853D30"/>
    <w:rsid w:val="00861B8F"/>
    <w:rsid w:val="00923127"/>
    <w:rsid w:val="00940CF1"/>
    <w:rsid w:val="00A10A6E"/>
    <w:rsid w:val="00B81D2B"/>
    <w:rsid w:val="00BF3497"/>
    <w:rsid w:val="00CC0B89"/>
    <w:rsid w:val="00D6033F"/>
    <w:rsid w:val="00D9086F"/>
    <w:rsid w:val="00FA20FD"/>
    <w:rsid w:val="00FB161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8D4ED"/>
  <w15:chartTrackingRefBased/>
  <w15:docId w15:val="{973AE0B1-8DDA-4CE5-9E37-EE37178E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7B7"/>
    <w:pPr>
      <w:spacing w:after="0" w:line="240" w:lineRule="auto"/>
    </w:pPr>
    <w:rPr>
      <w:rFonts w:ascii="Times New Roman" w:eastAsia="MS Mincho" w:hAnsi="Times New Roman" w:cs="Times New Roman"/>
      <w:kern w:val="0"/>
      <w:sz w:val="24"/>
      <w:szCs w:val="24"/>
      <w:lang w:val="de-DE" w:eastAsia="ja-JP"/>
      <w14:ligatures w14:val="none"/>
    </w:rPr>
  </w:style>
  <w:style w:type="paragraph" w:styleId="Ttulo1">
    <w:name w:val="heading 1"/>
    <w:basedOn w:val="Normal"/>
    <w:next w:val="Normal"/>
    <w:link w:val="Ttulo1Car"/>
    <w:uiPriority w:val="9"/>
    <w:qFormat/>
    <w:rsid w:val="002517B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s-AR" w:eastAsia="en-US"/>
      <w14:ligatures w14:val="standardContextual"/>
    </w:rPr>
  </w:style>
  <w:style w:type="paragraph" w:styleId="Ttulo2">
    <w:name w:val="heading 2"/>
    <w:basedOn w:val="Normal"/>
    <w:next w:val="Normal"/>
    <w:link w:val="Ttulo2Car"/>
    <w:uiPriority w:val="9"/>
    <w:semiHidden/>
    <w:unhideWhenUsed/>
    <w:qFormat/>
    <w:rsid w:val="002517B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s-AR" w:eastAsia="en-US"/>
      <w14:ligatures w14:val="standardContextual"/>
    </w:rPr>
  </w:style>
  <w:style w:type="paragraph" w:styleId="Ttulo3">
    <w:name w:val="heading 3"/>
    <w:basedOn w:val="Normal"/>
    <w:next w:val="Normal"/>
    <w:link w:val="Ttulo3Car"/>
    <w:uiPriority w:val="9"/>
    <w:semiHidden/>
    <w:unhideWhenUsed/>
    <w:qFormat/>
    <w:rsid w:val="002517B7"/>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s-AR" w:eastAsia="en-US"/>
      <w14:ligatures w14:val="standardContextual"/>
    </w:rPr>
  </w:style>
  <w:style w:type="paragraph" w:styleId="Ttulo4">
    <w:name w:val="heading 4"/>
    <w:basedOn w:val="Normal"/>
    <w:next w:val="Normal"/>
    <w:link w:val="Ttulo4Car"/>
    <w:uiPriority w:val="9"/>
    <w:semiHidden/>
    <w:unhideWhenUsed/>
    <w:qFormat/>
    <w:rsid w:val="002517B7"/>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s-AR" w:eastAsia="en-US"/>
      <w14:ligatures w14:val="standardContextual"/>
    </w:rPr>
  </w:style>
  <w:style w:type="paragraph" w:styleId="Ttulo5">
    <w:name w:val="heading 5"/>
    <w:basedOn w:val="Normal"/>
    <w:next w:val="Normal"/>
    <w:link w:val="Ttulo5Car"/>
    <w:uiPriority w:val="9"/>
    <w:semiHidden/>
    <w:unhideWhenUsed/>
    <w:qFormat/>
    <w:rsid w:val="002517B7"/>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es-AR" w:eastAsia="en-US"/>
      <w14:ligatures w14:val="standardContextual"/>
    </w:rPr>
  </w:style>
  <w:style w:type="paragraph" w:styleId="Ttulo6">
    <w:name w:val="heading 6"/>
    <w:basedOn w:val="Normal"/>
    <w:next w:val="Normal"/>
    <w:link w:val="Ttulo6Car"/>
    <w:uiPriority w:val="9"/>
    <w:semiHidden/>
    <w:unhideWhenUsed/>
    <w:qFormat/>
    <w:rsid w:val="002517B7"/>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s-AR" w:eastAsia="en-US"/>
      <w14:ligatures w14:val="standardContextual"/>
    </w:rPr>
  </w:style>
  <w:style w:type="paragraph" w:styleId="Ttulo7">
    <w:name w:val="heading 7"/>
    <w:basedOn w:val="Normal"/>
    <w:next w:val="Normal"/>
    <w:link w:val="Ttulo7Car"/>
    <w:uiPriority w:val="9"/>
    <w:semiHidden/>
    <w:unhideWhenUsed/>
    <w:qFormat/>
    <w:rsid w:val="002517B7"/>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s-AR" w:eastAsia="en-US"/>
      <w14:ligatures w14:val="standardContextual"/>
    </w:rPr>
  </w:style>
  <w:style w:type="paragraph" w:styleId="Ttulo8">
    <w:name w:val="heading 8"/>
    <w:basedOn w:val="Normal"/>
    <w:next w:val="Normal"/>
    <w:link w:val="Ttulo8Car"/>
    <w:uiPriority w:val="9"/>
    <w:semiHidden/>
    <w:unhideWhenUsed/>
    <w:qFormat/>
    <w:rsid w:val="002517B7"/>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s-AR" w:eastAsia="en-US"/>
      <w14:ligatures w14:val="standardContextual"/>
    </w:rPr>
  </w:style>
  <w:style w:type="paragraph" w:styleId="Ttulo9">
    <w:name w:val="heading 9"/>
    <w:basedOn w:val="Normal"/>
    <w:next w:val="Normal"/>
    <w:link w:val="Ttulo9Car"/>
    <w:uiPriority w:val="9"/>
    <w:semiHidden/>
    <w:unhideWhenUsed/>
    <w:qFormat/>
    <w:rsid w:val="002517B7"/>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s-AR" w:eastAsia="en-US"/>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17B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17B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17B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17B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17B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17B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17B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17B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17B7"/>
    <w:rPr>
      <w:rFonts w:eastAsiaTheme="majorEastAsia" w:cstheme="majorBidi"/>
      <w:color w:val="272727" w:themeColor="text1" w:themeTint="D8"/>
    </w:rPr>
  </w:style>
  <w:style w:type="paragraph" w:styleId="Ttulo">
    <w:name w:val="Title"/>
    <w:basedOn w:val="Normal"/>
    <w:next w:val="Normal"/>
    <w:link w:val="TtuloCar"/>
    <w:uiPriority w:val="10"/>
    <w:qFormat/>
    <w:rsid w:val="002517B7"/>
    <w:pPr>
      <w:spacing w:after="80"/>
      <w:contextualSpacing/>
    </w:pPr>
    <w:rPr>
      <w:rFonts w:asciiTheme="majorHAnsi" w:eastAsiaTheme="majorEastAsia" w:hAnsiTheme="majorHAnsi" w:cstheme="majorBidi"/>
      <w:spacing w:val="-10"/>
      <w:kern w:val="28"/>
      <w:sz w:val="56"/>
      <w:szCs w:val="56"/>
      <w:lang w:val="es-AR" w:eastAsia="en-US"/>
      <w14:ligatures w14:val="standardContextual"/>
    </w:rPr>
  </w:style>
  <w:style w:type="character" w:customStyle="1" w:styleId="TtuloCar">
    <w:name w:val="Título Car"/>
    <w:basedOn w:val="Fuentedeprrafopredeter"/>
    <w:link w:val="Ttulo"/>
    <w:uiPriority w:val="10"/>
    <w:rsid w:val="002517B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17B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s-AR" w:eastAsia="en-US"/>
      <w14:ligatures w14:val="standardContextual"/>
    </w:rPr>
  </w:style>
  <w:style w:type="character" w:customStyle="1" w:styleId="SubttuloCar">
    <w:name w:val="Subtítulo Car"/>
    <w:basedOn w:val="Fuentedeprrafopredeter"/>
    <w:link w:val="Subttulo"/>
    <w:uiPriority w:val="11"/>
    <w:rsid w:val="002517B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17B7"/>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s-AR" w:eastAsia="en-US"/>
      <w14:ligatures w14:val="standardContextual"/>
    </w:rPr>
  </w:style>
  <w:style w:type="character" w:customStyle="1" w:styleId="CitaCar">
    <w:name w:val="Cita Car"/>
    <w:basedOn w:val="Fuentedeprrafopredeter"/>
    <w:link w:val="Cita"/>
    <w:uiPriority w:val="29"/>
    <w:rsid w:val="002517B7"/>
    <w:rPr>
      <w:i/>
      <w:iCs/>
      <w:color w:val="404040" w:themeColor="text1" w:themeTint="BF"/>
    </w:rPr>
  </w:style>
  <w:style w:type="paragraph" w:styleId="Prrafodelista">
    <w:name w:val="List Paragraph"/>
    <w:basedOn w:val="Normal"/>
    <w:uiPriority w:val="34"/>
    <w:qFormat/>
    <w:rsid w:val="002517B7"/>
    <w:pPr>
      <w:spacing w:after="160" w:line="259" w:lineRule="auto"/>
      <w:ind w:left="720"/>
      <w:contextualSpacing/>
    </w:pPr>
    <w:rPr>
      <w:rFonts w:asciiTheme="minorHAnsi" w:eastAsiaTheme="minorHAnsi" w:hAnsiTheme="minorHAnsi" w:cstheme="minorBidi"/>
      <w:kern w:val="2"/>
      <w:sz w:val="22"/>
      <w:szCs w:val="22"/>
      <w:lang w:val="es-AR" w:eastAsia="en-US"/>
      <w14:ligatures w14:val="standardContextual"/>
    </w:rPr>
  </w:style>
  <w:style w:type="character" w:styleId="nfasisintenso">
    <w:name w:val="Intense Emphasis"/>
    <w:basedOn w:val="Fuentedeprrafopredeter"/>
    <w:uiPriority w:val="21"/>
    <w:qFormat/>
    <w:rsid w:val="002517B7"/>
    <w:rPr>
      <w:i/>
      <w:iCs/>
      <w:color w:val="0F4761" w:themeColor="accent1" w:themeShade="BF"/>
    </w:rPr>
  </w:style>
  <w:style w:type="paragraph" w:styleId="Citadestacada">
    <w:name w:val="Intense Quote"/>
    <w:basedOn w:val="Normal"/>
    <w:next w:val="Normal"/>
    <w:link w:val="CitadestacadaCar"/>
    <w:uiPriority w:val="30"/>
    <w:qFormat/>
    <w:rsid w:val="002517B7"/>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s-AR" w:eastAsia="en-US"/>
      <w14:ligatures w14:val="standardContextual"/>
    </w:rPr>
  </w:style>
  <w:style w:type="character" w:customStyle="1" w:styleId="CitadestacadaCar">
    <w:name w:val="Cita destacada Car"/>
    <w:basedOn w:val="Fuentedeprrafopredeter"/>
    <w:link w:val="Citadestacada"/>
    <w:uiPriority w:val="30"/>
    <w:rsid w:val="002517B7"/>
    <w:rPr>
      <w:i/>
      <w:iCs/>
      <w:color w:val="0F4761" w:themeColor="accent1" w:themeShade="BF"/>
    </w:rPr>
  </w:style>
  <w:style w:type="character" w:styleId="Referenciaintensa">
    <w:name w:val="Intense Reference"/>
    <w:basedOn w:val="Fuentedeprrafopredeter"/>
    <w:uiPriority w:val="32"/>
    <w:qFormat/>
    <w:rsid w:val="002517B7"/>
    <w:rPr>
      <w:b/>
      <w:bCs/>
      <w:smallCaps/>
      <w:color w:val="0F4761" w:themeColor="accent1" w:themeShade="BF"/>
      <w:spacing w:val="5"/>
    </w:rPr>
  </w:style>
  <w:style w:type="paragraph" w:customStyle="1" w:styleId="AuthorsFull">
    <w:name w:val="Authors Full"/>
    <w:basedOn w:val="Normal"/>
    <w:rsid w:val="002517B7"/>
    <w:rPr>
      <w:i/>
      <w:lang w:val="en-US"/>
    </w:rPr>
  </w:style>
  <w:style w:type="paragraph" w:customStyle="1" w:styleId="Tableofcontents">
    <w:name w:val="Table of contents"/>
    <w:basedOn w:val="Normal"/>
    <w:autoRedefine/>
    <w:rsid w:val="002517B7"/>
    <w:rPr>
      <w:lang w:val="en-US"/>
    </w:rPr>
  </w:style>
  <w:style w:type="paragraph" w:customStyle="1" w:styleId="Title2">
    <w:name w:val="Title2"/>
    <w:basedOn w:val="Normal"/>
    <w:rsid w:val="002517B7"/>
    <w:rPr>
      <w:b/>
      <w:lang w:val="en-US"/>
    </w:rPr>
  </w:style>
  <w:style w:type="paragraph" w:customStyle="1" w:styleId="MDPI31text">
    <w:name w:val="MDPI_3.1_text"/>
    <w:qFormat/>
    <w:rsid w:val="002517B7"/>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character" w:styleId="Hipervnculo">
    <w:name w:val="Hyperlink"/>
    <w:basedOn w:val="Fuentedeprrafopredeter"/>
    <w:uiPriority w:val="99"/>
    <w:unhideWhenUsed/>
    <w:rsid w:val="00FA20FD"/>
    <w:rPr>
      <w:color w:val="467886" w:themeColor="hyperlink"/>
      <w:u w:val="single"/>
    </w:rPr>
  </w:style>
  <w:style w:type="character" w:styleId="Mencinsinresolver">
    <w:name w:val="Unresolved Mention"/>
    <w:basedOn w:val="Fuentedeprrafopredeter"/>
    <w:uiPriority w:val="99"/>
    <w:semiHidden/>
    <w:unhideWhenUsed/>
    <w:rsid w:val="00FA2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81182">
      <w:bodyDiv w:val="1"/>
      <w:marLeft w:val="0"/>
      <w:marRight w:val="0"/>
      <w:marTop w:val="0"/>
      <w:marBottom w:val="0"/>
      <w:divBdr>
        <w:top w:val="none" w:sz="0" w:space="0" w:color="auto"/>
        <w:left w:val="none" w:sz="0" w:space="0" w:color="auto"/>
        <w:bottom w:val="none" w:sz="0" w:space="0" w:color="auto"/>
        <w:right w:val="none" w:sz="0" w:space="0" w:color="auto"/>
      </w:divBdr>
    </w:div>
    <w:div w:id="83014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1046</Words>
  <Characters>5758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Ibarra</dc:creator>
  <cp:keywords/>
  <dc:description/>
  <cp:lastModifiedBy>Luis Ibarra</cp:lastModifiedBy>
  <cp:revision>13</cp:revision>
  <dcterms:created xsi:type="dcterms:W3CDTF">2025-12-11T23:27:00Z</dcterms:created>
  <dcterms:modified xsi:type="dcterms:W3CDTF">2026-05-08T01:11:00Z</dcterms:modified>
</cp:coreProperties>
</file>