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5440A">
      <w:pPr>
        <w:rPr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Supplementary Table S1. Descriptive statistics of LTCI benefit and long-term care service supply indicators across 16 prefecture-level cities in Shandong Province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3"/>
        <w:gridCol w:w="1590"/>
        <w:gridCol w:w="3236"/>
      </w:tblGrid>
      <w:tr w14:paraId="3DF2C4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167" w:type="pct"/>
            <w:tcBorders>
              <w:bottom w:val="single" w:color="auto" w:sz="6" w:space="0"/>
            </w:tcBorders>
            <w:noWrap/>
            <w:vAlign w:val="center"/>
          </w:tcPr>
          <w:p w14:paraId="16E41933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Indicator</w:t>
            </w:r>
          </w:p>
        </w:tc>
        <w:tc>
          <w:tcPr>
            <w:tcW w:w="933" w:type="pct"/>
            <w:tcBorders>
              <w:bottom w:val="single" w:color="auto" w:sz="6" w:space="0"/>
            </w:tcBorders>
            <w:noWrap/>
            <w:vAlign w:val="center"/>
          </w:tcPr>
          <w:p w14:paraId="36D3B57D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Unit</w:t>
            </w:r>
          </w:p>
        </w:tc>
        <w:tc>
          <w:tcPr>
            <w:tcW w:w="1899" w:type="pct"/>
            <w:tcBorders>
              <w:bottom w:val="single" w:color="auto" w:sz="6" w:space="0"/>
            </w:tcBorders>
            <w:noWrap/>
            <w:vAlign w:val="center"/>
          </w:tcPr>
          <w:p w14:paraId="666C913C">
            <w:pPr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0"/>
                <w:szCs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Statistic</w:t>
            </w:r>
          </w:p>
        </w:tc>
      </w:tr>
      <w:tr w14:paraId="2DDA18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1EF3668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Participation rate</w:t>
            </w:r>
          </w:p>
        </w:tc>
        <w:tc>
          <w:tcPr>
            <w:tcW w:w="933" w:type="pct"/>
            <w:tcBorders>
              <w:top w:val="single" w:color="auto" w:sz="6" w:space="0"/>
              <w:tl2br w:val="nil"/>
              <w:tr2bl w:val="nil"/>
            </w:tcBorders>
            <w:vAlign w:val="top"/>
          </w:tcPr>
          <w:p w14:paraId="35AF0C82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Ratio</w:t>
            </w:r>
          </w:p>
        </w:tc>
        <w:tc>
          <w:tcPr>
            <w:tcW w:w="1899" w:type="pct"/>
            <w:tcBorders>
              <w:top w:val="single" w:color="auto" w:sz="6" w:space="0"/>
              <w:tl2br w:val="nil"/>
              <w:tr2bl w:val="nil"/>
            </w:tcBorders>
            <w:vAlign w:val="top"/>
          </w:tcPr>
          <w:p w14:paraId="100103F8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0.58 ± 0.31 (Mean ± SD)</w:t>
            </w:r>
          </w:p>
        </w:tc>
      </w:tr>
      <w:tr w14:paraId="1AB8C2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1FDCDA5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Number of insured individuals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top"/>
          </w:tcPr>
          <w:p w14:paraId="3852DC5C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1,000 persons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top"/>
          </w:tcPr>
          <w:p w14:paraId="72829963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632 [400–7,800]</w:t>
            </w:r>
          </w:p>
        </w:tc>
      </w:tr>
      <w:tr w14:paraId="08895D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3C795457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Disability level coverage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top"/>
          </w:tcPr>
          <w:p w14:paraId="1E6304E4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level (1–4)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top"/>
          </w:tcPr>
          <w:p w14:paraId="0F3928DE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2 [2–3]</w:t>
            </w:r>
          </w:p>
        </w:tc>
      </w:tr>
      <w:tr w14:paraId="1938D03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E27D663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Number of covered service items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top"/>
          </w:tcPr>
          <w:p w14:paraId="35CCC5D3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items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top"/>
          </w:tcPr>
          <w:p w14:paraId="1638DA20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53 [45–62]</w:t>
            </w:r>
          </w:p>
        </w:tc>
      </w:tr>
      <w:tr w14:paraId="42801F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095AF5A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Reimbursement rate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712443B7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581B31DB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89.44 ± 7.77 (Mean ± SD)</w:t>
            </w:r>
          </w:p>
        </w:tc>
      </w:tr>
      <w:tr w14:paraId="521B6FF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67C2DAD0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Payment standard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0C4580F4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RMB/month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773DB5F7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1,350 [1,100–1,600]</w:t>
            </w:r>
          </w:p>
        </w:tc>
      </w:tr>
      <w:tr w14:paraId="5313AA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4FF994E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Number of beneficiaries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0A3703A8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persons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72D4A13F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8,800 [3,500–18,000]</w:t>
            </w:r>
          </w:p>
        </w:tc>
      </w:tr>
      <w:tr w14:paraId="3F6A136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02FCBDDE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Benefit receipt ratio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3F6CA989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ratio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2DFCC431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0.36 ± 0.17 (Mean ± SD)</w:t>
            </w:r>
          </w:p>
        </w:tc>
      </w:tr>
      <w:tr w14:paraId="655790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F75D218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Fund balance ratio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74AA3733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4FBDAE12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36.85 ± 17.15 (Mean ± SD)</w:t>
            </w:r>
          </w:p>
        </w:tc>
      </w:tr>
      <w:tr w14:paraId="733FAC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6C88C2A2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Per capita financing level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584301A9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RMB/person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67E2CD31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60 [35–90]</w:t>
            </w:r>
          </w:p>
        </w:tc>
      </w:tr>
      <w:tr w14:paraId="57BC251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740B695B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Total fund expenditure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top"/>
          </w:tcPr>
          <w:p w14:paraId="13CE754D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RMB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top"/>
          </w:tcPr>
          <w:p w14:paraId="270C0019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500 [250–1,200]</w:t>
            </w:r>
          </w:p>
        </w:tc>
      </w:tr>
      <w:tr w14:paraId="0686F2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19A3AD6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Number of designated institutions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top"/>
          </w:tcPr>
          <w:p w14:paraId="1925FDE5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institutions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top"/>
          </w:tcPr>
          <w:p w14:paraId="64D3548C"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120 [60–400]</w:t>
            </w:r>
          </w:p>
        </w:tc>
      </w:tr>
      <w:tr w14:paraId="3482E9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54F33544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Number of care beds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53778987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beds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20B164F3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401 [321–521]</w:t>
            </w:r>
          </w:p>
        </w:tc>
      </w:tr>
      <w:tr w14:paraId="4DC112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6FCC0DFD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Care beds per 1,000 older adults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7F00B8B5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beds/1,000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6CE76A29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0.36 ± 0.12 (Mean ± SD)</w:t>
            </w:r>
          </w:p>
        </w:tc>
      </w:tr>
      <w:tr w14:paraId="263152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19A04392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Total staff in designated institutions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1300A52A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persons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5766D0F8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12,000 [5,000–18,000]</w:t>
            </w:r>
          </w:p>
        </w:tc>
      </w:tr>
      <w:tr w14:paraId="29CC3F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4D3418B1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Care workers per 1,000 older adults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1987A8F4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persons/1,000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71E3717F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1.82 ± 1.67 (Mean ± SD)</w:t>
            </w:r>
          </w:p>
        </w:tc>
      </w:tr>
      <w:tr w14:paraId="3B76F6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7" w:type="pct"/>
            <w:tcBorders>
              <w:tl2br w:val="nil"/>
              <w:tr2bl w:val="nil"/>
            </w:tcBorders>
            <w:vAlign w:val="center"/>
          </w:tcPr>
          <w:p w14:paraId="5442986F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Number of trained care workers</w:t>
            </w:r>
          </w:p>
        </w:tc>
        <w:tc>
          <w:tcPr>
            <w:tcW w:w="933" w:type="pct"/>
            <w:tcBorders>
              <w:tl2br w:val="nil"/>
              <w:tr2bl w:val="nil"/>
            </w:tcBorders>
            <w:vAlign w:val="center"/>
          </w:tcPr>
          <w:p w14:paraId="5EB96C22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persons</w:t>
            </w:r>
          </w:p>
        </w:tc>
        <w:tc>
          <w:tcPr>
            <w:tcW w:w="1899" w:type="pct"/>
            <w:tcBorders>
              <w:tl2br w:val="nil"/>
              <w:tr2bl w:val="nil"/>
            </w:tcBorders>
            <w:vAlign w:val="center"/>
          </w:tcPr>
          <w:p w14:paraId="4425587B">
            <w:pPr>
              <w:snapToGrid w:val="0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Median 2,100 [750–4,500]</w:t>
            </w:r>
          </w:p>
        </w:tc>
      </w:tr>
    </w:tbl>
    <w:p w14:paraId="60980B7A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Note: Statistics are based on city-level raw indicator values across 16 prefecture-level cities. </w:t>
      </w:r>
    </w:p>
    <w:p w14:paraId="6F60B905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For skewed absolute value indicators, median [Q1–Q3] is reported; for ratio/proportion indicators, mean ± SD is reported. Disability level coverage indicates the number of disability/dementia severity levels covered under the local LTCI scheme, with higher values representing broader coverage.</w:t>
      </w:r>
    </w:p>
    <w:p w14:paraId="4653F3B8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73E15E1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DC7BE3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</w:rPr>
        <w:t xml:space="preserve">Supplementary Table S2. Indicator polarity </w:t>
      </w:r>
      <w:r>
        <w:rPr>
          <w:rFonts w:hint="eastAsia" w:eastAsia="宋体"/>
          <w:b/>
          <w:bCs/>
          <w:lang w:val="en-US" w:eastAsia="zh-CN"/>
        </w:rPr>
        <w:t>used in min max</w:t>
      </w:r>
      <w:r>
        <w:rPr>
          <w:rFonts w:hint="eastAsia"/>
          <w:b/>
          <w:bCs/>
        </w:rPr>
        <w:t xml:space="preserve"> </w:t>
      </w:r>
      <w:r>
        <w:rPr>
          <w:rFonts w:hint="eastAsia" w:eastAsia="宋体"/>
          <w:b/>
          <w:bCs/>
          <w:lang w:val="en-US" w:eastAsia="zh-CN"/>
        </w:rPr>
        <w:t>normalization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4"/>
        <w:gridCol w:w="877"/>
        <w:gridCol w:w="4991"/>
      </w:tblGrid>
      <w:tr w14:paraId="3A880D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1557" w:type="pct"/>
            <w:tcBorders>
              <w:bottom w:val="single" w:color="auto" w:sz="6" w:space="0"/>
            </w:tcBorders>
            <w:noWrap/>
            <w:vAlign w:val="center"/>
          </w:tcPr>
          <w:p w14:paraId="54D6A72F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Indicator</w:t>
            </w:r>
          </w:p>
        </w:tc>
        <w:tc>
          <w:tcPr>
            <w:tcW w:w="514" w:type="pct"/>
            <w:tcBorders>
              <w:bottom w:val="single" w:color="auto" w:sz="6" w:space="0"/>
            </w:tcBorders>
            <w:noWrap/>
            <w:vAlign w:val="center"/>
          </w:tcPr>
          <w:p w14:paraId="16298932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Polarity</w:t>
            </w:r>
          </w:p>
        </w:tc>
        <w:tc>
          <w:tcPr>
            <w:tcW w:w="2927" w:type="pct"/>
            <w:tcBorders>
              <w:bottom w:val="single" w:color="auto" w:sz="6" w:space="0"/>
            </w:tcBorders>
            <w:noWrap/>
            <w:vAlign w:val="center"/>
          </w:tcPr>
          <w:p w14:paraId="1212510B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Interpretation</w:t>
            </w:r>
          </w:p>
        </w:tc>
      </w:tr>
      <w:tr w14:paraId="54E81FB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12AD7F9B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Participation rate</w:t>
            </w:r>
          </w:p>
        </w:tc>
        <w:tc>
          <w:tcPr>
            <w:tcW w:w="514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7DFD9EE3">
            <w:pPr>
              <w:snapToGrid w:val="0"/>
              <w:spacing w:line="240" w:lineRule="auto"/>
              <w:jc w:val="center"/>
              <w:textAlignment w:val="center"/>
              <w:rPr>
                <w:rFonts w:hint="default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532D2A0C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broader LTCI coverage</w:t>
            </w:r>
          </w:p>
        </w:tc>
      </w:tr>
      <w:tr w14:paraId="1A6001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4FE49BFF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Number of insured individuals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481BA2DC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716E2027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greater enrollment scale</w:t>
            </w:r>
          </w:p>
        </w:tc>
      </w:tr>
      <w:tr w14:paraId="2330A96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014E14F3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auto"/>
                <w:sz w:val="18"/>
                <w:szCs w:val="18"/>
                <w:lang w:eastAsia="zh-CN" w:bidi="ar"/>
              </w:rPr>
              <w:t>Disability level coverage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7B2AAB2B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08B91960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broader disability or dementia coverage</w:t>
            </w:r>
          </w:p>
        </w:tc>
      </w:tr>
      <w:tr w14:paraId="5DC43C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18E183D2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Number of covered service items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6E4D1ED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421973CD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broader service coverage</w:t>
            </w:r>
          </w:p>
        </w:tc>
      </w:tr>
      <w:tr w14:paraId="551564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15875192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Reimbursement rate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0DD9F0CB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2A0882B5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financial protection</w:t>
            </w:r>
          </w:p>
        </w:tc>
      </w:tr>
      <w:tr w14:paraId="3740EC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36248841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Payment standard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320AA5D7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2619C176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greater benefit generosity</w:t>
            </w:r>
          </w:p>
        </w:tc>
      </w:tr>
      <w:tr w14:paraId="41A696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6B0D1153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Number of beneficiaries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CCAEBEC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6C29F65A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greater realized benefit penetration</w:t>
            </w:r>
          </w:p>
        </w:tc>
      </w:tr>
      <w:tr w14:paraId="25C8D87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58462CC7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Benefit receipt ratio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C0D022F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2AA8833B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benefit penetration among the insured</w:t>
            </w:r>
          </w:p>
        </w:tc>
      </w:tr>
      <w:tr w14:paraId="434ACF9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31A57626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Fund balance ratio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2D5F42F1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49D875BB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fund sustainability</w:t>
            </w:r>
          </w:p>
        </w:tc>
      </w:tr>
      <w:tr w14:paraId="09337B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369EBE07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Per capita financing level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4B44A40F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40388349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financing capacity</w:t>
            </w:r>
          </w:p>
        </w:tc>
      </w:tr>
      <w:tr w14:paraId="37E3154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6DEB610A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Total fund expenditure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23D3C663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4CCA8A66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greater benefit support capacity</w:t>
            </w:r>
          </w:p>
        </w:tc>
      </w:tr>
      <w:tr w14:paraId="2E234EE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36FF982D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Number of designated institutions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4F3D4F00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34F9A699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institutional service capacity</w:t>
            </w:r>
          </w:p>
        </w:tc>
      </w:tr>
      <w:tr w14:paraId="5D594C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0D6DA471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Number of care beds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7989C51A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6BB18851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bed capacity</w:t>
            </w:r>
          </w:p>
        </w:tc>
      </w:tr>
      <w:tr w14:paraId="596274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3385A3C8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Care beds per 1,000 older adults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46CB06E0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7F38BD56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greater bed availability relative to the older population</w:t>
            </w:r>
          </w:p>
        </w:tc>
      </w:tr>
      <w:tr w14:paraId="46C9F8D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017C6E26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Total staff in designated institutions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6F164F5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2E7D9B7B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staffing capacity</w:t>
            </w:r>
          </w:p>
        </w:tc>
      </w:tr>
      <w:tr w14:paraId="1C144F9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2581D30D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Care workers per 1,000 older adults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39B333E6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0FEC8DD5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care workforce availability</w:t>
            </w:r>
          </w:p>
        </w:tc>
      </w:tr>
      <w:tr w14:paraId="110F4D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7" w:type="pct"/>
            <w:tcBorders>
              <w:tl2br w:val="nil"/>
              <w:tr2bl w:val="nil"/>
            </w:tcBorders>
            <w:vAlign w:val="center"/>
          </w:tcPr>
          <w:p w14:paraId="423B7E6A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宋体" w:cs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Number of trained care workers</w:t>
            </w:r>
          </w:p>
        </w:tc>
        <w:tc>
          <w:tcPr>
            <w:tcW w:w="514" w:type="pct"/>
            <w:tcBorders>
              <w:tl2br w:val="nil"/>
              <w:tr2bl w:val="nil"/>
            </w:tcBorders>
            <w:vAlign w:val="center"/>
          </w:tcPr>
          <w:p w14:paraId="1F8CB1CA">
            <w:pPr>
              <w:snapToGrid w:val="0"/>
              <w:spacing w:line="240" w:lineRule="auto"/>
              <w:jc w:val="center"/>
              <w:textAlignment w:val="center"/>
              <w:rPr>
                <w:rFonts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Positive</w:t>
            </w:r>
          </w:p>
        </w:tc>
        <w:tc>
          <w:tcPr>
            <w:tcW w:w="2927" w:type="pct"/>
            <w:tcBorders>
              <w:tl2br w:val="nil"/>
              <w:tr2bl w:val="nil"/>
            </w:tcBorders>
            <w:vAlign w:val="center"/>
          </w:tcPr>
          <w:p w14:paraId="7A2F037A">
            <w:pPr>
              <w:snapToGrid w:val="0"/>
              <w:spacing w:line="240" w:lineRule="auto"/>
              <w:jc w:val="center"/>
              <w:textAlignment w:val="center"/>
              <w:rPr>
                <w:rFonts w:hint="eastAsia" w:eastAsia="宋体" w:cs="Arial"/>
                <w:color w:val="000000" w:themeColor="text1"/>
                <w:sz w:val="18"/>
                <w:szCs w:val="1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Arial"/>
                <w:color w:val="000000" w:themeColor="text1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Higher values indicate stronger trained workforce capacity</w:t>
            </w:r>
          </w:p>
        </w:tc>
      </w:tr>
    </w:tbl>
    <w:p w14:paraId="104FAF1F">
      <w:r>
        <w:rPr>
          <w:rFonts w:hint="eastAsia"/>
        </w:rPr>
        <w:t>Note: All indicators were treated as positive indicators in the normalization procedure, with higher values indicating better performance.</w:t>
      </w:r>
    </w:p>
    <w:p w14:paraId="7FA42110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7E00875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47541B1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2CF10FD">
      <w:pPr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Supplementary Table S3. Classification criteria for coupling coordination degree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443"/>
        <w:gridCol w:w="4617"/>
      </w:tblGrid>
      <w:tr w14:paraId="2E3AE12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462" w:type="dxa"/>
            <w:tcBorders>
              <w:bottom w:val="single" w:color="auto" w:sz="6" w:space="0"/>
            </w:tcBorders>
            <w:noWrap/>
            <w:vAlign w:val="center"/>
          </w:tcPr>
          <w:p w14:paraId="4988DC0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 value range</w:t>
            </w:r>
          </w:p>
        </w:tc>
        <w:tc>
          <w:tcPr>
            <w:tcW w:w="1443" w:type="dxa"/>
            <w:tcBorders>
              <w:bottom w:val="single" w:color="auto" w:sz="6" w:space="0"/>
            </w:tcBorders>
            <w:noWrap/>
            <w:vAlign w:val="center"/>
          </w:tcPr>
          <w:p w14:paraId="30F8C2C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Coordination grade</w:t>
            </w:r>
          </w:p>
        </w:tc>
        <w:tc>
          <w:tcPr>
            <w:tcW w:w="4617" w:type="dxa"/>
            <w:tcBorders>
              <w:bottom w:val="single" w:color="auto" w:sz="6" w:space="0"/>
            </w:tcBorders>
            <w:noWrap/>
            <w:vAlign w:val="center"/>
          </w:tcPr>
          <w:p w14:paraId="5F4A2CC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Coordination status</w:t>
            </w:r>
          </w:p>
        </w:tc>
      </w:tr>
      <w:tr w14:paraId="255C3F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021758D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0.00 to 0.09</w:t>
            </w:r>
          </w:p>
        </w:tc>
        <w:tc>
          <w:tcPr>
            <w:tcW w:w="1443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4BB194F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4617" w:type="dxa"/>
            <w:tcBorders>
              <w:top w:val="single" w:color="auto" w:sz="6" w:space="0"/>
              <w:tl2br w:val="nil"/>
              <w:tr2bl w:val="nil"/>
            </w:tcBorders>
            <w:vAlign w:val="center"/>
          </w:tcPr>
          <w:p w14:paraId="2618C00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Extreme maladjustment</w:t>
            </w:r>
          </w:p>
        </w:tc>
      </w:tr>
      <w:tr w14:paraId="19CAEC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5509404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0.10 to 0.19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575BEAC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67C0978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Severe maladjustment</w:t>
            </w:r>
          </w:p>
        </w:tc>
      </w:tr>
      <w:tr w14:paraId="257266D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1B6BD9B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0.20 to 0.29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61E142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4C12526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Moderate maladjustment</w:t>
            </w:r>
          </w:p>
        </w:tc>
      </w:tr>
      <w:tr w14:paraId="40E61AA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56A5FA92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0.30 to 0.39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19E8A4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3D3CA03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Mild maladjustment</w:t>
            </w:r>
          </w:p>
        </w:tc>
      </w:tr>
      <w:tr w14:paraId="0C84E7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61FF69D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0.40 to 0.49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4163C4B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7ED2A51F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Near maladjustment</w:t>
            </w:r>
          </w:p>
        </w:tc>
      </w:tr>
      <w:tr w14:paraId="063588E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2DEC637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0.50 to 0.59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77E68C9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5CBD960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Barely coordinated</w:t>
            </w:r>
          </w:p>
        </w:tc>
      </w:tr>
      <w:tr w14:paraId="6C03EAE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3541176E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0.60 to 0.69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805E02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23C34BCD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Primary coordination</w:t>
            </w:r>
          </w:p>
        </w:tc>
      </w:tr>
      <w:tr w14:paraId="543230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0BB1D1E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0.70 to 0.79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5B12DB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20D3D8A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Intermediate coordination</w:t>
            </w:r>
          </w:p>
        </w:tc>
      </w:tr>
      <w:tr w14:paraId="4A80689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3B3BA8D1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0.80 to 0.89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3A192BF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9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449E7E8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Well coordinated</w:t>
            </w:r>
          </w:p>
        </w:tc>
      </w:tr>
      <w:tr w14:paraId="45CE85F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62" w:type="dxa"/>
            <w:tcBorders>
              <w:tl2br w:val="nil"/>
              <w:tr2bl w:val="nil"/>
            </w:tcBorders>
            <w:vAlign w:val="center"/>
          </w:tcPr>
          <w:p w14:paraId="498CE70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0.90 to 1.00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vAlign w:val="center"/>
          </w:tcPr>
          <w:p w14:paraId="23C14DA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</w:t>
            </w:r>
          </w:p>
        </w:tc>
        <w:tc>
          <w:tcPr>
            <w:tcW w:w="4617" w:type="dxa"/>
            <w:tcBorders>
              <w:tl2br w:val="nil"/>
              <w:tr2bl w:val="nil"/>
            </w:tcBorders>
            <w:vAlign w:val="center"/>
          </w:tcPr>
          <w:p w14:paraId="464877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High quality coordination</w:t>
            </w:r>
          </w:p>
        </w:tc>
      </w:tr>
    </w:tbl>
    <w:p w14:paraId="415D2CD1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Note: D denotes the coupling coordination degree. Higher D values indicate better coordinated development.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480" w:lineRule="auto"/>
      </w:pPr>
      <w:r>
        <w:separator/>
      </w:r>
    </w:p>
  </w:footnote>
  <w:footnote w:type="continuationSeparator" w:id="1">
    <w:p>
      <w:pPr>
        <w:spacing w:line="48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F1530"/>
    <w:rsid w:val="1D396E91"/>
    <w:rsid w:val="267577C5"/>
    <w:rsid w:val="3328180F"/>
    <w:rsid w:val="3B855401"/>
    <w:rsid w:val="47844DE9"/>
    <w:rsid w:val="4B5826AD"/>
    <w:rsid w:val="5DED45AD"/>
    <w:rsid w:val="6DC5053A"/>
    <w:rsid w:val="752A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80" w:lineRule="auto"/>
    </w:pPr>
    <w:rPr>
      <w:rFonts w:ascii="Arial" w:hAnsi="Arial" w:eastAsia="Times New Roman" w:cs="Times New Roman"/>
      <w:szCs w:val="24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Light List Accent 1"/>
    <w:basedOn w:val="3"/>
    <w:uiPriority w:val="61"/>
    <w:pPr>
      <w:spacing w:after="0" w:line="240" w:lineRule="auto"/>
    </w:pPr>
    <w:tblPr>
      <w:tblBorders>
        <w:top w:val="single" w:color="4874CB" w:themeColor="accent1" w:sz="8" w:space="0"/>
        <w:left w:val="single" w:color="4874CB" w:themeColor="accent1" w:sz="8" w:space="0"/>
        <w:bottom w:val="single" w:color="4874CB" w:themeColor="accent1" w:sz="8" w:space="0"/>
        <w:right w:val="single" w:color="4874CB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874C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874CB" w:themeColor="accent1" w:sz="6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  <w:tblStylePr w:type="band1Horz">
      <w:tblPr/>
      <w:tcPr>
        <w:tcBorders>
          <w:top w:val="single" w:color="4874CB" w:themeColor="accent1" w:sz="8" w:space="0"/>
          <w:left w:val="single" w:color="4874CB" w:themeColor="accent1" w:sz="8" w:space="0"/>
          <w:bottom w:val="single" w:color="4874CB" w:themeColor="accent1" w:sz="8" w:space="0"/>
          <w:right w:val="single" w:color="4874CB" w:themeColor="accent1" w:sz="8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</Words>
  <Characters>1337</Characters>
  <Lines>0</Lines>
  <Paragraphs>0</Paragraphs>
  <TotalTime>0</TotalTime>
  <ScaleCrop>false</ScaleCrop>
  <LinksUpToDate>false</LinksUpToDate>
  <CharactersWithSpaces>1509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2026-04-16T02:19:00Z</dcterms:created>
  <dc:creator>Lenovo</dc:creator>
  <cp:lastModifiedBy>Huifen</cp:lastModifiedBy>
  <dcterms:modified xsi:type="dcterms:W3CDTF">2026-04-22T09:34:32Z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eyJoZGlkIjoiNzg0MmQ4YmRhZWZjYzljMjQyYWYwZDEwZGRhNTAxN2IiLCJ1c2VySWQiOiI5NDM1NDcxMjkifQ==</vt:lpwstr>
  </property>
  <property fmtid="{D5CDD505-2E9C-101B-9397-08002B2CF9AE}" pid="4" name="ICV">
    <vt:lpwstr>9C57603EBAA24066AAD0BE2F2E4B4987_12</vt:lpwstr>
  </property>
</Properties>
</file>