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FBE0C" w14:textId="77777777" w:rsidR="00F6579C" w:rsidRDefault="00F6579C" w:rsidP="007215C7">
      <w:pPr>
        <w:pStyle w:val="1"/>
        <w:keepLines w:val="0"/>
        <w:overflowPunct w:val="0"/>
        <w:autoSpaceDE w:val="0"/>
        <w:autoSpaceDN w:val="0"/>
        <w:spacing w:before="0" w:after="0"/>
        <w:contextualSpacing/>
        <w:textAlignment w:val="baseline"/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Microsoft YaHei UI" w:hAnsi="Times New Roman" w:cs="Times New Roman"/>
          <w:b/>
          <w:bCs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3ABED71E" wp14:editId="69947D7D">
            <wp:extent cx="5278120" cy="6771640"/>
            <wp:effectExtent l="0" t="0" r="0" b="0"/>
            <wp:docPr id="472042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42606" name="图片 4720426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77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83E6" w14:textId="77777777" w:rsidR="00F6579C" w:rsidRDefault="00F6579C" w:rsidP="00F6579C">
      <w:pPr>
        <w:pStyle w:val="1"/>
        <w:keepLines w:val="0"/>
        <w:overflowPunct w:val="0"/>
        <w:autoSpaceDE w:val="0"/>
        <w:autoSpaceDN w:val="0"/>
        <w:spacing w:before="0" w:after="0"/>
        <w:contextualSpacing/>
        <w:textAlignment w:val="baseline"/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</w:pPr>
      <w:r w:rsidRPr="00180E0C"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  <w:t>Supplementary Figure 1. Measurement Model of the Confirmatory Factor Analysis.</w:t>
      </w:r>
    </w:p>
    <w:p w14:paraId="02CBDFFB" w14:textId="22EA5520" w:rsidR="00000000" w:rsidRPr="00180E0C" w:rsidRDefault="009F7CB8" w:rsidP="00180E0C">
      <w:pPr>
        <w:sectPr w:rsidR="00000000" w:rsidRPr="00180E0C" w:rsidSect="00180E0C">
          <w:pgSz w:w="11906" w:h="16838"/>
          <w:pgMar w:top="1440" w:right="1797" w:bottom="1440" w:left="1797" w:header="851" w:footer="680" w:gutter="0"/>
          <w:cols w:space="720"/>
          <w:docGrid w:type="linesAndChars" w:linePitch="312"/>
        </w:sectPr>
      </w:pPr>
      <w:r w:rsidRPr="009F7CB8">
        <w:t>K6 was an attention-check item and was therefore not included in the CFA measurement model.</w:t>
      </w:r>
    </w:p>
    <w:p w14:paraId="7C98D8F2" w14:textId="18D65C9A" w:rsidR="005321B7" w:rsidRPr="00CD39ED" w:rsidRDefault="005321B7" w:rsidP="005321B7">
      <w:pPr>
        <w:widowControl w:val="0"/>
        <w:rPr>
          <w:rFonts w:eastAsia="等线" w:cs="Times New Roman"/>
          <w14:ligatures w14:val="standardContextual"/>
        </w:rPr>
      </w:pPr>
      <w:r w:rsidRPr="00CD39ED">
        <w:rPr>
          <w:rFonts w:eastAsia="等线" w:cs="Times New Roman"/>
          <w:b/>
          <w:bCs/>
          <w14:ligatures w14:val="standardContextual"/>
        </w:rPr>
        <w:lastRenderedPageBreak/>
        <w:t xml:space="preserve">Supplementary Table </w:t>
      </w:r>
      <w:r>
        <w:rPr>
          <w:rFonts w:eastAsia="等线" w:cs="Times New Roman" w:hint="eastAsia"/>
          <w:b/>
          <w:bCs/>
          <w14:ligatures w14:val="standardContextual"/>
        </w:rPr>
        <w:t>1</w:t>
      </w:r>
      <w:r w:rsidRPr="00CD39ED">
        <w:rPr>
          <w:rFonts w:eastAsia="等线" w:cs="Times New Roman"/>
          <w:b/>
          <w:bCs/>
          <w14:ligatures w14:val="standardContextual"/>
        </w:rPr>
        <w:t>.</w:t>
      </w:r>
      <w:r w:rsidRPr="00CD39ED">
        <w:rPr>
          <w:rFonts w:eastAsia="等线" w:cs="Times New Roman"/>
          <w14:ligatures w14:val="standardContextual"/>
        </w:rPr>
        <w:t xml:space="preserve"> Model Fit Indices of the Confirmatory Factor Analysis (CFA</w:t>
      </w:r>
      <w:r w:rsidR="002A628F">
        <w:rPr>
          <w:rFonts w:eastAsia="等线" w:cs="Times New Roman" w:hint="eastAsia"/>
          <w14:ligatures w14:val="standardContextual"/>
        </w:rPr>
        <w:t>)</w:t>
      </w:r>
      <w:r w:rsidRPr="00CD39ED">
        <w:rPr>
          <w:rFonts w:eastAsia="等线" w:cs="Times New Roman"/>
          <w14:ligatures w14:val="standardContextual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7"/>
        <w:gridCol w:w="3537"/>
        <w:gridCol w:w="2982"/>
      </w:tblGrid>
      <w:tr w:rsidR="005321B7" w:rsidRPr="00CD39ED" w14:paraId="482D60A1" w14:textId="77777777" w:rsidTr="00824D76">
        <w:trPr>
          <w:trHeight w:val="252"/>
        </w:trPr>
        <w:tc>
          <w:tcPr>
            <w:tcW w:w="10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C7BDD8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Indicators</w:t>
            </w:r>
          </w:p>
        </w:tc>
        <w:tc>
          <w:tcPr>
            <w:tcW w:w="212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AB9BF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 xml:space="preserve">Reference </w:t>
            </w:r>
          </w:p>
        </w:tc>
        <w:tc>
          <w:tcPr>
            <w:tcW w:w="17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44A9A8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 xml:space="preserve">Actual </w:t>
            </w:r>
          </w:p>
        </w:tc>
      </w:tr>
      <w:tr w:rsidR="005321B7" w:rsidRPr="00CD39ED" w14:paraId="44F1E768" w14:textId="77777777" w:rsidTr="00824D76">
        <w:trPr>
          <w:trHeight w:val="262"/>
        </w:trPr>
        <w:tc>
          <w:tcPr>
            <w:tcW w:w="107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E0EF16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CMIN/DF</w:t>
            </w:r>
          </w:p>
        </w:tc>
        <w:tc>
          <w:tcPr>
            <w:tcW w:w="21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40D65D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1-3: Excellent, 3-5: Good</w:t>
            </w:r>
          </w:p>
        </w:tc>
        <w:tc>
          <w:tcPr>
            <w:tcW w:w="179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6C908B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1.223</w:t>
            </w:r>
          </w:p>
        </w:tc>
      </w:tr>
      <w:tr w:rsidR="005321B7" w:rsidRPr="00CD39ED" w14:paraId="60B81DFF" w14:textId="77777777" w:rsidTr="00824D76">
        <w:trPr>
          <w:trHeight w:val="252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0F47627E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RMSEA</w:t>
            </w:r>
          </w:p>
        </w:tc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</w:tcPr>
          <w:p w14:paraId="409A29DB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&lt;0.08: Good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</w:tcPr>
          <w:p w14:paraId="7544853B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0.021</w:t>
            </w:r>
          </w:p>
        </w:tc>
      </w:tr>
      <w:tr w:rsidR="005321B7" w:rsidRPr="00CD39ED" w14:paraId="32FBEA94" w14:textId="77777777" w:rsidTr="00824D76">
        <w:trPr>
          <w:trHeight w:val="262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12639954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IFI</w:t>
            </w:r>
          </w:p>
        </w:tc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</w:tcPr>
          <w:p w14:paraId="11FDEF41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&gt;0.</w:t>
            </w: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9</w:t>
            </w: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: Good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</w:tcPr>
          <w:p w14:paraId="55D04BE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0.986</w:t>
            </w:r>
          </w:p>
        </w:tc>
      </w:tr>
      <w:tr w:rsidR="005321B7" w:rsidRPr="00CD39ED" w14:paraId="49591091" w14:textId="77777777" w:rsidTr="00824D76">
        <w:trPr>
          <w:trHeight w:val="252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05630291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TLI</w:t>
            </w:r>
          </w:p>
        </w:tc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</w:tcPr>
          <w:p w14:paraId="42661D23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&gt;0.</w:t>
            </w: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9</w:t>
            </w: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: Good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</w:tcPr>
          <w:p w14:paraId="6278A4D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0.984</w:t>
            </w:r>
          </w:p>
        </w:tc>
      </w:tr>
      <w:tr w:rsidR="005321B7" w:rsidRPr="00CD39ED" w14:paraId="6BC54D59" w14:textId="77777777" w:rsidTr="00824D76">
        <w:trPr>
          <w:trHeight w:val="252"/>
        </w:trPr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DD6E8D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CFI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E71C4B" w14:textId="77777777" w:rsidR="005321B7" w:rsidRPr="00CD39ED" w:rsidRDefault="005321B7" w:rsidP="00824D76">
            <w:pPr>
              <w:widowControl w:val="0"/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&gt;0.</w:t>
            </w: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9</w:t>
            </w:r>
            <w:r w:rsidRPr="00CD39ED">
              <w:rPr>
                <w:rFonts w:eastAsia="Times New Roman" w:cs="Times New Roman"/>
                <w:bCs/>
                <w:sz w:val="24"/>
                <w:szCs w:val="24"/>
                <w14:ligatures w14:val="standardContextual"/>
              </w:rPr>
              <w:t>: Good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3559D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Cs/>
                <w:sz w:val="24"/>
                <w:szCs w:val="24"/>
                <w14:ligatures w14:val="standardContextual"/>
              </w:rPr>
              <w:t>0.986</w:t>
            </w:r>
          </w:p>
        </w:tc>
      </w:tr>
    </w:tbl>
    <w:p w14:paraId="0B353610" w14:textId="77777777" w:rsidR="005321B7" w:rsidRPr="00CD39ED" w:rsidRDefault="005321B7" w:rsidP="005321B7">
      <w:pPr>
        <w:widowControl w:val="0"/>
        <w:rPr>
          <w:rFonts w:ascii="等线" w:eastAsia="等线" w:hAnsi="等线" w:cs="Times New Roman"/>
          <w14:ligatures w14:val="standardContextual"/>
        </w:rPr>
        <w:sectPr w:rsidR="005321B7" w:rsidRPr="00CD39ED" w:rsidSect="005321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67B87D" w14:textId="18BB7326" w:rsidR="005321B7" w:rsidRPr="00CD39ED" w:rsidRDefault="005321B7" w:rsidP="005321B7">
      <w:pPr>
        <w:widowControl w:val="0"/>
        <w:rPr>
          <w:rFonts w:eastAsia="等线" w:cs="Times New Roman"/>
          <w:lang w:val="en"/>
          <w14:ligatures w14:val="standardContextual"/>
        </w:rPr>
      </w:pPr>
      <w:r w:rsidRPr="00CD39ED">
        <w:rPr>
          <w:rFonts w:eastAsia="等线" w:cs="Times New Roman"/>
          <w:b/>
          <w:bCs/>
          <w14:ligatures w14:val="standardContextual"/>
        </w:rPr>
        <w:lastRenderedPageBreak/>
        <w:t xml:space="preserve">Supplementary Table </w:t>
      </w:r>
      <w:r>
        <w:rPr>
          <w:rFonts w:eastAsia="等线" w:cs="Times New Roman" w:hint="eastAsia"/>
          <w:b/>
          <w:bCs/>
          <w14:ligatures w14:val="standardContextual"/>
        </w:rPr>
        <w:t>2</w:t>
      </w:r>
      <w:r w:rsidRPr="00CD39ED">
        <w:rPr>
          <w:rFonts w:eastAsia="等线" w:cs="Times New Roman"/>
          <w14:ligatures w14:val="standardContextual"/>
        </w:rPr>
        <w:t>. Standardized and Unstandardized Estimates of the CFA Model.</w:t>
      </w:r>
    </w:p>
    <w:tbl>
      <w:tblPr>
        <w:tblW w:w="8497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Regression Weights: (Group number 1 -  Default model)"/>
      </w:tblPr>
      <w:tblGrid>
        <w:gridCol w:w="408"/>
        <w:gridCol w:w="490"/>
        <w:gridCol w:w="1387"/>
        <w:gridCol w:w="1207"/>
        <w:gridCol w:w="1404"/>
        <w:gridCol w:w="1188"/>
        <w:gridCol w:w="1207"/>
        <w:gridCol w:w="1206"/>
      </w:tblGrid>
      <w:tr w:rsidR="005321B7" w:rsidRPr="00CD39ED" w14:paraId="52A262C9" w14:textId="77777777" w:rsidTr="00824D76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1D617D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:lang w:val="e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31B63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28A34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0D2E0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Estimate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2B1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Standardized Estimate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A0F0D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S.E.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43452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C.R.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C026E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P</w:t>
            </w:r>
          </w:p>
        </w:tc>
      </w:tr>
      <w:tr w:rsidR="005321B7" w:rsidRPr="00CD39ED" w14:paraId="2130F4DE" w14:textId="77777777" w:rsidTr="00824D76">
        <w:tc>
          <w:tcPr>
            <w:tcW w:w="0" w:type="auto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AB4893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B00044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B0EBB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4F8FB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1.000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474A31B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0.297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461C3C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  <w:hideMark/>
          </w:tcPr>
          <w:p w14:paraId="359F4BC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  <w:hideMark/>
          </w:tcPr>
          <w:p w14:paraId="3B2BFA5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1AB59C04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E2EA0C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DDA814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9E673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EAB4C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0.887</w:t>
            </w:r>
          </w:p>
        </w:tc>
        <w:tc>
          <w:tcPr>
            <w:tcW w:w="1284" w:type="dxa"/>
            <w:vAlign w:val="center"/>
          </w:tcPr>
          <w:p w14:paraId="0426CDB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0.264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AE32D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0.215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E0D0F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4.130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BCBD4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72177A02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2F15C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D63425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3F4F5A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80A65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1.190</w:t>
            </w:r>
          </w:p>
        </w:tc>
        <w:tc>
          <w:tcPr>
            <w:tcW w:w="1284" w:type="dxa"/>
            <w:vAlign w:val="center"/>
          </w:tcPr>
          <w:p w14:paraId="0D79301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0.342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35D05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0.251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85B2F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4.741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682F1A7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6986EFB3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9B087B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452CA4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27B183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D1914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1.029</w:t>
            </w:r>
          </w:p>
        </w:tc>
        <w:tc>
          <w:tcPr>
            <w:tcW w:w="1284" w:type="dxa"/>
            <w:vAlign w:val="center"/>
          </w:tcPr>
          <w:p w14:paraId="3ABF54D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0.294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25B1B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0.234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1F808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4.389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19202E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17C7C080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A6894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7EE690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3FF66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DCA47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1.067</w:t>
            </w:r>
          </w:p>
        </w:tc>
        <w:tc>
          <w:tcPr>
            <w:tcW w:w="1284" w:type="dxa"/>
            <w:vAlign w:val="center"/>
          </w:tcPr>
          <w:p w14:paraId="1B9F057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0.318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A05A2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0.233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AE5F8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4.579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4494B3E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423194B5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530BED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A1573B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4048C1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7E538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1.510</w:t>
            </w:r>
          </w:p>
        </w:tc>
        <w:tc>
          <w:tcPr>
            <w:tcW w:w="1284" w:type="dxa"/>
            <w:vAlign w:val="center"/>
          </w:tcPr>
          <w:p w14:paraId="725806D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0.414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0C206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0.293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44F53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5.146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127F8C2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4FDFC2EC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322AEF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49FBB1B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D9F88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20AF0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1.219</w:t>
            </w:r>
          </w:p>
        </w:tc>
        <w:tc>
          <w:tcPr>
            <w:tcW w:w="1284" w:type="dxa"/>
            <w:vAlign w:val="center"/>
          </w:tcPr>
          <w:p w14:paraId="5FE7AB2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0.364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9D207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0.250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F3BC1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4.879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C839B0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75636393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645ADF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A302C4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1FA58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1E81B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1.196</w:t>
            </w:r>
          </w:p>
        </w:tc>
        <w:tc>
          <w:tcPr>
            <w:tcW w:w="1284" w:type="dxa"/>
            <w:vAlign w:val="center"/>
          </w:tcPr>
          <w:p w14:paraId="1F640B0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0.355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06C29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0.248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63C83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4.829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3103AF2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4434FC4A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0EFFAA3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16EF8FD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52B71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47912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1.000</w:t>
            </w:r>
          </w:p>
        </w:tc>
        <w:tc>
          <w:tcPr>
            <w:tcW w:w="1284" w:type="dxa"/>
            <w:vAlign w:val="center"/>
          </w:tcPr>
          <w:p w14:paraId="4598CE4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0.698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2E415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vAlign w:val="center"/>
            <w:hideMark/>
          </w:tcPr>
          <w:p w14:paraId="138DDF1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48" w:type="dxa"/>
            <w:vAlign w:val="center"/>
            <w:hideMark/>
          </w:tcPr>
          <w:p w14:paraId="44B3E3B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3C607D52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FBF7DE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04E94D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AFAD6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9B367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0.939</w:t>
            </w:r>
          </w:p>
        </w:tc>
        <w:tc>
          <w:tcPr>
            <w:tcW w:w="1284" w:type="dxa"/>
            <w:vAlign w:val="center"/>
          </w:tcPr>
          <w:p w14:paraId="6C8506A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0.667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5C76C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0.066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4588E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14.119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AA30E1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17F11B31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CB47B0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2E04C8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1E59FF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37231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0.930</w:t>
            </w:r>
          </w:p>
        </w:tc>
        <w:tc>
          <w:tcPr>
            <w:tcW w:w="1284" w:type="dxa"/>
            <w:vAlign w:val="center"/>
          </w:tcPr>
          <w:p w14:paraId="5B4A316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0.668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56F70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0.066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502FA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14.144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E41A8A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729A4201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7ACE39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EA3176D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C6A41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90D02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0.925</w:t>
            </w:r>
          </w:p>
        </w:tc>
        <w:tc>
          <w:tcPr>
            <w:tcW w:w="1284" w:type="dxa"/>
            <w:vAlign w:val="center"/>
          </w:tcPr>
          <w:p w14:paraId="4A8D656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0.644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D78952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0.068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FE1C5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13.645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0091C0B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127EA444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2E31C4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DC15F4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70440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EEFE3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0.911</w:t>
            </w:r>
          </w:p>
        </w:tc>
        <w:tc>
          <w:tcPr>
            <w:tcW w:w="1284" w:type="dxa"/>
            <w:vAlign w:val="center"/>
          </w:tcPr>
          <w:p w14:paraId="729A471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0.673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A5F40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0.064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9087A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14.238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33B06E2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145F9DE3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F706CD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70D41E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A6698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2A35E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0.884</w:t>
            </w:r>
          </w:p>
        </w:tc>
        <w:tc>
          <w:tcPr>
            <w:tcW w:w="1284" w:type="dxa"/>
            <w:vAlign w:val="center"/>
          </w:tcPr>
          <w:p w14:paraId="0F61E58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0.664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AF88B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0.063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1CCD6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14.049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2013BC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1BDD8DDF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338B75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1DEBFC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70051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802E5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1.000</w:t>
            </w:r>
          </w:p>
        </w:tc>
        <w:tc>
          <w:tcPr>
            <w:tcW w:w="1284" w:type="dxa"/>
            <w:vAlign w:val="center"/>
          </w:tcPr>
          <w:p w14:paraId="257F1B3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0.697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441C1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vAlign w:val="center"/>
            <w:hideMark/>
          </w:tcPr>
          <w:p w14:paraId="07F69C0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248" w:type="dxa"/>
            <w:vAlign w:val="center"/>
            <w:hideMark/>
          </w:tcPr>
          <w:p w14:paraId="1ACBEA0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6DFC1E3B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D98658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A7AAFE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BAE09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462EF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0.923</w:t>
            </w:r>
          </w:p>
        </w:tc>
        <w:tc>
          <w:tcPr>
            <w:tcW w:w="1284" w:type="dxa"/>
            <w:vAlign w:val="center"/>
          </w:tcPr>
          <w:p w14:paraId="528458C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0.605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4D9F3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0.072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E2805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12.895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62623E4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77BB449F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20A19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AE4D85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4BF5B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1D65B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0.906</w:t>
            </w:r>
          </w:p>
        </w:tc>
        <w:tc>
          <w:tcPr>
            <w:tcW w:w="1284" w:type="dxa"/>
            <w:vAlign w:val="center"/>
          </w:tcPr>
          <w:p w14:paraId="33D3CBD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0.614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40A17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0.069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7F5DA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13.076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A396A9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55869738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6448E2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F0F75D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27BD7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9CB02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0.980</w:t>
            </w:r>
          </w:p>
        </w:tc>
        <w:tc>
          <w:tcPr>
            <w:tcW w:w="1284" w:type="dxa"/>
            <w:vAlign w:val="center"/>
          </w:tcPr>
          <w:p w14:paraId="001FE42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0.644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7F6C9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0.072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75322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13.702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411AF8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3C999061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764116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FBFF3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7A0126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8ADC6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0.943</w:t>
            </w:r>
          </w:p>
        </w:tc>
        <w:tc>
          <w:tcPr>
            <w:tcW w:w="1284" w:type="dxa"/>
            <w:vAlign w:val="center"/>
          </w:tcPr>
          <w:p w14:paraId="033748B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0.636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EC9B5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0.070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0F7DA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13.533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0754003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2294893F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A44B4E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8DBD4D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480D8F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0FDFD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1.030</w:t>
            </w:r>
          </w:p>
        </w:tc>
        <w:tc>
          <w:tcPr>
            <w:tcW w:w="1284" w:type="dxa"/>
            <w:vAlign w:val="center"/>
          </w:tcPr>
          <w:p w14:paraId="720BBEE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0.695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A6B45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0.070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61A8D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14.721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7A9789F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7D275312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761F88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870C5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F0FDD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745BB6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0.931</w:t>
            </w:r>
          </w:p>
        </w:tc>
        <w:tc>
          <w:tcPr>
            <w:tcW w:w="1284" w:type="dxa"/>
            <w:vAlign w:val="center"/>
          </w:tcPr>
          <w:p w14:paraId="09322F2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0.641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48173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0.068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AF018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13.638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69DA778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  <w:tr w:rsidR="005321B7" w:rsidRPr="00CD39ED" w14:paraId="5A5D1FE1" w14:textId="77777777" w:rsidTr="00824D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8AAD71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D0B843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DDC4EE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CAF55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1.004</w:t>
            </w:r>
          </w:p>
        </w:tc>
        <w:tc>
          <w:tcPr>
            <w:tcW w:w="1284" w:type="dxa"/>
            <w:vAlign w:val="center"/>
          </w:tcPr>
          <w:p w14:paraId="5033D2A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0.676</w:t>
            </w:r>
          </w:p>
        </w:tc>
        <w:tc>
          <w:tcPr>
            <w:tcW w:w="124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24BFF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0.070</w:t>
            </w:r>
          </w:p>
        </w:tc>
        <w:tc>
          <w:tcPr>
            <w:tcW w:w="125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E506C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14.353</w:t>
            </w:r>
          </w:p>
        </w:tc>
        <w:tc>
          <w:tcPr>
            <w:tcW w:w="1248" w:type="dxa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4042B66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&lt;0.001</w:t>
            </w:r>
          </w:p>
        </w:tc>
      </w:tr>
    </w:tbl>
    <w:p w14:paraId="129D8BBD" w14:textId="77777777" w:rsidR="005321B7" w:rsidRDefault="005321B7" w:rsidP="007215C7">
      <w:pPr>
        <w:pStyle w:val="1"/>
        <w:keepLines w:val="0"/>
        <w:overflowPunct w:val="0"/>
        <w:autoSpaceDE w:val="0"/>
        <w:autoSpaceDN w:val="0"/>
        <w:spacing w:before="0" w:after="0"/>
        <w:contextualSpacing/>
        <w:textAlignment w:val="baseline"/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</w:pPr>
    </w:p>
    <w:p w14:paraId="21AE2DFE" w14:textId="77777777" w:rsidR="002A628F" w:rsidRDefault="002A628F" w:rsidP="005321B7">
      <w:pPr>
        <w:widowControl w:val="0"/>
        <w:rPr>
          <w:rFonts w:eastAsia="等线" w:cs="Times New Roman"/>
          <w:b/>
          <w:bCs/>
          <w14:ligatures w14:val="standardContextual"/>
        </w:rPr>
      </w:pPr>
    </w:p>
    <w:p w14:paraId="55131C0C" w14:textId="77777777" w:rsidR="002A628F" w:rsidRDefault="002A628F">
      <w:pPr>
        <w:spacing w:after="160" w:line="278" w:lineRule="auto"/>
        <w:jc w:val="left"/>
        <w:rPr>
          <w:rFonts w:eastAsia="等线" w:cs="Times New Roman"/>
          <w:b/>
          <w:bCs/>
          <w14:ligatures w14:val="standardContextual"/>
        </w:rPr>
      </w:pPr>
      <w:r>
        <w:rPr>
          <w:rFonts w:eastAsia="等线" w:cs="Times New Roman"/>
          <w:b/>
          <w:bCs/>
          <w14:ligatures w14:val="standardContextual"/>
        </w:rPr>
        <w:br w:type="page"/>
      </w:r>
    </w:p>
    <w:p w14:paraId="4DA472EE" w14:textId="0EFE83CE" w:rsidR="005321B7" w:rsidRPr="00CD39ED" w:rsidRDefault="005321B7" w:rsidP="005321B7">
      <w:pPr>
        <w:widowControl w:val="0"/>
        <w:rPr>
          <w:rFonts w:eastAsia="等线" w:cs="Times New Roman"/>
          <w:b/>
          <w:bCs/>
          <w14:ligatures w14:val="standardContextual"/>
        </w:rPr>
      </w:pPr>
      <w:r w:rsidRPr="00CD39ED">
        <w:rPr>
          <w:rFonts w:eastAsia="等线" w:cs="Times New Roman"/>
          <w:b/>
          <w:bCs/>
          <w14:ligatures w14:val="standardContextual"/>
        </w:rPr>
        <w:lastRenderedPageBreak/>
        <w:t>Supplementary Table 3. Comparison of Demographics and KAP Scores based on PCSK9 Inhibitor Research Participation.</w:t>
      </w:r>
    </w:p>
    <w:tbl>
      <w:tblPr>
        <w:tblStyle w:val="10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1989"/>
        <w:gridCol w:w="987"/>
      </w:tblGrid>
      <w:tr w:rsidR="005321B7" w:rsidRPr="00CD39ED" w14:paraId="63B1ADEC" w14:textId="77777777" w:rsidTr="00824D76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D9E96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Demographics &amp; KAP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CFA0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Had taken part in PCSK9i research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9D7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P*</w:t>
            </w:r>
          </w:p>
        </w:tc>
      </w:tr>
      <w:tr w:rsidR="005321B7" w:rsidRPr="00CD39ED" w14:paraId="0C5941FF" w14:textId="77777777" w:rsidTr="00824D76">
        <w:trPr>
          <w:trHeight w:val="315"/>
        </w:trPr>
        <w:tc>
          <w:tcPr>
            <w:tcW w:w="3539" w:type="dxa"/>
            <w:vMerge/>
            <w:tcBorders>
              <w:top w:val="nil"/>
              <w:bottom w:val="single" w:sz="4" w:space="0" w:color="auto"/>
            </w:tcBorders>
          </w:tcPr>
          <w:p w14:paraId="326A279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D215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Yes (N=340)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613B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No (N=172)</w:t>
            </w:r>
          </w:p>
        </w:tc>
        <w:tc>
          <w:tcPr>
            <w:tcW w:w="98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0DF94B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25E6EA68" w14:textId="77777777" w:rsidTr="00824D76">
        <w:trPr>
          <w:trHeight w:val="300"/>
        </w:trPr>
        <w:tc>
          <w:tcPr>
            <w:tcW w:w="3539" w:type="dxa"/>
            <w:tcBorders>
              <w:top w:val="single" w:sz="4" w:space="0" w:color="auto"/>
            </w:tcBorders>
          </w:tcPr>
          <w:p w14:paraId="57457D5F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FE7860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10.02±2.58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00D45D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10.1</w:t>
            </w:r>
            <w:r>
              <w:rPr>
                <w:rFonts w:eastAsia="等线" w:cs="Times New Roman" w:hint="eastAsia"/>
                <w:sz w:val="24"/>
                <w:szCs w:val="24"/>
                <w14:ligatures w14:val="standardContextual"/>
              </w:rPr>
              <w:t>0</w:t>
            </w: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±2.69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683DCCC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0.799</w:t>
            </w:r>
          </w:p>
        </w:tc>
      </w:tr>
      <w:tr w:rsidR="005321B7" w:rsidRPr="00CD39ED" w14:paraId="76B16FC5" w14:textId="77777777" w:rsidTr="00824D76">
        <w:trPr>
          <w:trHeight w:val="315"/>
        </w:trPr>
        <w:tc>
          <w:tcPr>
            <w:tcW w:w="3539" w:type="dxa"/>
          </w:tcPr>
          <w:p w14:paraId="26BB5D0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Attitude</w:t>
            </w:r>
          </w:p>
        </w:tc>
        <w:tc>
          <w:tcPr>
            <w:tcW w:w="1985" w:type="dxa"/>
            <w:vAlign w:val="center"/>
          </w:tcPr>
          <w:p w14:paraId="7CEC35F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23.79±4.99</w:t>
            </w:r>
          </w:p>
        </w:tc>
        <w:tc>
          <w:tcPr>
            <w:tcW w:w="1989" w:type="dxa"/>
            <w:vAlign w:val="center"/>
          </w:tcPr>
          <w:p w14:paraId="0CE065C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23.74±5.13</w:t>
            </w:r>
          </w:p>
        </w:tc>
        <w:tc>
          <w:tcPr>
            <w:tcW w:w="987" w:type="dxa"/>
            <w:vAlign w:val="center"/>
          </w:tcPr>
          <w:p w14:paraId="17AD841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0.858</w:t>
            </w:r>
          </w:p>
        </w:tc>
      </w:tr>
      <w:tr w:rsidR="005321B7" w:rsidRPr="00CD39ED" w14:paraId="57896116" w14:textId="77777777" w:rsidTr="00824D76">
        <w:trPr>
          <w:trHeight w:val="300"/>
        </w:trPr>
        <w:tc>
          <w:tcPr>
            <w:tcW w:w="3539" w:type="dxa"/>
          </w:tcPr>
          <w:p w14:paraId="1019DDB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b/>
                <w:bCs/>
                <w:sz w:val="24"/>
                <w:szCs w:val="24"/>
                <w14:ligatures w14:val="standardContextual"/>
              </w:rPr>
              <w:t>Practice</w:t>
            </w:r>
          </w:p>
        </w:tc>
        <w:tc>
          <w:tcPr>
            <w:tcW w:w="1985" w:type="dxa"/>
            <w:vAlign w:val="center"/>
          </w:tcPr>
          <w:p w14:paraId="4B5B86C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31.61±6.34</w:t>
            </w:r>
          </w:p>
        </w:tc>
        <w:tc>
          <w:tcPr>
            <w:tcW w:w="1989" w:type="dxa"/>
            <w:vAlign w:val="center"/>
          </w:tcPr>
          <w:p w14:paraId="114E5D3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31.91±6.52</w:t>
            </w:r>
          </w:p>
        </w:tc>
        <w:tc>
          <w:tcPr>
            <w:tcW w:w="987" w:type="dxa"/>
            <w:vAlign w:val="center"/>
          </w:tcPr>
          <w:p w14:paraId="065A76B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0.484</w:t>
            </w:r>
          </w:p>
        </w:tc>
      </w:tr>
      <w:tr w:rsidR="005321B7" w:rsidRPr="00CD39ED" w14:paraId="7BB0C20A" w14:textId="77777777" w:rsidTr="00824D76">
        <w:trPr>
          <w:trHeight w:val="315"/>
        </w:trPr>
        <w:tc>
          <w:tcPr>
            <w:tcW w:w="3539" w:type="dxa"/>
            <w:vAlign w:val="center"/>
          </w:tcPr>
          <w:p w14:paraId="4C5E669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kern w:val="0"/>
                <w:sz w:val="24"/>
                <w:szCs w:val="24"/>
                <w14:ligatures w14:val="standardContextual"/>
              </w:rPr>
              <w:t>Respondent Gender</w:t>
            </w:r>
          </w:p>
        </w:tc>
        <w:tc>
          <w:tcPr>
            <w:tcW w:w="1985" w:type="dxa"/>
            <w:vAlign w:val="center"/>
          </w:tcPr>
          <w:p w14:paraId="5C92109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6A9315A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27B23BE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0.540</w:t>
            </w:r>
          </w:p>
        </w:tc>
      </w:tr>
      <w:tr w:rsidR="005321B7" w:rsidRPr="00CD39ED" w14:paraId="4FBDBE44" w14:textId="77777777" w:rsidTr="00824D76">
        <w:trPr>
          <w:trHeight w:val="300"/>
        </w:trPr>
        <w:tc>
          <w:tcPr>
            <w:tcW w:w="3539" w:type="dxa"/>
            <w:vAlign w:val="center"/>
          </w:tcPr>
          <w:p w14:paraId="4710F18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Cs/>
                <w:kern w:val="0"/>
                <w:sz w:val="24"/>
                <w:szCs w:val="24"/>
                <w14:ligatures w14:val="standardContextual"/>
              </w:rPr>
              <w:t>Male</w:t>
            </w:r>
          </w:p>
        </w:tc>
        <w:tc>
          <w:tcPr>
            <w:tcW w:w="1985" w:type="dxa"/>
            <w:vAlign w:val="center"/>
          </w:tcPr>
          <w:p w14:paraId="700E46C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130 (38.24)</w:t>
            </w:r>
          </w:p>
        </w:tc>
        <w:tc>
          <w:tcPr>
            <w:tcW w:w="1989" w:type="dxa"/>
            <w:vAlign w:val="center"/>
          </w:tcPr>
          <w:p w14:paraId="6EBDCA0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61 (35.47)</w:t>
            </w:r>
          </w:p>
        </w:tc>
        <w:tc>
          <w:tcPr>
            <w:tcW w:w="987" w:type="dxa"/>
            <w:vAlign w:val="center"/>
          </w:tcPr>
          <w:p w14:paraId="01FC866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5F37AADC" w14:textId="77777777" w:rsidTr="00824D76">
        <w:trPr>
          <w:trHeight w:val="315"/>
        </w:trPr>
        <w:tc>
          <w:tcPr>
            <w:tcW w:w="3539" w:type="dxa"/>
            <w:vAlign w:val="center"/>
          </w:tcPr>
          <w:p w14:paraId="3D391929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Cs/>
                <w:kern w:val="0"/>
                <w:sz w:val="24"/>
                <w:szCs w:val="24"/>
                <w14:ligatures w14:val="standardContextual"/>
              </w:rPr>
              <w:t>Female</w:t>
            </w:r>
          </w:p>
        </w:tc>
        <w:tc>
          <w:tcPr>
            <w:tcW w:w="1985" w:type="dxa"/>
            <w:vAlign w:val="center"/>
          </w:tcPr>
          <w:p w14:paraId="52871E4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210 (61.76)</w:t>
            </w:r>
          </w:p>
        </w:tc>
        <w:tc>
          <w:tcPr>
            <w:tcW w:w="1989" w:type="dxa"/>
            <w:vAlign w:val="center"/>
          </w:tcPr>
          <w:p w14:paraId="24A232B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111 (64.53)</w:t>
            </w:r>
          </w:p>
        </w:tc>
        <w:tc>
          <w:tcPr>
            <w:tcW w:w="987" w:type="dxa"/>
            <w:vAlign w:val="center"/>
          </w:tcPr>
          <w:p w14:paraId="7D812A1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5FCF1664" w14:textId="77777777" w:rsidTr="00824D76">
        <w:trPr>
          <w:trHeight w:val="300"/>
        </w:trPr>
        <w:tc>
          <w:tcPr>
            <w:tcW w:w="3539" w:type="dxa"/>
            <w:vAlign w:val="center"/>
          </w:tcPr>
          <w:p w14:paraId="75A2AE4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kern w:val="0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1985" w:type="dxa"/>
            <w:vAlign w:val="center"/>
          </w:tcPr>
          <w:p w14:paraId="7D0503B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446CF54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230A5E4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0.190</w:t>
            </w:r>
          </w:p>
        </w:tc>
      </w:tr>
      <w:tr w:rsidR="005321B7" w:rsidRPr="00CD39ED" w14:paraId="4DE2C357" w14:textId="77777777" w:rsidTr="00824D76">
        <w:trPr>
          <w:trHeight w:val="315"/>
        </w:trPr>
        <w:tc>
          <w:tcPr>
            <w:tcW w:w="3539" w:type="dxa"/>
            <w:vAlign w:val="center"/>
          </w:tcPr>
          <w:p w14:paraId="269AE34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kern w:val="0"/>
                <w:sz w:val="24"/>
                <w:szCs w:val="24"/>
                <w14:ligatures w14:val="standardContextual"/>
              </w:rPr>
              <w:t>≤ 32 years</w:t>
            </w:r>
          </w:p>
        </w:tc>
        <w:tc>
          <w:tcPr>
            <w:tcW w:w="1985" w:type="dxa"/>
            <w:vAlign w:val="center"/>
          </w:tcPr>
          <w:p w14:paraId="1F0EED2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195 (57.35)</w:t>
            </w:r>
          </w:p>
        </w:tc>
        <w:tc>
          <w:tcPr>
            <w:tcW w:w="1989" w:type="dxa"/>
            <w:vAlign w:val="center"/>
          </w:tcPr>
          <w:p w14:paraId="1AAD6F8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109 (63.37)</w:t>
            </w:r>
          </w:p>
        </w:tc>
        <w:tc>
          <w:tcPr>
            <w:tcW w:w="987" w:type="dxa"/>
            <w:vAlign w:val="center"/>
          </w:tcPr>
          <w:p w14:paraId="0A9D416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1239CDC8" w14:textId="77777777" w:rsidTr="00824D76">
        <w:trPr>
          <w:trHeight w:val="300"/>
        </w:trPr>
        <w:tc>
          <w:tcPr>
            <w:tcW w:w="3539" w:type="dxa"/>
            <w:vAlign w:val="center"/>
          </w:tcPr>
          <w:p w14:paraId="0F6CBFEB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kern w:val="0"/>
                <w:sz w:val="24"/>
                <w:szCs w:val="24"/>
                <w14:ligatures w14:val="standardContextual"/>
              </w:rPr>
              <w:t>&gt;32 years</w:t>
            </w:r>
          </w:p>
        </w:tc>
        <w:tc>
          <w:tcPr>
            <w:tcW w:w="1985" w:type="dxa"/>
            <w:vAlign w:val="center"/>
          </w:tcPr>
          <w:p w14:paraId="5A0B4FA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145 (42.65)</w:t>
            </w:r>
          </w:p>
        </w:tc>
        <w:tc>
          <w:tcPr>
            <w:tcW w:w="1989" w:type="dxa"/>
            <w:vAlign w:val="center"/>
          </w:tcPr>
          <w:p w14:paraId="7EFB4C6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63 (36.63)</w:t>
            </w:r>
          </w:p>
        </w:tc>
        <w:tc>
          <w:tcPr>
            <w:tcW w:w="987" w:type="dxa"/>
            <w:vAlign w:val="center"/>
          </w:tcPr>
          <w:p w14:paraId="09AECEA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01629FF5" w14:textId="77777777" w:rsidTr="00824D76">
        <w:trPr>
          <w:trHeight w:val="315"/>
        </w:trPr>
        <w:tc>
          <w:tcPr>
            <w:tcW w:w="3539" w:type="dxa"/>
            <w:vAlign w:val="center"/>
          </w:tcPr>
          <w:p w14:paraId="4E983C95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kern w:val="0"/>
                <w:sz w:val="24"/>
                <w:szCs w:val="24"/>
                <w14:ligatures w14:val="standardContextual"/>
              </w:rPr>
              <w:t>Education Level</w:t>
            </w:r>
          </w:p>
        </w:tc>
        <w:tc>
          <w:tcPr>
            <w:tcW w:w="1985" w:type="dxa"/>
            <w:vAlign w:val="center"/>
          </w:tcPr>
          <w:p w14:paraId="4159128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1129465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777C94B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0.535</w:t>
            </w:r>
          </w:p>
        </w:tc>
      </w:tr>
      <w:tr w:rsidR="005321B7" w:rsidRPr="00CD39ED" w14:paraId="283CF05B" w14:textId="77777777" w:rsidTr="00824D76">
        <w:trPr>
          <w:trHeight w:val="300"/>
        </w:trPr>
        <w:tc>
          <w:tcPr>
            <w:tcW w:w="3539" w:type="dxa"/>
          </w:tcPr>
          <w:p w14:paraId="3F9F1B33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kern w:val="0"/>
                <w:sz w:val="24"/>
                <w:szCs w:val="24"/>
                <w14:ligatures w14:val="standardContextual"/>
              </w:rPr>
              <w:t>Bachelor's degree or below</w:t>
            </w:r>
          </w:p>
        </w:tc>
        <w:tc>
          <w:tcPr>
            <w:tcW w:w="1985" w:type="dxa"/>
            <w:vAlign w:val="center"/>
          </w:tcPr>
          <w:p w14:paraId="55E338E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122 (35.88)</w:t>
            </w:r>
          </w:p>
        </w:tc>
        <w:tc>
          <w:tcPr>
            <w:tcW w:w="1989" w:type="dxa"/>
            <w:vAlign w:val="center"/>
          </w:tcPr>
          <w:p w14:paraId="090B2F9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62 (36.05)</w:t>
            </w:r>
          </w:p>
        </w:tc>
        <w:tc>
          <w:tcPr>
            <w:tcW w:w="987" w:type="dxa"/>
            <w:vAlign w:val="center"/>
          </w:tcPr>
          <w:p w14:paraId="0D2D91B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64411DF8" w14:textId="77777777" w:rsidTr="00824D76">
        <w:trPr>
          <w:trHeight w:val="315"/>
        </w:trPr>
        <w:tc>
          <w:tcPr>
            <w:tcW w:w="3539" w:type="dxa"/>
          </w:tcPr>
          <w:p w14:paraId="44DD8DBA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Master’s degree</w:t>
            </w:r>
          </w:p>
        </w:tc>
        <w:tc>
          <w:tcPr>
            <w:tcW w:w="1985" w:type="dxa"/>
            <w:vAlign w:val="center"/>
          </w:tcPr>
          <w:p w14:paraId="0292FB0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158 (46.47)</w:t>
            </w:r>
          </w:p>
        </w:tc>
        <w:tc>
          <w:tcPr>
            <w:tcW w:w="1989" w:type="dxa"/>
            <w:vAlign w:val="center"/>
          </w:tcPr>
          <w:p w14:paraId="5BB508F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86 (50.00)</w:t>
            </w:r>
          </w:p>
        </w:tc>
        <w:tc>
          <w:tcPr>
            <w:tcW w:w="987" w:type="dxa"/>
            <w:vAlign w:val="center"/>
          </w:tcPr>
          <w:p w14:paraId="4B24F7B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4ADC477D" w14:textId="77777777" w:rsidTr="00824D76">
        <w:trPr>
          <w:trHeight w:val="300"/>
        </w:trPr>
        <w:tc>
          <w:tcPr>
            <w:tcW w:w="3539" w:type="dxa"/>
          </w:tcPr>
          <w:p w14:paraId="3127AD2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Doctoral degree</w:t>
            </w:r>
          </w:p>
        </w:tc>
        <w:tc>
          <w:tcPr>
            <w:tcW w:w="1985" w:type="dxa"/>
            <w:vAlign w:val="center"/>
          </w:tcPr>
          <w:p w14:paraId="5A2A86E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60 (17.65)</w:t>
            </w:r>
          </w:p>
        </w:tc>
        <w:tc>
          <w:tcPr>
            <w:tcW w:w="1989" w:type="dxa"/>
            <w:vAlign w:val="center"/>
          </w:tcPr>
          <w:p w14:paraId="2C85848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24 (13.95)</w:t>
            </w:r>
          </w:p>
        </w:tc>
        <w:tc>
          <w:tcPr>
            <w:tcW w:w="987" w:type="dxa"/>
            <w:vAlign w:val="center"/>
          </w:tcPr>
          <w:p w14:paraId="19396B7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4C18EBB1" w14:textId="77777777" w:rsidTr="00824D76">
        <w:trPr>
          <w:trHeight w:val="300"/>
        </w:trPr>
        <w:tc>
          <w:tcPr>
            <w:tcW w:w="3539" w:type="dxa"/>
            <w:vAlign w:val="center"/>
          </w:tcPr>
          <w:p w14:paraId="7FAF540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kern w:val="0"/>
                <w:sz w:val="24"/>
                <w:szCs w:val="24"/>
                <w14:ligatures w14:val="standardContextual"/>
              </w:rPr>
              <w:t>Professional Title</w:t>
            </w:r>
          </w:p>
        </w:tc>
        <w:tc>
          <w:tcPr>
            <w:tcW w:w="1985" w:type="dxa"/>
            <w:vAlign w:val="center"/>
          </w:tcPr>
          <w:p w14:paraId="0437BE0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6980F30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12F7EBA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0.008</w:t>
            </w:r>
          </w:p>
        </w:tc>
      </w:tr>
      <w:tr w:rsidR="005321B7" w:rsidRPr="00CD39ED" w14:paraId="1F093940" w14:textId="77777777" w:rsidTr="00824D76">
        <w:trPr>
          <w:trHeight w:val="315"/>
        </w:trPr>
        <w:tc>
          <w:tcPr>
            <w:tcW w:w="3539" w:type="dxa"/>
          </w:tcPr>
          <w:p w14:paraId="7316C6B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Junior</w:t>
            </w:r>
          </w:p>
        </w:tc>
        <w:tc>
          <w:tcPr>
            <w:tcW w:w="1985" w:type="dxa"/>
            <w:vAlign w:val="center"/>
          </w:tcPr>
          <w:p w14:paraId="4BD1ECB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16 (4.71)</w:t>
            </w:r>
          </w:p>
        </w:tc>
        <w:tc>
          <w:tcPr>
            <w:tcW w:w="1989" w:type="dxa"/>
            <w:vAlign w:val="center"/>
          </w:tcPr>
          <w:p w14:paraId="4F71FB2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20 (11.63)</w:t>
            </w:r>
          </w:p>
        </w:tc>
        <w:tc>
          <w:tcPr>
            <w:tcW w:w="987" w:type="dxa"/>
            <w:vAlign w:val="center"/>
          </w:tcPr>
          <w:p w14:paraId="62BD9BA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681021EF" w14:textId="77777777" w:rsidTr="00824D76">
        <w:trPr>
          <w:trHeight w:val="300"/>
        </w:trPr>
        <w:tc>
          <w:tcPr>
            <w:tcW w:w="3539" w:type="dxa"/>
          </w:tcPr>
          <w:p w14:paraId="3FE60F16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Intermediate</w:t>
            </w:r>
          </w:p>
        </w:tc>
        <w:tc>
          <w:tcPr>
            <w:tcW w:w="1985" w:type="dxa"/>
            <w:vAlign w:val="center"/>
          </w:tcPr>
          <w:p w14:paraId="77DD99B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131 (38.53)</w:t>
            </w:r>
          </w:p>
        </w:tc>
        <w:tc>
          <w:tcPr>
            <w:tcW w:w="1989" w:type="dxa"/>
            <w:vAlign w:val="center"/>
          </w:tcPr>
          <w:p w14:paraId="0B5F7381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58 (33.72)</w:t>
            </w:r>
          </w:p>
        </w:tc>
        <w:tc>
          <w:tcPr>
            <w:tcW w:w="987" w:type="dxa"/>
            <w:vAlign w:val="center"/>
          </w:tcPr>
          <w:p w14:paraId="67DEC3F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50EFC022" w14:textId="77777777" w:rsidTr="00824D76">
        <w:trPr>
          <w:trHeight w:val="300"/>
        </w:trPr>
        <w:tc>
          <w:tcPr>
            <w:tcW w:w="3539" w:type="dxa"/>
          </w:tcPr>
          <w:p w14:paraId="4DF2B3CD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Associate Senior</w:t>
            </w:r>
          </w:p>
        </w:tc>
        <w:tc>
          <w:tcPr>
            <w:tcW w:w="1985" w:type="dxa"/>
            <w:vAlign w:val="center"/>
          </w:tcPr>
          <w:p w14:paraId="72E8A17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139 (40.88)</w:t>
            </w:r>
          </w:p>
        </w:tc>
        <w:tc>
          <w:tcPr>
            <w:tcW w:w="1989" w:type="dxa"/>
            <w:vAlign w:val="center"/>
          </w:tcPr>
          <w:p w14:paraId="6187B5A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63 (36.63)</w:t>
            </w:r>
          </w:p>
        </w:tc>
        <w:tc>
          <w:tcPr>
            <w:tcW w:w="987" w:type="dxa"/>
            <w:vAlign w:val="center"/>
          </w:tcPr>
          <w:p w14:paraId="2E5012D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4B2147DB" w14:textId="77777777" w:rsidTr="00824D76">
        <w:trPr>
          <w:trHeight w:val="300"/>
        </w:trPr>
        <w:tc>
          <w:tcPr>
            <w:tcW w:w="3539" w:type="dxa"/>
          </w:tcPr>
          <w:p w14:paraId="18AAC620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Senior</w:t>
            </w:r>
          </w:p>
        </w:tc>
        <w:tc>
          <w:tcPr>
            <w:tcW w:w="1985" w:type="dxa"/>
            <w:vAlign w:val="center"/>
          </w:tcPr>
          <w:p w14:paraId="6A7F7112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44 (12.94)</w:t>
            </w:r>
          </w:p>
        </w:tc>
        <w:tc>
          <w:tcPr>
            <w:tcW w:w="1989" w:type="dxa"/>
            <w:vAlign w:val="center"/>
          </w:tcPr>
          <w:p w14:paraId="3621A94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19 (11.05)</w:t>
            </w:r>
          </w:p>
        </w:tc>
        <w:tc>
          <w:tcPr>
            <w:tcW w:w="987" w:type="dxa"/>
            <w:vAlign w:val="center"/>
          </w:tcPr>
          <w:p w14:paraId="4467547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0B81E524" w14:textId="77777777" w:rsidTr="00824D76">
        <w:trPr>
          <w:trHeight w:val="300"/>
        </w:trPr>
        <w:tc>
          <w:tcPr>
            <w:tcW w:w="3539" w:type="dxa"/>
          </w:tcPr>
          <w:p w14:paraId="56CE6D7B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No professional title</w:t>
            </w:r>
          </w:p>
        </w:tc>
        <w:tc>
          <w:tcPr>
            <w:tcW w:w="1985" w:type="dxa"/>
            <w:vAlign w:val="center"/>
          </w:tcPr>
          <w:p w14:paraId="484AE81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 (2.94)</w:t>
            </w:r>
          </w:p>
        </w:tc>
        <w:tc>
          <w:tcPr>
            <w:tcW w:w="1989" w:type="dxa"/>
            <w:vAlign w:val="center"/>
          </w:tcPr>
          <w:p w14:paraId="7CB797F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12 (6.98)</w:t>
            </w:r>
          </w:p>
        </w:tc>
        <w:tc>
          <w:tcPr>
            <w:tcW w:w="987" w:type="dxa"/>
            <w:vAlign w:val="center"/>
          </w:tcPr>
          <w:p w14:paraId="2A4DF37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5D56EAD0" w14:textId="77777777" w:rsidTr="00824D76">
        <w:trPr>
          <w:trHeight w:val="300"/>
        </w:trPr>
        <w:tc>
          <w:tcPr>
            <w:tcW w:w="3539" w:type="dxa"/>
            <w:vAlign w:val="center"/>
          </w:tcPr>
          <w:p w14:paraId="11403F71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kern w:val="0"/>
                <w:sz w:val="24"/>
                <w:szCs w:val="24"/>
                <w14:ligatures w14:val="standardContextual"/>
              </w:rPr>
              <w:t>Department</w:t>
            </w:r>
          </w:p>
        </w:tc>
        <w:tc>
          <w:tcPr>
            <w:tcW w:w="1985" w:type="dxa"/>
            <w:vAlign w:val="center"/>
          </w:tcPr>
          <w:p w14:paraId="68CE8FB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576C4C2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70B14FF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0.864</w:t>
            </w:r>
          </w:p>
        </w:tc>
      </w:tr>
      <w:tr w:rsidR="005321B7" w:rsidRPr="00CD39ED" w14:paraId="4EDFBAD5" w14:textId="77777777" w:rsidTr="00824D76">
        <w:trPr>
          <w:trHeight w:val="300"/>
        </w:trPr>
        <w:tc>
          <w:tcPr>
            <w:tcW w:w="3539" w:type="dxa"/>
          </w:tcPr>
          <w:p w14:paraId="6A7B0D1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Cs/>
                <w:sz w:val="24"/>
                <w:szCs w:val="24"/>
                <w14:ligatures w14:val="standardContextual"/>
              </w:rPr>
              <w:t>Neurology</w:t>
            </w:r>
          </w:p>
        </w:tc>
        <w:tc>
          <w:tcPr>
            <w:tcW w:w="1985" w:type="dxa"/>
            <w:vAlign w:val="center"/>
          </w:tcPr>
          <w:p w14:paraId="0DB2424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137 (40.29)</w:t>
            </w:r>
          </w:p>
        </w:tc>
        <w:tc>
          <w:tcPr>
            <w:tcW w:w="1989" w:type="dxa"/>
            <w:vAlign w:val="center"/>
          </w:tcPr>
          <w:p w14:paraId="0AA4D77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67 (38.95)</w:t>
            </w:r>
          </w:p>
        </w:tc>
        <w:tc>
          <w:tcPr>
            <w:tcW w:w="987" w:type="dxa"/>
            <w:vAlign w:val="center"/>
          </w:tcPr>
          <w:p w14:paraId="70E9A80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0EB45933" w14:textId="77777777" w:rsidTr="00824D76">
        <w:trPr>
          <w:trHeight w:val="300"/>
        </w:trPr>
        <w:tc>
          <w:tcPr>
            <w:tcW w:w="3539" w:type="dxa"/>
          </w:tcPr>
          <w:p w14:paraId="780F505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Cardiology</w:t>
            </w:r>
          </w:p>
        </w:tc>
        <w:tc>
          <w:tcPr>
            <w:tcW w:w="1985" w:type="dxa"/>
            <w:vAlign w:val="center"/>
          </w:tcPr>
          <w:p w14:paraId="7E895CE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108 (31.76)</w:t>
            </w:r>
          </w:p>
        </w:tc>
        <w:tc>
          <w:tcPr>
            <w:tcW w:w="1989" w:type="dxa"/>
            <w:vAlign w:val="center"/>
          </w:tcPr>
          <w:p w14:paraId="76BE520C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53 (30.81)</w:t>
            </w:r>
          </w:p>
        </w:tc>
        <w:tc>
          <w:tcPr>
            <w:tcW w:w="987" w:type="dxa"/>
            <w:vAlign w:val="center"/>
          </w:tcPr>
          <w:p w14:paraId="7E5E9CD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080AE390" w14:textId="77777777" w:rsidTr="00824D76">
        <w:trPr>
          <w:trHeight w:val="300"/>
        </w:trPr>
        <w:tc>
          <w:tcPr>
            <w:tcW w:w="3539" w:type="dxa"/>
          </w:tcPr>
          <w:p w14:paraId="37CEB2B3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General Practice</w:t>
            </w:r>
          </w:p>
        </w:tc>
        <w:tc>
          <w:tcPr>
            <w:tcW w:w="1985" w:type="dxa"/>
            <w:vAlign w:val="center"/>
          </w:tcPr>
          <w:p w14:paraId="0FAA473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95 (27.94)</w:t>
            </w:r>
          </w:p>
        </w:tc>
        <w:tc>
          <w:tcPr>
            <w:tcW w:w="1989" w:type="dxa"/>
            <w:vAlign w:val="center"/>
          </w:tcPr>
          <w:p w14:paraId="127A8F5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52 (30.23)</w:t>
            </w:r>
          </w:p>
        </w:tc>
        <w:tc>
          <w:tcPr>
            <w:tcW w:w="987" w:type="dxa"/>
            <w:vAlign w:val="center"/>
          </w:tcPr>
          <w:p w14:paraId="02DA340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64AF1BD1" w14:textId="77777777" w:rsidTr="00824D76">
        <w:trPr>
          <w:trHeight w:val="300"/>
        </w:trPr>
        <w:tc>
          <w:tcPr>
            <w:tcW w:w="3539" w:type="dxa"/>
          </w:tcPr>
          <w:p w14:paraId="24C8B7D3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sz w:val="24"/>
                <w:szCs w:val="24"/>
                <w14:ligatures w14:val="standardContextual"/>
              </w:rPr>
              <w:t>Position</w:t>
            </w:r>
          </w:p>
        </w:tc>
        <w:tc>
          <w:tcPr>
            <w:tcW w:w="1985" w:type="dxa"/>
            <w:vAlign w:val="center"/>
          </w:tcPr>
          <w:p w14:paraId="4340E01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2AE11FF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19942DD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0.345</w:t>
            </w:r>
          </w:p>
        </w:tc>
      </w:tr>
      <w:tr w:rsidR="005321B7" w:rsidRPr="00CD39ED" w14:paraId="62F3B1D7" w14:textId="77777777" w:rsidTr="00824D76">
        <w:trPr>
          <w:trHeight w:val="300"/>
        </w:trPr>
        <w:tc>
          <w:tcPr>
            <w:tcW w:w="3539" w:type="dxa"/>
          </w:tcPr>
          <w:p w14:paraId="2CCB202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Physician</w:t>
            </w:r>
          </w:p>
        </w:tc>
        <w:tc>
          <w:tcPr>
            <w:tcW w:w="1985" w:type="dxa"/>
            <w:vAlign w:val="center"/>
          </w:tcPr>
          <w:p w14:paraId="079D625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135 (39.71)</w:t>
            </w:r>
          </w:p>
        </w:tc>
        <w:tc>
          <w:tcPr>
            <w:tcW w:w="1989" w:type="dxa"/>
            <w:vAlign w:val="center"/>
          </w:tcPr>
          <w:p w14:paraId="3BD28C3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82 (47.67)</w:t>
            </w:r>
          </w:p>
        </w:tc>
        <w:tc>
          <w:tcPr>
            <w:tcW w:w="987" w:type="dxa"/>
            <w:vAlign w:val="center"/>
          </w:tcPr>
          <w:p w14:paraId="1759969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74FAB79B" w14:textId="77777777" w:rsidTr="00824D76">
        <w:trPr>
          <w:trHeight w:val="300"/>
        </w:trPr>
        <w:tc>
          <w:tcPr>
            <w:tcW w:w="3539" w:type="dxa"/>
          </w:tcPr>
          <w:p w14:paraId="39FA76C6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Nurse</w:t>
            </w:r>
          </w:p>
        </w:tc>
        <w:tc>
          <w:tcPr>
            <w:tcW w:w="1985" w:type="dxa"/>
            <w:vAlign w:val="center"/>
          </w:tcPr>
          <w:p w14:paraId="58AB527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108 (31.76)</w:t>
            </w:r>
          </w:p>
        </w:tc>
        <w:tc>
          <w:tcPr>
            <w:tcW w:w="1989" w:type="dxa"/>
            <w:vAlign w:val="center"/>
          </w:tcPr>
          <w:p w14:paraId="3F874C1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44 (25.58)</w:t>
            </w:r>
          </w:p>
        </w:tc>
        <w:tc>
          <w:tcPr>
            <w:tcW w:w="987" w:type="dxa"/>
            <w:vAlign w:val="center"/>
          </w:tcPr>
          <w:p w14:paraId="447FC6C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5CAC6005" w14:textId="77777777" w:rsidTr="00824D76">
        <w:trPr>
          <w:trHeight w:val="300"/>
        </w:trPr>
        <w:tc>
          <w:tcPr>
            <w:tcW w:w="3539" w:type="dxa"/>
          </w:tcPr>
          <w:p w14:paraId="5162AF4B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Technician</w:t>
            </w:r>
          </w:p>
        </w:tc>
        <w:tc>
          <w:tcPr>
            <w:tcW w:w="1985" w:type="dxa"/>
            <w:vAlign w:val="center"/>
          </w:tcPr>
          <w:p w14:paraId="51EB9EF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31 (9.12)</w:t>
            </w:r>
          </w:p>
        </w:tc>
        <w:tc>
          <w:tcPr>
            <w:tcW w:w="1989" w:type="dxa"/>
            <w:vAlign w:val="center"/>
          </w:tcPr>
          <w:p w14:paraId="573F72C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15 (8.72)</w:t>
            </w:r>
          </w:p>
        </w:tc>
        <w:tc>
          <w:tcPr>
            <w:tcW w:w="987" w:type="dxa"/>
            <w:vAlign w:val="center"/>
          </w:tcPr>
          <w:p w14:paraId="38241E5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00B47230" w14:textId="77777777" w:rsidTr="00824D76">
        <w:trPr>
          <w:trHeight w:val="300"/>
        </w:trPr>
        <w:tc>
          <w:tcPr>
            <w:tcW w:w="3539" w:type="dxa"/>
          </w:tcPr>
          <w:p w14:paraId="5BEC820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Pharmacist</w:t>
            </w:r>
          </w:p>
        </w:tc>
        <w:tc>
          <w:tcPr>
            <w:tcW w:w="1985" w:type="dxa"/>
            <w:vAlign w:val="center"/>
          </w:tcPr>
          <w:p w14:paraId="1B45E53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66 (19.41)</w:t>
            </w:r>
          </w:p>
        </w:tc>
        <w:tc>
          <w:tcPr>
            <w:tcW w:w="1989" w:type="dxa"/>
            <w:vAlign w:val="center"/>
          </w:tcPr>
          <w:p w14:paraId="63776D8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31 (18.02)</w:t>
            </w:r>
          </w:p>
        </w:tc>
        <w:tc>
          <w:tcPr>
            <w:tcW w:w="987" w:type="dxa"/>
            <w:vAlign w:val="center"/>
          </w:tcPr>
          <w:p w14:paraId="77B1F29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2F0DB67A" w14:textId="77777777" w:rsidTr="00824D76">
        <w:trPr>
          <w:trHeight w:val="300"/>
        </w:trPr>
        <w:tc>
          <w:tcPr>
            <w:tcW w:w="3539" w:type="dxa"/>
          </w:tcPr>
          <w:p w14:paraId="258D3B22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sz w:val="24"/>
                <w:szCs w:val="24"/>
                <w14:ligatures w14:val="standardContextual"/>
              </w:rPr>
              <w:t>Years in Practice</w:t>
            </w:r>
          </w:p>
        </w:tc>
        <w:tc>
          <w:tcPr>
            <w:tcW w:w="1985" w:type="dxa"/>
            <w:vAlign w:val="center"/>
          </w:tcPr>
          <w:p w14:paraId="36225AD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5F031CF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157B1CD4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0.139</w:t>
            </w:r>
          </w:p>
        </w:tc>
      </w:tr>
      <w:tr w:rsidR="005321B7" w:rsidRPr="00CD39ED" w14:paraId="1D4C7F47" w14:textId="77777777" w:rsidTr="00824D76">
        <w:trPr>
          <w:trHeight w:val="300"/>
        </w:trPr>
        <w:tc>
          <w:tcPr>
            <w:tcW w:w="3539" w:type="dxa"/>
          </w:tcPr>
          <w:p w14:paraId="3C1E2868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Less than 1 year</w:t>
            </w:r>
          </w:p>
        </w:tc>
        <w:tc>
          <w:tcPr>
            <w:tcW w:w="1985" w:type="dxa"/>
            <w:vAlign w:val="center"/>
          </w:tcPr>
          <w:p w14:paraId="6C00FF8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59 (17.35)</w:t>
            </w:r>
          </w:p>
        </w:tc>
        <w:tc>
          <w:tcPr>
            <w:tcW w:w="1989" w:type="dxa"/>
            <w:vAlign w:val="center"/>
          </w:tcPr>
          <w:p w14:paraId="7D5912B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39 (22.67)</w:t>
            </w:r>
          </w:p>
        </w:tc>
        <w:tc>
          <w:tcPr>
            <w:tcW w:w="987" w:type="dxa"/>
            <w:vAlign w:val="center"/>
          </w:tcPr>
          <w:p w14:paraId="5D30341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61B910E5" w14:textId="77777777" w:rsidTr="00824D76">
        <w:trPr>
          <w:trHeight w:val="300"/>
        </w:trPr>
        <w:tc>
          <w:tcPr>
            <w:tcW w:w="3539" w:type="dxa"/>
          </w:tcPr>
          <w:p w14:paraId="1ABB7D7E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1-5 years</w:t>
            </w:r>
          </w:p>
        </w:tc>
        <w:tc>
          <w:tcPr>
            <w:tcW w:w="1985" w:type="dxa"/>
            <w:vAlign w:val="center"/>
          </w:tcPr>
          <w:p w14:paraId="25CA152E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136 (40.00)</w:t>
            </w:r>
          </w:p>
        </w:tc>
        <w:tc>
          <w:tcPr>
            <w:tcW w:w="1989" w:type="dxa"/>
            <w:vAlign w:val="center"/>
          </w:tcPr>
          <w:p w14:paraId="549B475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74 (43.02)</w:t>
            </w:r>
          </w:p>
        </w:tc>
        <w:tc>
          <w:tcPr>
            <w:tcW w:w="987" w:type="dxa"/>
            <w:vAlign w:val="center"/>
          </w:tcPr>
          <w:p w14:paraId="640CFFA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63E458CF" w14:textId="77777777" w:rsidTr="00824D76">
        <w:trPr>
          <w:trHeight w:val="300"/>
        </w:trPr>
        <w:tc>
          <w:tcPr>
            <w:tcW w:w="3539" w:type="dxa"/>
          </w:tcPr>
          <w:p w14:paraId="13CA0FDD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 xml:space="preserve">More than 6 years </w:t>
            </w:r>
          </w:p>
        </w:tc>
        <w:tc>
          <w:tcPr>
            <w:tcW w:w="1985" w:type="dxa"/>
            <w:vAlign w:val="center"/>
          </w:tcPr>
          <w:p w14:paraId="49CF4FA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145 (42.65)</w:t>
            </w:r>
          </w:p>
        </w:tc>
        <w:tc>
          <w:tcPr>
            <w:tcW w:w="1989" w:type="dxa"/>
            <w:vAlign w:val="center"/>
          </w:tcPr>
          <w:p w14:paraId="312E8BC3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59 (34.30)</w:t>
            </w:r>
          </w:p>
        </w:tc>
        <w:tc>
          <w:tcPr>
            <w:tcW w:w="987" w:type="dxa"/>
            <w:vAlign w:val="center"/>
          </w:tcPr>
          <w:p w14:paraId="61B47B2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0CD2B3C0" w14:textId="77777777" w:rsidTr="00824D76">
        <w:trPr>
          <w:trHeight w:val="300"/>
        </w:trPr>
        <w:tc>
          <w:tcPr>
            <w:tcW w:w="3539" w:type="dxa"/>
          </w:tcPr>
          <w:p w14:paraId="4A2FE36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b/>
                <w:bCs/>
                <w:kern w:val="0"/>
                <w:sz w:val="24"/>
                <w:szCs w:val="24"/>
                <w14:ligatures w14:val="standardContextual"/>
              </w:rPr>
              <w:t>Hospital Classification</w:t>
            </w:r>
          </w:p>
        </w:tc>
        <w:tc>
          <w:tcPr>
            <w:tcW w:w="1985" w:type="dxa"/>
            <w:vAlign w:val="center"/>
          </w:tcPr>
          <w:p w14:paraId="2A33B6F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9" w:type="dxa"/>
            <w:vAlign w:val="center"/>
          </w:tcPr>
          <w:p w14:paraId="1CFF05B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Align w:val="center"/>
          </w:tcPr>
          <w:p w14:paraId="7E89F040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0.091</w:t>
            </w:r>
          </w:p>
        </w:tc>
      </w:tr>
      <w:tr w:rsidR="005321B7" w:rsidRPr="00CD39ED" w14:paraId="2AC10F01" w14:textId="77777777" w:rsidTr="00824D76">
        <w:trPr>
          <w:trHeight w:val="300"/>
        </w:trPr>
        <w:tc>
          <w:tcPr>
            <w:tcW w:w="3539" w:type="dxa"/>
          </w:tcPr>
          <w:p w14:paraId="0A4680D4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kern w:val="0"/>
                <w:sz w:val="24"/>
                <w:szCs w:val="24"/>
                <w14:ligatures w14:val="standardContextual"/>
              </w:rPr>
              <w:t>Primary-level public hospital</w:t>
            </w:r>
          </w:p>
        </w:tc>
        <w:tc>
          <w:tcPr>
            <w:tcW w:w="1985" w:type="dxa"/>
            <w:vAlign w:val="center"/>
          </w:tcPr>
          <w:p w14:paraId="4DC901B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82 (24.12)</w:t>
            </w:r>
          </w:p>
        </w:tc>
        <w:tc>
          <w:tcPr>
            <w:tcW w:w="1989" w:type="dxa"/>
            <w:vAlign w:val="center"/>
          </w:tcPr>
          <w:p w14:paraId="33535B8A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38 (22.09)</w:t>
            </w:r>
          </w:p>
        </w:tc>
        <w:tc>
          <w:tcPr>
            <w:tcW w:w="987" w:type="dxa"/>
            <w:vAlign w:val="center"/>
          </w:tcPr>
          <w:p w14:paraId="1FEB8E5B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4589C4CD" w14:textId="77777777" w:rsidTr="00824D76">
        <w:trPr>
          <w:trHeight w:val="300"/>
        </w:trPr>
        <w:tc>
          <w:tcPr>
            <w:tcW w:w="3539" w:type="dxa"/>
          </w:tcPr>
          <w:p w14:paraId="4B6959F3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kern w:val="0"/>
                <w:sz w:val="24"/>
                <w:szCs w:val="24"/>
                <w14:ligatures w14:val="standardContextual"/>
              </w:rPr>
              <w:t>Secondary-level public hospital</w:t>
            </w:r>
          </w:p>
        </w:tc>
        <w:tc>
          <w:tcPr>
            <w:tcW w:w="1985" w:type="dxa"/>
            <w:vAlign w:val="center"/>
          </w:tcPr>
          <w:p w14:paraId="23ACAF2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100 (29.41)</w:t>
            </w:r>
          </w:p>
        </w:tc>
        <w:tc>
          <w:tcPr>
            <w:tcW w:w="1989" w:type="dxa"/>
            <w:vAlign w:val="center"/>
          </w:tcPr>
          <w:p w14:paraId="32C7FF8D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48 (27.91)</w:t>
            </w:r>
          </w:p>
        </w:tc>
        <w:tc>
          <w:tcPr>
            <w:tcW w:w="987" w:type="dxa"/>
            <w:vAlign w:val="center"/>
          </w:tcPr>
          <w:p w14:paraId="3DA38749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56E928B9" w14:textId="77777777" w:rsidTr="00824D76">
        <w:trPr>
          <w:trHeight w:val="300"/>
        </w:trPr>
        <w:tc>
          <w:tcPr>
            <w:tcW w:w="3539" w:type="dxa"/>
          </w:tcPr>
          <w:p w14:paraId="514FB8AD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Tertiary-level public hospital</w:t>
            </w:r>
          </w:p>
        </w:tc>
        <w:tc>
          <w:tcPr>
            <w:tcW w:w="1985" w:type="dxa"/>
            <w:vAlign w:val="center"/>
          </w:tcPr>
          <w:p w14:paraId="7A6C944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64 (18.82)</w:t>
            </w:r>
          </w:p>
        </w:tc>
        <w:tc>
          <w:tcPr>
            <w:tcW w:w="1989" w:type="dxa"/>
            <w:vAlign w:val="center"/>
          </w:tcPr>
          <w:p w14:paraId="3281099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50 (29.07)</w:t>
            </w:r>
          </w:p>
        </w:tc>
        <w:tc>
          <w:tcPr>
            <w:tcW w:w="987" w:type="dxa"/>
            <w:vAlign w:val="center"/>
          </w:tcPr>
          <w:p w14:paraId="1B599656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4E130B5E" w14:textId="77777777" w:rsidTr="00824D76">
        <w:trPr>
          <w:trHeight w:val="300"/>
        </w:trPr>
        <w:tc>
          <w:tcPr>
            <w:tcW w:w="3539" w:type="dxa"/>
          </w:tcPr>
          <w:p w14:paraId="49CC25FC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Specialized hospital</w:t>
            </w:r>
          </w:p>
        </w:tc>
        <w:tc>
          <w:tcPr>
            <w:tcW w:w="1985" w:type="dxa"/>
            <w:vAlign w:val="center"/>
          </w:tcPr>
          <w:p w14:paraId="37DA1A27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34 (10.00)</w:t>
            </w:r>
          </w:p>
        </w:tc>
        <w:tc>
          <w:tcPr>
            <w:tcW w:w="1989" w:type="dxa"/>
            <w:vAlign w:val="center"/>
          </w:tcPr>
          <w:p w14:paraId="452A0955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15 (8.72)</w:t>
            </w:r>
          </w:p>
        </w:tc>
        <w:tc>
          <w:tcPr>
            <w:tcW w:w="987" w:type="dxa"/>
            <w:vAlign w:val="center"/>
          </w:tcPr>
          <w:p w14:paraId="78B4E06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  <w:tr w:rsidR="005321B7" w:rsidRPr="00CD39ED" w14:paraId="7F561E50" w14:textId="77777777" w:rsidTr="00824D76">
        <w:trPr>
          <w:trHeight w:val="300"/>
        </w:trPr>
        <w:tc>
          <w:tcPr>
            <w:tcW w:w="3539" w:type="dxa"/>
          </w:tcPr>
          <w:p w14:paraId="4BA7F787" w14:textId="77777777" w:rsidR="005321B7" w:rsidRPr="00CD39ED" w:rsidRDefault="005321B7" w:rsidP="00824D76">
            <w:pPr>
              <w:widowControl w:val="0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Microsoft YaHei UI" w:cs="Times New Roman"/>
                <w:sz w:val="24"/>
                <w:szCs w:val="24"/>
                <w14:ligatures w14:val="standardContextual"/>
              </w:rPr>
              <w:t>Private medical institution</w:t>
            </w:r>
          </w:p>
        </w:tc>
        <w:tc>
          <w:tcPr>
            <w:tcW w:w="1985" w:type="dxa"/>
            <w:vAlign w:val="center"/>
          </w:tcPr>
          <w:p w14:paraId="05CFE2D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60 (17.65)</w:t>
            </w:r>
          </w:p>
        </w:tc>
        <w:tc>
          <w:tcPr>
            <w:tcW w:w="1989" w:type="dxa"/>
            <w:vAlign w:val="center"/>
          </w:tcPr>
          <w:p w14:paraId="133E220F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  <w:r w:rsidRPr="00CD39ED">
              <w:rPr>
                <w:rFonts w:eastAsia="等线" w:cs="Times New Roman"/>
                <w:sz w:val="24"/>
                <w:szCs w:val="24"/>
                <w14:ligatures w14:val="standardContextual"/>
              </w:rPr>
              <w:t>21 (12.21)</w:t>
            </w:r>
          </w:p>
        </w:tc>
        <w:tc>
          <w:tcPr>
            <w:tcW w:w="987" w:type="dxa"/>
            <w:vAlign w:val="center"/>
          </w:tcPr>
          <w:p w14:paraId="51AD45A8" w14:textId="77777777" w:rsidR="005321B7" w:rsidRPr="00CD39ED" w:rsidRDefault="005321B7" w:rsidP="00824D76">
            <w:pPr>
              <w:widowControl w:val="0"/>
              <w:jc w:val="center"/>
              <w:rPr>
                <w:rFonts w:eastAsia="等线" w:cs="Times New Roman"/>
                <w:sz w:val="24"/>
                <w:szCs w:val="24"/>
                <w14:ligatures w14:val="standardContextual"/>
              </w:rPr>
            </w:pPr>
          </w:p>
        </w:tc>
      </w:tr>
    </w:tbl>
    <w:p w14:paraId="25D5CC90" w14:textId="77777777" w:rsidR="005321B7" w:rsidRPr="00CD39ED" w:rsidRDefault="005321B7" w:rsidP="005321B7">
      <w:pPr>
        <w:widowControl w:val="0"/>
        <w:rPr>
          <w:rFonts w:eastAsia="等线" w:cs="Times New Roman"/>
          <w:sz w:val="24"/>
          <w:szCs w:val="28"/>
          <w14:ligatures w14:val="standardContextual"/>
        </w:rPr>
        <w:sectPr w:rsidR="005321B7" w:rsidRPr="00CD39ED" w:rsidSect="005321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D39ED">
        <w:rPr>
          <w:rFonts w:eastAsia="等线" w:cs="Times New Roman"/>
          <w:sz w:val="24"/>
          <w:szCs w:val="28"/>
          <w14:ligatures w14:val="standardContextual"/>
        </w:rPr>
        <w:t xml:space="preserve">*: The Independent-Samples Mann-Whitney U Test was used for comparisons of continuous variables, and the Pearson Chi-Square Test was used for comparisons of </w:t>
      </w:r>
      <w:r w:rsidRPr="00CD39ED">
        <w:rPr>
          <w:rFonts w:eastAsia="等线" w:cs="Times New Roman"/>
          <w:sz w:val="24"/>
          <w:szCs w:val="28"/>
          <w14:ligatures w14:val="standardContextual"/>
        </w:rPr>
        <w:lastRenderedPageBreak/>
        <w:t>categorical variables</w:t>
      </w:r>
    </w:p>
    <w:p w14:paraId="769272EC" w14:textId="3250ABE6" w:rsidR="007215C7" w:rsidRPr="007215C7" w:rsidRDefault="007215C7" w:rsidP="007215C7">
      <w:pPr>
        <w:pStyle w:val="1"/>
        <w:keepLines w:val="0"/>
        <w:overflowPunct w:val="0"/>
        <w:autoSpaceDE w:val="0"/>
        <w:autoSpaceDN w:val="0"/>
        <w:spacing w:before="0" w:after="0"/>
        <w:contextualSpacing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  <w:lang w:val="en"/>
        </w:rPr>
      </w:pPr>
      <w:r w:rsidRPr="007215C7"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  <w:lastRenderedPageBreak/>
        <w:t xml:space="preserve">Supplementary Table </w:t>
      </w:r>
      <w:r w:rsidR="005321B7">
        <w:rPr>
          <w:rFonts w:ascii="Times New Roman" w:eastAsia="Microsoft YaHei UI" w:hAnsi="Times New Roman" w:cs="Times New Roman" w:hint="eastAsia"/>
          <w:b/>
          <w:bCs/>
          <w:color w:val="auto"/>
          <w:sz w:val="24"/>
          <w:szCs w:val="24"/>
        </w:rPr>
        <w:t>4</w:t>
      </w:r>
      <w:r w:rsidRPr="007215C7"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  <w:t xml:space="preserve">. Distribution </w:t>
      </w:r>
      <w:proofErr w:type="gramStart"/>
      <w:r w:rsidRPr="007215C7"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  <w:t>Across</w:t>
      </w:r>
      <w:proofErr w:type="gramEnd"/>
      <w:r w:rsidRPr="007215C7">
        <w:rPr>
          <w:rFonts w:ascii="Times New Roman" w:eastAsia="Microsoft YaHei UI" w:hAnsi="Times New Roman" w:cs="Times New Roman"/>
          <w:b/>
          <w:bCs/>
          <w:color w:val="auto"/>
          <w:sz w:val="24"/>
          <w:szCs w:val="24"/>
        </w:rPr>
        <w:t xml:space="preserve"> Domains</w:t>
      </w:r>
    </w:p>
    <w:tbl>
      <w:tblPr>
        <w:tblW w:w="5000" w:type="pct"/>
        <w:jc w:val="center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493"/>
        <w:gridCol w:w="1270"/>
        <w:gridCol w:w="635"/>
        <w:gridCol w:w="554"/>
        <w:gridCol w:w="216"/>
        <w:gridCol w:w="794"/>
        <w:gridCol w:w="738"/>
        <w:gridCol w:w="482"/>
        <w:gridCol w:w="740"/>
        <w:gridCol w:w="418"/>
        <w:gridCol w:w="483"/>
        <w:gridCol w:w="343"/>
        <w:gridCol w:w="988"/>
        <w:gridCol w:w="42"/>
        <w:gridCol w:w="365"/>
        <w:gridCol w:w="397"/>
      </w:tblGrid>
      <w:tr w:rsidR="007215C7" w:rsidRPr="007215C7" w14:paraId="1BD5B8EF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14:paraId="6B4FAC10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  <w:lang w:val="en"/>
              </w:rPr>
              <w:t>Knowledge</w:t>
            </w:r>
          </w:p>
        </w:tc>
        <w:tc>
          <w:tcPr>
            <w:tcW w:w="2079" w:type="pct"/>
            <w:gridSpan w:val="10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88C40B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N (%)</w:t>
            </w:r>
          </w:p>
        </w:tc>
      </w:tr>
      <w:tr w:rsidR="007215C7" w:rsidRPr="007215C7" w14:paraId="4D28C9A6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vMerge/>
            <w:tcBorders>
              <w:bottom w:val="single" w:sz="4" w:space="0" w:color="auto"/>
              <w:right w:val="nil"/>
            </w:tcBorders>
            <w:noWrap/>
          </w:tcPr>
          <w:p w14:paraId="7124619E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C1DE77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Very familiar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03CA4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Heard of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34F60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Unfamiliar</w:t>
            </w:r>
          </w:p>
        </w:tc>
      </w:tr>
      <w:tr w:rsidR="007215C7" w:rsidRPr="007215C7" w14:paraId="16C18107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30CCD2DA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 xml:space="preserve">PCSK9, or </w:t>
            </w:r>
            <w:proofErr w:type="spellStart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proprotein</w:t>
            </w:r>
            <w:proofErr w:type="spellEnd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 xml:space="preserve"> convertase </w:t>
            </w:r>
            <w:proofErr w:type="spellStart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subtilisin</w:t>
            </w:r>
            <w:proofErr w:type="spellEnd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/</w:t>
            </w:r>
            <w:proofErr w:type="spellStart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kexin</w:t>
            </w:r>
            <w:proofErr w:type="spellEnd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 xml:space="preserve"> type 9, also known as neural apoptosis-regulated convertase-1, is a secreted soluble serine protease composed of 692 amino acids with a molecular weight of 72 </w:t>
            </w:r>
            <w:proofErr w:type="spellStart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kDa</w:t>
            </w:r>
            <w:proofErr w:type="spellEnd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</w:tcBorders>
            <w:noWrap/>
          </w:tcPr>
          <w:p w14:paraId="3CC1BE1A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193 (37.7)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</w:tcBorders>
          </w:tcPr>
          <w:p w14:paraId="6FA6BB2B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247 (48.24)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</w:tcBorders>
          </w:tcPr>
          <w:p w14:paraId="6A6744A6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72 (14.06)</w:t>
            </w:r>
          </w:p>
        </w:tc>
      </w:tr>
      <w:tr w:rsidR="007215C7" w:rsidRPr="007215C7" w14:paraId="0221F5B0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187FB287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 xml:space="preserve">Current PCSK9 inhibitors primarily include monoclonal antibodies (e.g., </w:t>
            </w:r>
            <w:proofErr w:type="spellStart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evolocumab</w:t>
            </w:r>
            <w:proofErr w:type="spellEnd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alirocumab</w:t>
            </w:r>
            <w:proofErr w:type="spellEnd"/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) and RNA interference-based agents (e.g., inclisiran).</w:t>
            </w:r>
          </w:p>
        </w:tc>
        <w:tc>
          <w:tcPr>
            <w:tcW w:w="591" w:type="pct"/>
            <w:gridSpan w:val="3"/>
            <w:noWrap/>
          </w:tcPr>
          <w:p w14:paraId="75F0955E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201 (39.26)</w:t>
            </w:r>
          </w:p>
        </w:tc>
        <w:tc>
          <w:tcPr>
            <w:tcW w:w="845" w:type="pct"/>
            <w:gridSpan w:val="4"/>
          </w:tcPr>
          <w:p w14:paraId="299F3D6C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242 (47.27)</w:t>
            </w:r>
          </w:p>
        </w:tc>
        <w:tc>
          <w:tcPr>
            <w:tcW w:w="643" w:type="pct"/>
            <w:gridSpan w:val="3"/>
          </w:tcPr>
          <w:p w14:paraId="5D041EE4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69 (13.48)</w:t>
            </w:r>
          </w:p>
        </w:tc>
      </w:tr>
      <w:tr w:rsidR="007215C7" w:rsidRPr="007215C7" w14:paraId="69C19AE2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6BDB00C8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When LDL-C levels remain above target after statin therapy, combination treatment with a PCSK9 inhibitor (or a cholesterol absorption inhibitor) should be considered.</w:t>
            </w:r>
          </w:p>
        </w:tc>
        <w:tc>
          <w:tcPr>
            <w:tcW w:w="591" w:type="pct"/>
            <w:gridSpan w:val="3"/>
            <w:noWrap/>
          </w:tcPr>
          <w:p w14:paraId="4BB9DA11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228 (44.53)</w:t>
            </w:r>
          </w:p>
        </w:tc>
        <w:tc>
          <w:tcPr>
            <w:tcW w:w="845" w:type="pct"/>
            <w:gridSpan w:val="4"/>
          </w:tcPr>
          <w:p w14:paraId="33EF8DD3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211 (41.21)</w:t>
            </w:r>
          </w:p>
        </w:tc>
        <w:tc>
          <w:tcPr>
            <w:tcW w:w="643" w:type="pct"/>
            <w:gridSpan w:val="3"/>
          </w:tcPr>
          <w:p w14:paraId="0820B4B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73 (14.26)</w:t>
            </w:r>
          </w:p>
        </w:tc>
      </w:tr>
      <w:tr w:rsidR="007215C7" w:rsidRPr="007215C7" w14:paraId="522D0431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435FB81A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PCSK9 inhibitors are mainly indicated for three groups: patients at very high cardiovascular risk, patients with familial hypercholesterolemia (FH) without established atherosclerotic cardiovascular disease (ASCVD), and patients from either category who are intolerant to statins.</w:t>
            </w:r>
          </w:p>
        </w:tc>
        <w:tc>
          <w:tcPr>
            <w:tcW w:w="591" w:type="pct"/>
            <w:gridSpan w:val="3"/>
            <w:noWrap/>
          </w:tcPr>
          <w:p w14:paraId="4A269BC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223 (43.55)</w:t>
            </w:r>
          </w:p>
        </w:tc>
        <w:tc>
          <w:tcPr>
            <w:tcW w:w="845" w:type="pct"/>
            <w:gridSpan w:val="4"/>
          </w:tcPr>
          <w:p w14:paraId="4633156F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213 (41.6)</w:t>
            </w:r>
          </w:p>
        </w:tc>
        <w:tc>
          <w:tcPr>
            <w:tcW w:w="643" w:type="pct"/>
            <w:gridSpan w:val="3"/>
          </w:tcPr>
          <w:p w14:paraId="30CA0BA2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76 (14.84)</w:t>
            </w:r>
          </w:p>
        </w:tc>
      </w:tr>
      <w:tr w:rsidR="007215C7" w:rsidRPr="007215C7" w14:paraId="451C5D34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2406AA70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Mechanism of action: PCSK9 is a liver-derived, secreted serine protease that binds to LDL receptors (LDLR) and promotes their degradation, thereby reducing the clearance of LDL-C from the circulation. Inhibition of PCSK9 prevents LDLR degradation and enhances LDL-C clearance. The mechanism of action of PCSK9 monoclonal antibodies involves direct targeting of the PCSK9 protein.</w:t>
            </w:r>
          </w:p>
        </w:tc>
        <w:tc>
          <w:tcPr>
            <w:tcW w:w="591" w:type="pct"/>
            <w:gridSpan w:val="3"/>
            <w:noWrap/>
          </w:tcPr>
          <w:p w14:paraId="2EC54DF9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206 (40.23)</w:t>
            </w:r>
          </w:p>
        </w:tc>
        <w:tc>
          <w:tcPr>
            <w:tcW w:w="845" w:type="pct"/>
            <w:gridSpan w:val="4"/>
          </w:tcPr>
          <w:p w14:paraId="624D27A4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239 (46.68)</w:t>
            </w:r>
          </w:p>
        </w:tc>
        <w:tc>
          <w:tcPr>
            <w:tcW w:w="643" w:type="pct"/>
            <w:gridSpan w:val="3"/>
          </w:tcPr>
          <w:p w14:paraId="44F6A4C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67 (13.09)</w:t>
            </w:r>
          </w:p>
        </w:tc>
      </w:tr>
      <w:tr w:rsidR="007215C7" w:rsidRPr="007215C7" w14:paraId="79FC1E11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6C3077D8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The capital of China is Shanghai.</w:t>
            </w:r>
          </w:p>
        </w:tc>
        <w:tc>
          <w:tcPr>
            <w:tcW w:w="591" w:type="pct"/>
            <w:gridSpan w:val="3"/>
            <w:noWrap/>
          </w:tcPr>
          <w:p w14:paraId="1A727F26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4"/>
          </w:tcPr>
          <w:p w14:paraId="35849B03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gridSpan w:val="3"/>
          </w:tcPr>
          <w:p w14:paraId="3B3BA37F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</w:p>
        </w:tc>
      </w:tr>
      <w:tr w:rsidR="007215C7" w:rsidRPr="007215C7" w14:paraId="23C5127F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581A77B2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kern w:val="0"/>
                <w:sz w:val="24"/>
                <w:szCs w:val="24"/>
              </w:rPr>
              <w:t xml:space="preserve">PCSK9 inhibitors, when added to statin therapy, further reduce the incidence of major adverse cardiovascular events, reinforcing the concept </w:t>
            </w:r>
            <w:r w:rsidRPr="007215C7">
              <w:rPr>
                <w:rFonts w:eastAsia="Microsoft YaHei UI" w:cs="Times New Roman"/>
                <w:bCs/>
                <w:kern w:val="0"/>
                <w:sz w:val="24"/>
                <w:szCs w:val="24"/>
              </w:rPr>
              <w:lastRenderedPageBreak/>
              <w:t>that more intensive LDL-C lowering confers additional cardiovascular protection.</w:t>
            </w:r>
          </w:p>
        </w:tc>
        <w:tc>
          <w:tcPr>
            <w:tcW w:w="591" w:type="pct"/>
            <w:gridSpan w:val="3"/>
            <w:noWrap/>
          </w:tcPr>
          <w:p w14:paraId="0A6EDBE2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lastRenderedPageBreak/>
              <w:t>192 (37.5)</w:t>
            </w:r>
          </w:p>
        </w:tc>
        <w:tc>
          <w:tcPr>
            <w:tcW w:w="845" w:type="pct"/>
            <w:gridSpan w:val="4"/>
          </w:tcPr>
          <w:p w14:paraId="59F61603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218 (42.58)</w:t>
            </w:r>
          </w:p>
        </w:tc>
        <w:tc>
          <w:tcPr>
            <w:tcW w:w="643" w:type="pct"/>
            <w:gridSpan w:val="3"/>
          </w:tcPr>
          <w:p w14:paraId="50B751AC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102 (19.92)</w:t>
            </w:r>
          </w:p>
        </w:tc>
      </w:tr>
      <w:tr w:rsidR="007215C7" w:rsidRPr="007215C7" w14:paraId="558C4763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5A6351E6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PCSK9 inhibitors are covered under the national health insurance reimbursement system.</w:t>
            </w:r>
          </w:p>
        </w:tc>
        <w:tc>
          <w:tcPr>
            <w:tcW w:w="591" w:type="pct"/>
            <w:gridSpan w:val="3"/>
            <w:noWrap/>
          </w:tcPr>
          <w:p w14:paraId="2F49D480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205 (40.04)</w:t>
            </w:r>
          </w:p>
        </w:tc>
        <w:tc>
          <w:tcPr>
            <w:tcW w:w="845" w:type="pct"/>
            <w:gridSpan w:val="4"/>
          </w:tcPr>
          <w:p w14:paraId="3E69F436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240 (46.88)</w:t>
            </w:r>
          </w:p>
        </w:tc>
        <w:tc>
          <w:tcPr>
            <w:tcW w:w="643" w:type="pct"/>
            <w:gridSpan w:val="3"/>
          </w:tcPr>
          <w:p w14:paraId="01CAA0ED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67 (13.09)</w:t>
            </w:r>
          </w:p>
        </w:tc>
      </w:tr>
      <w:tr w:rsidR="007215C7" w:rsidRPr="007215C7" w14:paraId="597682D7" w14:textId="77777777" w:rsidTr="009F7CB8">
        <w:trPr>
          <w:gridAfter w:val="3"/>
          <w:wAfter w:w="289" w:type="pct"/>
          <w:trHeight w:val="20"/>
          <w:jc w:val="center"/>
        </w:trPr>
        <w:tc>
          <w:tcPr>
            <w:tcW w:w="2631" w:type="pct"/>
            <w:gridSpan w:val="3"/>
            <w:noWrap/>
          </w:tcPr>
          <w:p w14:paraId="019B9004" w14:textId="77777777" w:rsidR="007215C7" w:rsidRPr="007215C7" w:rsidRDefault="007215C7" w:rsidP="0045790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eastAsia="Microsoft YaHei UI" w:cs="Times New Roman"/>
                <w:bCs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PCSK9 inhibitors may have additional effects, including anti-inflammatory activity, antiplatelet effects, and stabilization of atherosclerotic plaques.</w:t>
            </w:r>
          </w:p>
        </w:tc>
        <w:tc>
          <w:tcPr>
            <w:tcW w:w="591" w:type="pct"/>
            <w:gridSpan w:val="3"/>
            <w:noWrap/>
          </w:tcPr>
          <w:p w14:paraId="47F094E9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197 (38.48)</w:t>
            </w:r>
          </w:p>
        </w:tc>
        <w:tc>
          <w:tcPr>
            <w:tcW w:w="845" w:type="pct"/>
            <w:gridSpan w:val="4"/>
          </w:tcPr>
          <w:p w14:paraId="738D95F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244 (47.66)</w:t>
            </w:r>
          </w:p>
        </w:tc>
        <w:tc>
          <w:tcPr>
            <w:tcW w:w="643" w:type="pct"/>
            <w:gridSpan w:val="3"/>
          </w:tcPr>
          <w:p w14:paraId="19BF42E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71 (13.87)</w:t>
            </w:r>
          </w:p>
        </w:tc>
      </w:tr>
      <w:tr w:rsidR="007215C7" w:rsidRPr="007215C7" w14:paraId="693A729E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14:paraId="328653AA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sz w:val="24"/>
                <w:szCs w:val="24"/>
              </w:rPr>
              <w:t>Attitude</w:t>
            </w:r>
          </w:p>
        </w:tc>
        <w:tc>
          <w:tcPr>
            <w:tcW w:w="206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446743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N (%)</w:t>
            </w:r>
          </w:p>
        </w:tc>
      </w:tr>
      <w:tr w:rsidR="007215C7" w:rsidRPr="007215C7" w14:paraId="01E8F6F4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024C0C37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A7D5446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Strongly agree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516E76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Agree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B879CB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Neutral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2521B5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Disagree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8B091A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Strongly Disagree</w:t>
            </w:r>
          </w:p>
        </w:tc>
      </w:tr>
      <w:tr w:rsidR="007215C7" w:rsidRPr="007215C7" w14:paraId="01DC185E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61568D36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 xml:space="preserve">I believe the safety profile of PCSK9 inhibitors is trustworthy.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0742EA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221 (43.16)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2EABF1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146 (28.52)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D86E5E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80 (15.63)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B2EFFA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36 (7.03)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5135621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29 (5.66)</w:t>
            </w:r>
          </w:p>
        </w:tc>
      </w:tr>
      <w:tr w:rsidR="007215C7" w:rsidRPr="007215C7" w14:paraId="1C7E50B0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739F82AC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believe PCSK9 inhibitors are effective in treating hypercholesterolemia and preventing cardiovascular events.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64E6F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206 (40.23)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FE550C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161 (31.45)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E117EB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86 (16.8)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37AFD0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28 (5.47)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609D4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31 (6.05)</w:t>
            </w:r>
          </w:p>
        </w:tc>
      </w:tr>
      <w:tr w:rsidR="007215C7" w:rsidRPr="007215C7" w14:paraId="62CC9DCD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34EA23A4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believe PCSK9 inhibitors will become a primary therapeutic option for hypercholesterolemia in the future.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660AC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207 (40.43)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B8DAC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166 (32.42)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CADAD4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82 (16.02)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DD6458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27 (5.27)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5F5F02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30 (5.86)</w:t>
            </w:r>
          </w:p>
        </w:tc>
      </w:tr>
      <w:tr w:rsidR="007215C7" w:rsidRPr="007215C7" w14:paraId="15F0C860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5ECEA5A6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believe the current use of PCSK9 inhibitors is subject to controversy and should be approached with caution.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B5CBE3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209 (40.82)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5BA39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151 (29.49)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3A00025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88 (17.19)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3263EE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32 (6.25)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308F28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32 (6.25)</w:t>
            </w:r>
          </w:p>
        </w:tc>
      </w:tr>
      <w:tr w:rsidR="007215C7" w:rsidRPr="007215C7" w14:paraId="0FC6922B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5143D25B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lastRenderedPageBreak/>
              <w:t>I believe existing clinical guidelines on the use of PCSK9 inhibitors require further clarification.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E9D1D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186 (36.33)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23E458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192 (37.5)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5FBE97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78 (15.23)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398BC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27 (5.27)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B3EE38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29 (5.66)</w:t>
            </w:r>
          </w:p>
        </w:tc>
      </w:tr>
      <w:tr w:rsidR="007215C7" w:rsidRPr="007215C7" w14:paraId="778ACB2B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4FE23B76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support broader implementation of PCSK9 inhibitors in current clinical practice.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0FEE6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223 (43.55)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3A3C7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158 (30.86)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82E608C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87 (16.99)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3AA0FE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 (3.71)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3F0AB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25 (4.88)</w:t>
            </w:r>
          </w:p>
        </w:tc>
      </w:tr>
      <w:tr w:rsidR="007215C7" w:rsidRPr="007215C7" w14:paraId="00C48A44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22A135EC" w14:textId="77777777" w:rsidR="007215C7" w:rsidRPr="007215C7" w:rsidRDefault="007215C7" w:rsidP="00457903">
            <w:pPr>
              <w:pStyle w:val="a6"/>
              <w:ind w:left="0"/>
              <w:rPr>
                <w:rFonts w:eastAsia="Microsoft YaHei UI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9E579B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High cost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E93A9FA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Inconvenience of scheduled injections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1ECBF66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Elevated risk of adverse effects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779541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Lack of long-term supporting data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A5B95A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</w:p>
        </w:tc>
      </w:tr>
      <w:tr w:rsidR="007215C7" w:rsidRPr="007215C7" w14:paraId="633E0C4F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noWrap/>
          </w:tcPr>
          <w:p w14:paraId="0EF8FAA5" w14:textId="77777777" w:rsidR="007215C7" w:rsidRPr="007215C7" w:rsidRDefault="007215C7" w:rsidP="0045790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In your opinion, what are the main challenges associated with the clinical use of PCSK9 inhibitors? (Select all that apply)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0B4384E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312 (60.94)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E0B555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259 (50.59)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399476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242 (47.27)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55D725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199 (38.87)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2B894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</w:p>
        </w:tc>
      </w:tr>
      <w:tr w:rsidR="007215C7" w:rsidRPr="007215C7" w14:paraId="6436E971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tcBorders>
              <w:bottom w:val="nil"/>
            </w:tcBorders>
            <w:noWrap/>
          </w:tcPr>
          <w:p w14:paraId="5E6B104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5C955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Clinical guidelines and consensus recommendations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D9F5C3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Patient’s cholesterol level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2B5F46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Patient’s cardiovascular risk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6F21C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Scope of medical insurance coverage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70FA1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Patient’s financial status</w:t>
            </w:r>
          </w:p>
        </w:tc>
      </w:tr>
      <w:tr w:rsidR="007215C7" w:rsidRPr="007215C7" w14:paraId="44B14B62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35" w:type="pct"/>
            <w:gridSpan w:val="5"/>
            <w:tcBorders>
              <w:bottom w:val="single" w:sz="4" w:space="0" w:color="auto"/>
            </w:tcBorders>
            <w:noWrap/>
          </w:tcPr>
          <w:p w14:paraId="29A690E2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8.</w:t>
            </w:r>
            <w:r w:rsidRPr="007215C7">
              <w:rPr>
                <w:rFonts w:eastAsia="Microsoft YaHei UI" w:cs="Times New Roman"/>
                <w:sz w:val="24"/>
                <w:szCs w:val="24"/>
              </w:rPr>
              <w:tab/>
              <w:t>In your opinion, which factors should influence the clinical application of PCSK9 inhibitors? (Select all that apply)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10F91A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308 (60.16)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3153D5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187 (36.52)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69CFBE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248 (48.44)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53A32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149 (29.1)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A72E8A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158 (30.86)</w:t>
            </w:r>
          </w:p>
        </w:tc>
      </w:tr>
      <w:tr w:rsidR="007215C7" w:rsidRPr="007215C7" w14:paraId="34A50DC2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14:paraId="60A5D3FA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Practice</w:t>
            </w:r>
          </w:p>
        </w:tc>
        <w:tc>
          <w:tcPr>
            <w:tcW w:w="2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4C214CE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kern w:val="0"/>
                <w:sz w:val="24"/>
                <w:szCs w:val="24"/>
              </w:rPr>
              <w:t>N (%)</w:t>
            </w:r>
          </w:p>
        </w:tc>
      </w:tr>
      <w:tr w:rsidR="007215C7" w:rsidRPr="007215C7" w14:paraId="7AE84D10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3B0DAD09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B3F8C8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sz w:val="24"/>
                <w:szCs w:val="24"/>
              </w:rPr>
              <w:t>Always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5BC137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sz w:val="24"/>
                <w:szCs w:val="24"/>
              </w:rPr>
              <w:t>Often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100312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sz w:val="24"/>
                <w:szCs w:val="24"/>
              </w:rPr>
              <w:t>Sometimes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95283D5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sz w:val="24"/>
                <w:szCs w:val="24"/>
              </w:rPr>
              <w:t>Rarely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98685C" w14:textId="77777777" w:rsidR="007215C7" w:rsidRPr="007215C7" w:rsidRDefault="007215C7" w:rsidP="00457903">
            <w:pPr>
              <w:contextualSpacing/>
              <w:rPr>
                <w:rFonts w:eastAsia="Microsoft YaHei UI" w:cs="Times New Roman"/>
                <w:b/>
                <w:kern w:val="0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sz w:val="24"/>
                <w:szCs w:val="24"/>
              </w:rPr>
              <w:t>Never</w:t>
            </w:r>
          </w:p>
        </w:tc>
      </w:tr>
      <w:tr w:rsidR="007215C7" w:rsidRPr="007215C7" w14:paraId="2353B1CD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noWrap/>
          </w:tcPr>
          <w:p w14:paraId="3CE14F21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lastRenderedPageBreak/>
              <w:t>I conduct a thorough assessment before initiating PCSK9 inhibitor therapy in patients.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AA5899E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205 (40.04)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B9D4A11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174 (33.98)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C2F3595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81 (15.82)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A2772F0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27 (5.27)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6714AE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25 (4.88)</w:t>
            </w:r>
          </w:p>
        </w:tc>
      </w:tr>
      <w:tr w:rsidR="007215C7" w:rsidRPr="007215C7" w14:paraId="2EDD1567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noWrap/>
          </w:tcPr>
          <w:p w14:paraId="5CD8C130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  <w:lang w:bidi="ar-JO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engage in multidisciplinary discussions and consultations before initiating PCSK9 inhibitor therapy.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7845BA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213 (41.6)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17AAA3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152 (29.69)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5FA26A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83 (16.21)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8A9B3A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34 (6.64)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15ED9F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30 (5.86)</w:t>
            </w:r>
          </w:p>
        </w:tc>
      </w:tr>
      <w:tr w:rsidR="007215C7" w:rsidRPr="007215C7" w14:paraId="228B60C8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noWrap/>
          </w:tcPr>
          <w:p w14:paraId="728AD221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  <w:lang w:bidi="ar-JO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perform regular evaluations of treatment efficacy and safety in patients receiving PCSK9 inhibitors.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AC2CC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195 (38.09)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3F401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158 (30.86)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F8A6BC0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104 (20.31)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C5483D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27 (5.27)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11526F7A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28 (5.47)</w:t>
            </w:r>
          </w:p>
        </w:tc>
      </w:tr>
      <w:tr w:rsidR="007215C7" w:rsidRPr="007215C7" w14:paraId="0BA9FF73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noWrap/>
          </w:tcPr>
          <w:p w14:paraId="580C9ABE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  <w:lang w:bidi="ar-JO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routinely monitor cholesterol levels in patients treated with PCSK9 inhibitors.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994CC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217 (42.38)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24563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137 (26.76)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70D9FC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104 (20.31)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0B8717C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22 (4.3)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1EE67F2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32 (6.25)</w:t>
            </w:r>
          </w:p>
        </w:tc>
      </w:tr>
      <w:tr w:rsidR="007215C7" w:rsidRPr="007215C7" w14:paraId="70F58912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tcBorders>
              <w:bottom w:val="nil"/>
            </w:tcBorders>
            <w:noWrap/>
          </w:tcPr>
          <w:p w14:paraId="13B99C4C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monitor the incidence of cardiovascular events in patients receiving PCSK9 inhibitors.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ADC7F4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199 (38.87)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DCCC41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162 (31.64)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494DA0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95 (18.55)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D7D985C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27 (5.27)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64ADC63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29 (5.66)</w:t>
            </w:r>
          </w:p>
        </w:tc>
      </w:tr>
      <w:tr w:rsidR="007215C7" w:rsidRPr="007215C7" w14:paraId="077448F0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tcBorders>
              <w:bottom w:val="nil"/>
            </w:tcBorders>
            <w:noWrap/>
          </w:tcPr>
          <w:p w14:paraId="16985FD8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closely observe potential adverse effects associated with PCSK9 inhibitors and respond proactively.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A18EF3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240 (46.88)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F5E3E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139 (27.15)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623611C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78 (15.23)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F54E3D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30 (5.86)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6B5CC8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25 (4.88)</w:t>
            </w:r>
          </w:p>
        </w:tc>
      </w:tr>
      <w:tr w:rsidR="007215C7" w:rsidRPr="007215C7" w14:paraId="1335D958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tcBorders>
              <w:bottom w:val="nil"/>
            </w:tcBorders>
            <w:noWrap/>
          </w:tcPr>
          <w:p w14:paraId="131ED643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schedule regular follow-up visits for patients receiving PCSK9 inhibitor therapy.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10E8F39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216 (42.19)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99511A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144 (28.13)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2C932A8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100 (19.53)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BA91332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30 (5.86)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0525FE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22 (4.3)</w:t>
            </w:r>
          </w:p>
        </w:tc>
      </w:tr>
      <w:tr w:rsidR="007215C7" w:rsidRPr="007215C7" w14:paraId="4370599E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tcBorders>
              <w:top w:val="nil"/>
              <w:bottom w:val="nil"/>
            </w:tcBorders>
            <w:noWrap/>
          </w:tcPr>
          <w:p w14:paraId="13DFAFD5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I stay up to date with clinical guidelines and literature related to PCSK9 inhibitors.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692DF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206 (40.23)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14F6F4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167 (32.62)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6452DE82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76 (14.84)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A2F0255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37 (7.23)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879604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26 (5.08)</w:t>
            </w:r>
          </w:p>
        </w:tc>
      </w:tr>
      <w:tr w:rsidR="007215C7" w:rsidRPr="007215C7" w14:paraId="11E47E18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tcBorders>
              <w:bottom w:val="nil"/>
            </w:tcBorders>
            <w:noWrap/>
          </w:tcPr>
          <w:p w14:paraId="482ACE9A" w14:textId="77777777" w:rsidR="007215C7" w:rsidRPr="007215C7" w:rsidRDefault="007215C7" w:rsidP="00457903">
            <w:pPr>
              <w:pStyle w:val="a6"/>
              <w:ind w:left="0"/>
              <w:rPr>
                <w:rFonts w:eastAsia="Microsoft YaHei UI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44B95F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Patient’s cholesterol level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8839AB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Patient’s cardiovascular risk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45192BE3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Tolerability and efficacy of other lipid-lowering therapies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1B58A57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/>
                <w:bCs/>
                <w:sz w:val="24"/>
                <w:szCs w:val="24"/>
              </w:rPr>
              <w:t>Patient’s age and sex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C891481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b/>
                <w:bCs/>
                <w:sz w:val="24"/>
                <w:szCs w:val="24"/>
              </w:rPr>
            </w:pPr>
          </w:p>
        </w:tc>
      </w:tr>
      <w:tr w:rsidR="007215C7" w:rsidRPr="007215C7" w14:paraId="1061CE7D" w14:textId="77777777" w:rsidTr="009F7CB8">
        <w:tblPrEx>
          <w:jc w:val="left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" w:type="pct"/>
          <w:trHeight w:val="20"/>
        </w:trPr>
        <w:tc>
          <w:tcPr>
            <w:tcW w:w="2033" w:type="pct"/>
            <w:tcBorders>
              <w:top w:val="nil"/>
              <w:bottom w:val="single" w:sz="4" w:space="0" w:color="auto"/>
            </w:tcBorders>
            <w:noWrap/>
          </w:tcPr>
          <w:p w14:paraId="05C62169" w14:textId="77777777" w:rsidR="007215C7" w:rsidRPr="007215C7" w:rsidRDefault="007215C7" w:rsidP="007215C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rPr>
                <w:rFonts w:eastAsia="Microsoft YaHei UI" w:cs="Times New Roman"/>
                <w:bCs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bCs/>
                <w:sz w:val="24"/>
                <w:szCs w:val="24"/>
              </w:rPr>
              <w:t>What factors do you consider when formulating a treatment plan involving PCSK9 inhibitors? (Select all that apply)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FC5F96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233 (45.51)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EBB7F0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243 (47.46)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FC3FBD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275 (53.71)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260F6C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  <w:r w:rsidRPr="007215C7">
              <w:rPr>
                <w:rFonts w:eastAsia="Microsoft YaHei UI" w:cs="Times New Roman"/>
                <w:sz w:val="24"/>
                <w:szCs w:val="24"/>
              </w:rPr>
              <w:t>300 (58.59)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2A934E" w14:textId="77777777" w:rsidR="007215C7" w:rsidRPr="007215C7" w:rsidRDefault="007215C7" w:rsidP="00457903">
            <w:pPr>
              <w:contextualSpacing/>
              <w:textAlignment w:val="center"/>
              <w:rPr>
                <w:rFonts w:eastAsia="Microsoft YaHei UI" w:cs="Times New Roman"/>
                <w:sz w:val="24"/>
                <w:szCs w:val="24"/>
              </w:rPr>
            </w:pPr>
          </w:p>
        </w:tc>
      </w:tr>
    </w:tbl>
    <w:p w14:paraId="133B38E7" w14:textId="62441D2F" w:rsidR="007215C7" w:rsidRPr="007215C7" w:rsidRDefault="009F7CB8" w:rsidP="007215C7">
      <w:pPr>
        <w:contextualSpacing/>
        <w:rPr>
          <w:rFonts w:eastAsia="Microsoft YaHei UI" w:cs="Times New Roman"/>
          <w:b/>
          <w:bCs/>
          <w:kern w:val="44"/>
          <w:sz w:val="24"/>
          <w:szCs w:val="24"/>
        </w:rPr>
      </w:pPr>
      <w:r>
        <w:rPr>
          <w:rFonts w:eastAsia="Microsoft YaHei UI" w:cs="Times New Roman"/>
          <w:sz w:val="24"/>
          <w:szCs w:val="24"/>
        </w:rPr>
        <w:lastRenderedPageBreak/>
        <w:t>N</w:t>
      </w:r>
      <w:r>
        <w:rPr>
          <w:rFonts w:eastAsia="Microsoft YaHei UI" w:cs="Times New Roman" w:hint="eastAsia"/>
          <w:sz w:val="24"/>
          <w:szCs w:val="24"/>
        </w:rPr>
        <w:t xml:space="preserve">ote: </w:t>
      </w:r>
      <w:r w:rsidRPr="009F7CB8">
        <w:rPr>
          <w:rFonts w:eastAsia="Microsoft YaHei UI" w:cs="Times New Roman"/>
          <w:sz w:val="24"/>
          <w:szCs w:val="24"/>
        </w:rPr>
        <w:t>To ensure data quality, an attention-check item (</w:t>
      </w:r>
      <w:r>
        <w:rPr>
          <w:rFonts w:eastAsia="Microsoft YaHei UI" w:cs="Times New Roman" w:hint="eastAsia"/>
          <w:sz w:val="24"/>
          <w:szCs w:val="24"/>
        </w:rPr>
        <w:t xml:space="preserve">K6, </w:t>
      </w:r>
      <w:r w:rsidRPr="009F7CB8">
        <w:rPr>
          <w:rFonts w:eastAsia="Microsoft YaHei UI" w:cs="Times New Roman"/>
          <w:sz w:val="24"/>
          <w:szCs w:val="24"/>
        </w:rPr>
        <w:t xml:space="preserve">"The capital of China is Shanghai") was embedded within </w:t>
      </w:r>
      <w:r>
        <w:rPr>
          <w:rFonts w:eastAsia="Microsoft YaHei UI" w:cs="Times New Roman" w:hint="eastAsia"/>
          <w:sz w:val="24"/>
          <w:szCs w:val="24"/>
        </w:rPr>
        <w:t>knowledge</w:t>
      </w:r>
      <w:r w:rsidRPr="009F7CB8">
        <w:rPr>
          <w:rFonts w:eastAsia="Microsoft YaHei UI" w:cs="Times New Roman"/>
          <w:sz w:val="24"/>
          <w:szCs w:val="24"/>
        </w:rPr>
        <w:t xml:space="preserve"> domain; responses to this item were strictly used for data screening and were excluded from the final knowledge score calculation.</w:t>
      </w:r>
      <w:r w:rsidR="007215C7" w:rsidRPr="007215C7">
        <w:rPr>
          <w:rFonts w:eastAsia="Microsoft YaHei UI" w:cs="Times New Roman"/>
          <w:sz w:val="24"/>
          <w:szCs w:val="24"/>
        </w:rPr>
        <w:br w:type="page"/>
      </w:r>
    </w:p>
    <w:p w14:paraId="62029ED4" w14:textId="5BDF720A" w:rsidR="007215C7" w:rsidRPr="00180E0C" w:rsidRDefault="007215C7" w:rsidP="007215C7">
      <w:pPr>
        <w:pStyle w:val="1"/>
        <w:keepLines w:val="0"/>
        <w:overflowPunct w:val="0"/>
        <w:autoSpaceDE w:val="0"/>
        <w:autoSpaceDN w:val="0"/>
        <w:spacing w:before="0" w:after="0"/>
        <w:contextualSpacing/>
        <w:textAlignment w:val="baseline"/>
        <w:rPr>
          <w:rFonts w:ascii="Times New Roman" w:eastAsia="Microsoft YaHei UI" w:hAnsi="Times New Roman" w:cs="Times New Roman"/>
          <w:b/>
          <w:color w:val="auto"/>
          <w:sz w:val="24"/>
          <w:szCs w:val="24"/>
        </w:rPr>
      </w:pPr>
      <w:r w:rsidRPr="00180E0C">
        <w:rPr>
          <w:rFonts w:ascii="Times New Roman" w:eastAsia="Microsoft YaHei UI" w:hAnsi="Times New Roman" w:cs="Times New Roman"/>
          <w:b/>
          <w:color w:val="auto"/>
          <w:sz w:val="24"/>
          <w:szCs w:val="24"/>
        </w:rPr>
        <w:lastRenderedPageBreak/>
        <w:t xml:space="preserve">Supplementary Table </w:t>
      </w:r>
      <w:r w:rsidR="005321B7" w:rsidRPr="00180E0C">
        <w:rPr>
          <w:rFonts w:ascii="Times New Roman" w:eastAsia="Microsoft YaHei UI" w:hAnsi="Times New Roman" w:cs="Times New Roman" w:hint="eastAsia"/>
          <w:b/>
          <w:color w:val="auto"/>
          <w:sz w:val="24"/>
          <w:szCs w:val="24"/>
        </w:rPr>
        <w:t>5</w:t>
      </w:r>
      <w:r w:rsidRPr="00180E0C">
        <w:rPr>
          <w:rFonts w:ascii="Times New Roman" w:eastAsia="Microsoft YaHei UI" w:hAnsi="Times New Roman" w:cs="Times New Roman"/>
          <w:b/>
          <w:color w:val="auto"/>
          <w:sz w:val="24"/>
          <w:szCs w:val="24"/>
        </w:rPr>
        <w:t>. Model fit of Structural Equation Model</w:t>
      </w:r>
    </w:p>
    <w:tbl>
      <w:tblPr>
        <w:tblStyle w:val="aa"/>
        <w:tblW w:w="5000" w:type="pct"/>
        <w:tblBorders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5927"/>
        <w:gridCol w:w="4366"/>
      </w:tblGrid>
      <w:tr w:rsidR="007215C7" w:rsidRPr="007215C7" w14:paraId="67319E20" w14:textId="77777777" w:rsidTr="007215C7">
        <w:trPr>
          <w:trHeight w:val="18"/>
        </w:trPr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40B9A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Model Fit Indices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DCB97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Ref.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845FB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Measured results</w:t>
            </w:r>
          </w:p>
        </w:tc>
      </w:tr>
      <w:tr w:rsidR="007215C7" w:rsidRPr="007215C7" w14:paraId="0496F374" w14:textId="77777777" w:rsidTr="007215C7">
        <w:trPr>
          <w:trHeight w:val="18"/>
        </w:trPr>
        <w:tc>
          <w:tcPr>
            <w:tcW w:w="1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C19B3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CMIN/DF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2CD55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1-3 excellent, 3-5 good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BFF89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1.223</w:t>
            </w:r>
          </w:p>
        </w:tc>
      </w:tr>
      <w:tr w:rsidR="007215C7" w:rsidRPr="007215C7" w14:paraId="36192E8F" w14:textId="77777777" w:rsidTr="007215C7">
        <w:trPr>
          <w:trHeight w:val="18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2E0663F6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RMSEA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</w:tcPr>
          <w:p w14:paraId="46359E65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&lt;0.08 good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</w:tcPr>
          <w:p w14:paraId="120A7437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0.021</w:t>
            </w:r>
          </w:p>
        </w:tc>
      </w:tr>
      <w:tr w:rsidR="007215C7" w:rsidRPr="007215C7" w14:paraId="700ABAE7" w14:textId="77777777" w:rsidTr="007215C7">
        <w:trPr>
          <w:trHeight w:val="18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7F1BEFD9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IFI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</w:tcPr>
          <w:p w14:paraId="6DCD581B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&gt;0.8 good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</w:tcPr>
          <w:p w14:paraId="79BA02CF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0.986</w:t>
            </w:r>
          </w:p>
        </w:tc>
      </w:tr>
      <w:tr w:rsidR="007215C7" w:rsidRPr="007215C7" w14:paraId="185D42BE" w14:textId="77777777" w:rsidTr="007215C7">
        <w:trPr>
          <w:trHeight w:val="18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66B12BEC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TLI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</w:tcPr>
          <w:p w14:paraId="35EEEE40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&gt;0.8 good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</w:tcPr>
          <w:p w14:paraId="2A36EE35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0.984</w:t>
            </w:r>
          </w:p>
        </w:tc>
      </w:tr>
      <w:tr w:rsidR="007215C7" w:rsidRPr="007215C7" w14:paraId="0A799D6A" w14:textId="77777777" w:rsidTr="007215C7">
        <w:trPr>
          <w:trHeight w:val="18"/>
        </w:trPr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6448C" w14:textId="77777777" w:rsidR="007215C7" w:rsidRPr="007215C7" w:rsidRDefault="007215C7" w:rsidP="00457903">
            <w:pPr>
              <w:contextualSpacing/>
              <w:rPr>
                <w:rFonts w:eastAsia="Microsoft YaHei UI"/>
                <w:b/>
                <w:sz w:val="24"/>
                <w:szCs w:val="24"/>
              </w:rPr>
            </w:pPr>
            <w:r w:rsidRPr="007215C7">
              <w:rPr>
                <w:rFonts w:eastAsia="Microsoft YaHei UI"/>
                <w:b/>
                <w:sz w:val="24"/>
                <w:szCs w:val="24"/>
              </w:rPr>
              <w:t>CFI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07A50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&gt;0.8 good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12588" w14:textId="77777777" w:rsidR="007215C7" w:rsidRPr="007215C7" w:rsidRDefault="007215C7" w:rsidP="00457903">
            <w:pPr>
              <w:contextualSpacing/>
              <w:rPr>
                <w:rFonts w:eastAsia="Microsoft YaHei UI"/>
                <w:sz w:val="24"/>
                <w:szCs w:val="24"/>
              </w:rPr>
            </w:pPr>
            <w:r w:rsidRPr="007215C7">
              <w:rPr>
                <w:rFonts w:eastAsia="Microsoft YaHei UI"/>
                <w:sz w:val="24"/>
                <w:szCs w:val="24"/>
              </w:rPr>
              <w:t>0.986</w:t>
            </w:r>
          </w:p>
        </w:tc>
      </w:tr>
    </w:tbl>
    <w:p w14:paraId="76989829" w14:textId="77777777" w:rsidR="007215C7" w:rsidRPr="007215C7" w:rsidRDefault="007215C7" w:rsidP="007215C7">
      <w:pPr>
        <w:contextualSpacing/>
        <w:rPr>
          <w:rFonts w:cs="Times New Roman"/>
          <w:sz w:val="24"/>
          <w:szCs w:val="24"/>
        </w:rPr>
      </w:pPr>
    </w:p>
    <w:p w14:paraId="571266FC" w14:textId="77777777" w:rsidR="007215C7" w:rsidRPr="007215C7" w:rsidRDefault="007215C7" w:rsidP="007215C7">
      <w:pPr>
        <w:pStyle w:val="1"/>
        <w:keepLines w:val="0"/>
        <w:overflowPunct w:val="0"/>
        <w:autoSpaceDE w:val="0"/>
        <w:autoSpaceDN w:val="0"/>
        <w:spacing w:before="0" w:after="0"/>
        <w:contextualSpacing/>
        <w:textAlignment w:val="baseline"/>
        <w:rPr>
          <w:rFonts w:ascii="Times New Roman" w:eastAsia="Microsoft YaHei UI" w:hAnsi="Times New Roman" w:cs="Times New Roman"/>
          <w:color w:val="auto"/>
          <w:sz w:val="24"/>
          <w:szCs w:val="24"/>
        </w:rPr>
      </w:pPr>
    </w:p>
    <w:p w14:paraId="54377026" w14:textId="77777777" w:rsidR="007215C7" w:rsidRPr="005321B7" w:rsidRDefault="007215C7" w:rsidP="00180E0C">
      <w:pPr>
        <w:widowControl w:val="0"/>
      </w:pPr>
      <w:bookmarkStart w:id="0" w:name="_GoBack"/>
      <w:bookmarkEnd w:id="0"/>
    </w:p>
    <w:sectPr w:rsidR="007215C7" w:rsidRPr="005321B7" w:rsidSect="00180E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A1B0F"/>
    <w:multiLevelType w:val="multilevel"/>
    <w:tmpl w:val="2CBA1B0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ECB7DB4"/>
    <w:multiLevelType w:val="multilevel"/>
    <w:tmpl w:val="4ECB7DB4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C9B0273"/>
    <w:multiLevelType w:val="multilevel"/>
    <w:tmpl w:val="5C9B0273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7"/>
    <w:rsid w:val="00180E0C"/>
    <w:rsid w:val="002A628F"/>
    <w:rsid w:val="005321B7"/>
    <w:rsid w:val="007215C7"/>
    <w:rsid w:val="008F0EDB"/>
    <w:rsid w:val="009F7CB8"/>
    <w:rsid w:val="00A76009"/>
    <w:rsid w:val="00B570E4"/>
    <w:rsid w:val="00BE464A"/>
    <w:rsid w:val="00CD39ED"/>
    <w:rsid w:val="00F6579C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9464C"/>
  <w15:chartTrackingRefBased/>
  <w15:docId w15:val="{7AD6CCE0-A8D6-44CB-B75D-E0A5A80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C7"/>
    <w:pPr>
      <w:spacing w:after="0" w:line="240" w:lineRule="auto"/>
      <w:jc w:val="both"/>
    </w:pPr>
    <w:rPr>
      <w:rFonts w:ascii="Times New Roman" w:eastAsia="宋体" w:hAnsi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qFormat/>
    <w:rsid w:val="00721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1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15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15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15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1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1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1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215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2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2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215C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215C7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215C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215C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215C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21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21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2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1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21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215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15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15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215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15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7215C7"/>
    <w:pPr>
      <w:widowControl w:val="0"/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6579C"/>
    <w:pPr>
      <w:spacing w:after="0" w:line="240" w:lineRule="auto"/>
    </w:pPr>
    <w:rPr>
      <w:rFonts w:ascii="Times New Roman" w:eastAsia="宋体" w:hAnsi="Times New Roman"/>
      <w:sz w:val="21"/>
      <w:szCs w:val="22"/>
      <w14:ligatures w14:val="none"/>
    </w:rPr>
  </w:style>
  <w:style w:type="table" w:customStyle="1" w:styleId="10">
    <w:name w:val="网格型1"/>
    <w:basedOn w:val="a1"/>
    <w:next w:val="aa"/>
    <w:uiPriority w:val="39"/>
    <w:rsid w:val="00CD39ED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432C-7212-4AB1-96B6-5D02D779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</cp:lastModifiedBy>
  <cp:revision>6</cp:revision>
  <dcterms:created xsi:type="dcterms:W3CDTF">2025-10-20T08:11:00Z</dcterms:created>
  <dcterms:modified xsi:type="dcterms:W3CDTF">2026-05-22T06:14:00Z</dcterms:modified>
</cp:coreProperties>
</file>