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BBA7" w14:textId="77777777" w:rsidR="00192E4B" w:rsidRPr="00192E4B" w:rsidRDefault="00192E4B" w:rsidP="00192E4B">
      <w:pPr>
        <w:keepNext/>
        <w:spacing w:before="240" w:after="60" w:line="48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</w:pPr>
      <w:r w:rsidRPr="00192E4B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  <w:t>Supplementary materials</w:t>
      </w:r>
    </w:p>
    <w:p w14:paraId="0636B4FC" w14:textId="77777777" w:rsidR="00192E4B" w:rsidRPr="00192E4B" w:rsidRDefault="00192E4B" w:rsidP="00192E4B">
      <w:pPr>
        <w:keepNext/>
        <w:spacing w:before="240" w:after="60" w:line="48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</w:pPr>
      <w:r w:rsidRPr="00192E4B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  <w:t>Supplementary figures</w:t>
      </w:r>
    </w:p>
    <w:p w14:paraId="7BC9EDAD" w14:textId="3E105D01" w:rsidR="00192E4B" w:rsidRPr="00192E4B" w:rsidRDefault="00192E4B" w:rsidP="00192E4B">
      <w:pPr>
        <w:keepNext/>
        <w:tabs>
          <w:tab w:val="right" w:pos="9027"/>
        </w:tabs>
        <w:spacing w:after="120" w:line="48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en-US" w:eastAsia="en-GB"/>
          <w14:ligatures w14:val="none"/>
        </w:rPr>
      </w:pP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Supplementary Figure 1. Summary of exacerbations (as defined by asthma-</w:t>
      </w:r>
      <w:r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related</w:t>
      </w: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 xml:space="preserve"> ED visits, asthma-related hospital admissions or oral/IV corticosteroid use) by GBTM adherence clusters</w:t>
      </w:r>
      <w:r w:rsidRPr="00192E4B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val="en-US"/>
          <w14:ligatures w14:val="none"/>
        </w:rPr>
        <w:t xml:space="preserve"> </w:t>
      </w: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during the 12-month follow-up period among patients who remained on the same biologic during follow-up (N=2531</w:t>
      </w:r>
      <w:r w:rsidRPr="00192E4B">
        <w:rPr>
          <w:rFonts w:ascii="Arial" w:eastAsia="Times New Roman" w:hAnsi="Arial" w:cs="Arial"/>
          <w:b/>
          <w:bCs/>
          <w:kern w:val="0"/>
          <w:sz w:val="22"/>
          <w:szCs w:val="22"/>
          <w:lang w:val="en-US" w:eastAsia="en-GB"/>
          <w14:ligatures w14:val="none"/>
        </w:rPr>
        <w:t>).</w:t>
      </w:r>
    </w:p>
    <w:p w14:paraId="0CB006A7" w14:textId="443AB414" w:rsidR="00192E4B" w:rsidRPr="00192E4B" w:rsidRDefault="00E7159A" w:rsidP="00192E4B">
      <w:pPr>
        <w:spacing w:after="220" w:line="360" w:lineRule="auto"/>
        <w:rPr>
          <w:rFonts w:ascii="Calibri" w:eastAsia="Times New Roman" w:hAnsi="Calibri" w:cs="Calibri"/>
          <w:kern w:val="0"/>
          <w:sz w:val="22"/>
          <w:lang w:val="en-US"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lang w:val="en-US" w:eastAsia="en-GB"/>
        </w:rPr>
        <w:drawing>
          <wp:inline distT="0" distB="0" distL="0" distR="0" wp14:anchorId="69CCEDF2" wp14:editId="3EDFDBC0">
            <wp:extent cx="8533130" cy="3257550"/>
            <wp:effectExtent l="0" t="0" r="1270" b="0"/>
            <wp:docPr id="992842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42248" name="Picture 9928422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F16F" w14:textId="77777777" w:rsidR="00192E4B" w:rsidRPr="00192E4B" w:rsidRDefault="00192E4B" w:rsidP="00192E4B">
      <w:pPr>
        <w:tabs>
          <w:tab w:val="left" w:pos="1860"/>
        </w:tabs>
        <w:spacing w:after="220" w:line="480" w:lineRule="auto"/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 xml:space="preserve">Exacerbations requiring OCS/IV steroid use </w:t>
      </w:r>
      <w:r w:rsidRPr="00192E4B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 xml:space="preserve">included OCS prescriptions lasting </w:t>
      </w:r>
      <w:r w:rsidRPr="00192E4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≥</w:t>
      </w:r>
      <w:r w:rsidRPr="00192E4B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>3</w:t>
      </w:r>
      <w:r w:rsidRPr="00192E4B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–≤</w:t>
      </w:r>
      <w:r w:rsidRPr="00192E4B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>28 days within the month of, or the month before asthma diagnosis, and any IV steroid used during or prior to the month of diagnosis</w:t>
      </w:r>
    </w:p>
    <w:p w14:paraId="776A1513" w14:textId="77777777" w:rsidR="00192E4B" w:rsidRPr="00192E4B" w:rsidRDefault="00192E4B" w:rsidP="00192E4B">
      <w:pPr>
        <w:spacing w:after="220" w:line="480" w:lineRule="auto"/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ED, emergency department; GBTM, group-based trajectory modeling; IV, intravenous; OCS, oral corticosteroid.</w:t>
      </w:r>
    </w:p>
    <w:p w14:paraId="3BB76D5E" w14:textId="77777777" w:rsidR="00192E4B" w:rsidRPr="00192E4B" w:rsidRDefault="00192E4B" w:rsidP="00192E4B">
      <w:pPr>
        <w:keepNext/>
        <w:tabs>
          <w:tab w:val="right" w:pos="9027"/>
        </w:tabs>
        <w:spacing w:after="120" w:line="48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en-US" w:eastAsia="en-GB"/>
          <w14:ligatures w14:val="none"/>
        </w:rPr>
      </w:pP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Supplementary Figure 2. Summary of all-cause (A) and asthma-related (B) HCRU by GBTM adherence clusters during the 12-month follow-up period among patients who remained on the same biologic during follow-up (N=2531</w:t>
      </w:r>
      <w:r w:rsidRPr="00192E4B">
        <w:rPr>
          <w:rFonts w:ascii="Arial" w:eastAsia="Times New Roman" w:hAnsi="Arial" w:cs="Arial"/>
          <w:b/>
          <w:bCs/>
          <w:kern w:val="0"/>
          <w:sz w:val="22"/>
          <w:szCs w:val="22"/>
          <w:lang w:val="en-US" w:eastAsia="en-GB"/>
          <w14:ligatures w14:val="none"/>
        </w:rPr>
        <w:t>).</w:t>
      </w:r>
    </w:p>
    <w:p w14:paraId="06EB858B" w14:textId="77777777" w:rsidR="00192E4B" w:rsidRPr="00192E4B" w:rsidRDefault="00192E4B" w:rsidP="00192E4B">
      <w:pPr>
        <w:spacing w:after="220" w:line="360" w:lineRule="auto"/>
        <w:rPr>
          <w:rFonts w:ascii="Calibri" w:eastAsia="Times New Roman" w:hAnsi="Calibri" w:cs="Calibri"/>
          <w:kern w:val="0"/>
          <w:sz w:val="22"/>
          <w:lang w:val="en-US" w:eastAsia="en-GB"/>
          <w14:ligatures w14:val="none"/>
        </w:rPr>
      </w:pPr>
      <w:r w:rsidRPr="00192E4B">
        <w:rPr>
          <w:rFonts w:ascii="Calibri" w:eastAsia="Times New Roman" w:hAnsi="Calibri" w:cs="Calibri"/>
          <w:noProof/>
          <w:kern w:val="0"/>
          <w:sz w:val="22"/>
          <w:lang w:val="en-US" w:eastAsia="en-GB"/>
          <w14:ligatures w14:val="none"/>
        </w:rPr>
        <w:drawing>
          <wp:inline distT="0" distB="0" distL="0" distR="0" wp14:anchorId="789D3BB8" wp14:editId="7004E815">
            <wp:extent cx="6952729" cy="4993420"/>
            <wp:effectExtent l="0" t="0" r="635" b="0"/>
            <wp:docPr id="2052062595" name="Picture 6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62595" name="Picture 6" descr="A graph of different colored ba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407" cy="499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EE989" w14:textId="46CE6B99" w:rsidR="00192E4B" w:rsidRPr="00192E4B" w:rsidRDefault="00192E4B" w:rsidP="00192E4B">
      <w:pPr>
        <w:spacing w:after="0" w:line="480" w:lineRule="auto"/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*The results for asthma-related ED visits were identical to those for asthma-</w:t>
      </w:r>
      <w:r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related</w:t>
      </w: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 xml:space="preserve"> ED visits used in the exacerbation outcome analysis.</w:t>
      </w:r>
    </w:p>
    <w:p w14:paraId="7E01DD8B" w14:textId="77777777" w:rsidR="00192E4B" w:rsidRPr="00192E4B" w:rsidRDefault="00192E4B" w:rsidP="00192E4B">
      <w:pPr>
        <w:spacing w:after="0" w:line="480" w:lineRule="auto"/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sectPr w:rsidR="00192E4B" w:rsidRPr="00192E4B" w:rsidSect="00192E4B">
          <w:footerReference w:type="even" r:id="rId8"/>
          <w:footerReference w:type="default" r:id="rId9"/>
          <w:footerReference w:type="first" r:id="rId10"/>
          <w:pgSz w:w="16840" w:h="11907" w:orient="landscape" w:code="9"/>
          <w:pgMar w:top="1440" w:right="1701" w:bottom="1440" w:left="1701" w:header="720" w:footer="720" w:gutter="0"/>
          <w:lnNumType w:countBy="1" w:restart="continuous"/>
          <w:cols w:space="720"/>
          <w:docGrid w:linePitch="360"/>
        </w:sectPr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ED, emergency department; GBTM, group-based trajectory modeling; HCRU, healthcare</w:t>
      </w:r>
      <w:r w:rsidRPr="00192E4B">
        <w:rPr>
          <w:rFonts w:ascii="Arial" w:eastAsia="Times New Roman" w:hAnsi="Arial" w:cs="Arial"/>
          <w:kern w:val="0"/>
          <w:sz w:val="22"/>
          <w:lang w:val="en-US" w:eastAsia="en-GB"/>
          <w14:ligatures w14:val="none"/>
        </w:rPr>
        <w:t xml:space="preserve"> resource</w:t>
      </w: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 xml:space="preserve"> utilization.</w:t>
      </w:r>
    </w:p>
    <w:p w14:paraId="289D2737" w14:textId="77777777" w:rsidR="00192E4B" w:rsidRPr="00192E4B" w:rsidRDefault="00192E4B" w:rsidP="00192E4B">
      <w:pPr>
        <w:keepNext/>
        <w:tabs>
          <w:tab w:val="right" w:pos="9027"/>
        </w:tabs>
        <w:spacing w:after="120" w:line="480" w:lineRule="auto"/>
        <w:outlineLvl w:val="1"/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</w:pP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Supplementary Figure 3. Summary of all-cause (A) and asthma-related (B) pharmacy costs by GBTM adherence clusters during the 12-month follow-up period among patients who remained on the same biologic during follow-up (N=2531)</w:t>
      </w:r>
    </w:p>
    <w:p w14:paraId="2FF63D6D" w14:textId="77777777" w:rsidR="00192E4B" w:rsidRPr="00192E4B" w:rsidRDefault="00192E4B" w:rsidP="00192E4B">
      <w:pPr>
        <w:spacing w:after="220" w:line="360" w:lineRule="auto"/>
        <w:rPr>
          <w:rFonts w:ascii="Calibri" w:eastAsia="Times New Roman" w:hAnsi="Calibri" w:cs="Calibri"/>
          <w:kern w:val="0"/>
          <w:sz w:val="22"/>
          <w:lang w:val="en-US"/>
          <w14:ligatures w14:val="none"/>
        </w:rPr>
      </w:pPr>
      <w:r w:rsidRPr="00192E4B">
        <w:rPr>
          <w:rFonts w:ascii="Calibri" w:eastAsia="Times New Roman" w:hAnsi="Calibri" w:cs="Calibri"/>
          <w:noProof/>
          <w:kern w:val="0"/>
          <w:sz w:val="22"/>
          <w:lang w:val="en-US"/>
          <w14:ligatures w14:val="none"/>
        </w:rPr>
        <w:drawing>
          <wp:inline distT="0" distB="0" distL="0" distR="0" wp14:anchorId="4C8EED72" wp14:editId="13C6B337">
            <wp:extent cx="6089650" cy="4951475"/>
            <wp:effectExtent l="0" t="0" r="6350" b="1905"/>
            <wp:docPr id="722319071" name="Picture 7" descr="A group of colorfu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19071" name="Picture 7" descr="A group of colorful bar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49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F4D46" w14:textId="77777777" w:rsidR="00192E4B" w:rsidRPr="00192E4B" w:rsidRDefault="00192E4B" w:rsidP="00192E4B">
      <w:pPr>
        <w:spacing w:after="0" w:line="480" w:lineRule="auto"/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GBTM, group-based trajectory modeling.</w:t>
      </w:r>
      <w:r w:rsidRPr="00192E4B">
        <w:rPr>
          <w:rFonts w:ascii="Calibri" w:eastAsia="Times New Roman" w:hAnsi="Calibri" w:cs="Calibri"/>
          <w:i/>
          <w:kern w:val="0"/>
          <w:sz w:val="22"/>
          <w:lang w:val="en-US" w:eastAsia="en-GB"/>
          <w14:ligatures w14:val="none"/>
        </w:rPr>
        <w:br w:type="page"/>
      </w:r>
    </w:p>
    <w:p w14:paraId="3E6445A1" w14:textId="77777777" w:rsidR="00192E4B" w:rsidRPr="00192E4B" w:rsidRDefault="00192E4B" w:rsidP="00192E4B">
      <w:pPr>
        <w:keepNext/>
        <w:tabs>
          <w:tab w:val="right" w:pos="9027"/>
        </w:tabs>
        <w:spacing w:after="120" w:line="480" w:lineRule="auto"/>
        <w:outlineLvl w:val="1"/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</w:pP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Supplementary Figure 4. Summary of oral and IV corticosteroid use by GBTM adherence clusters during the 12-month follow-up period (N=2531)</w:t>
      </w:r>
    </w:p>
    <w:p w14:paraId="27D00B1B" w14:textId="77777777" w:rsidR="00192E4B" w:rsidRPr="00192E4B" w:rsidRDefault="00192E4B" w:rsidP="00192E4B">
      <w:pPr>
        <w:spacing w:after="220" w:line="360" w:lineRule="auto"/>
        <w:rPr>
          <w:rFonts w:ascii="Calibri" w:eastAsia="Times New Roman" w:hAnsi="Calibri" w:cs="Calibri"/>
          <w:kern w:val="0"/>
          <w:sz w:val="22"/>
          <w:lang w:val="en-US"/>
          <w14:ligatures w14:val="none"/>
        </w:rPr>
      </w:pPr>
      <w:r w:rsidRPr="00192E4B">
        <w:rPr>
          <w:rFonts w:ascii="Calibri" w:eastAsia="Times New Roman" w:hAnsi="Calibri" w:cs="Calibri"/>
          <w:noProof/>
          <w:kern w:val="0"/>
          <w:sz w:val="22"/>
          <w:lang w:val="en-US"/>
          <w14:ligatures w14:val="none"/>
        </w:rPr>
        <w:drawing>
          <wp:inline distT="0" distB="0" distL="0" distR="0" wp14:anchorId="5D227A72" wp14:editId="0EC04288">
            <wp:extent cx="8864600" cy="2969895"/>
            <wp:effectExtent l="0" t="0" r="0" b="1905"/>
            <wp:docPr id="573220009" name="Picture 8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20009" name="Picture 8" descr="A close-up of a graph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C793" w14:textId="77777777" w:rsidR="00192E4B" w:rsidRPr="00192E4B" w:rsidRDefault="00192E4B" w:rsidP="00192E4B">
      <w:pPr>
        <w:spacing w:after="0" w:line="480" w:lineRule="auto"/>
        <w:rPr>
          <w:rFonts w:ascii="Arial" w:eastAsia="Times New Roman" w:hAnsi="Arial" w:cs="Calibri"/>
          <w:kern w:val="0"/>
          <w:sz w:val="22"/>
          <w:lang w:eastAsia="en-GB"/>
          <w14:ligatures w14:val="none"/>
        </w:rPr>
      </w:pPr>
      <w:r w:rsidRPr="00192E4B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>The mean daily OCS and IV steroid dose was calculated only over the days that patients received OCS and IV steroids (i.e. it did not cover the full 12-month follow-up period). </w:t>
      </w:r>
    </w:p>
    <w:p w14:paraId="7D633827" w14:textId="77777777" w:rsidR="00192E4B" w:rsidRPr="00192E4B" w:rsidRDefault="00192E4B" w:rsidP="00192E4B">
      <w:pPr>
        <w:spacing w:after="0" w:line="480" w:lineRule="auto"/>
        <w:rPr>
          <w:rFonts w:ascii="Arial" w:eastAsia="Times New Roman" w:hAnsi="Arial" w:cs="Calibri"/>
          <w:kern w:val="0"/>
          <w:sz w:val="22"/>
          <w:lang w:val="pt-BR" w:eastAsia="en-GB"/>
          <w14:ligatures w14:val="none"/>
        </w:rPr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GBTM, group-based trajectory modeling</w:t>
      </w:r>
      <w:r w:rsidRPr="00192E4B">
        <w:rPr>
          <w:rFonts w:ascii="Arial" w:eastAsia="Times New Roman" w:hAnsi="Arial" w:cs="Calibri"/>
          <w:kern w:val="0"/>
          <w:sz w:val="22"/>
          <w:lang w:val="pt-PT" w:eastAsia="en-GB"/>
          <w14:ligatures w14:val="none"/>
        </w:rPr>
        <w:t>; IV, intravenous; OCS, oral corticosteroid.</w:t>
      </w:r>
    </w:p>
    <w:p w14:paraId="626E23C8" w14:textId="77777777" w:rsidR="00192E4B" w:rsidRPr="00192E4B" w:rsidRDefault="00192E4B" w:rsidP="00192E4B">
      <w:pPr>
        <w:keepNext/>
        <w:tabs>
          <w:tab w:val="right" w:pos="9027"/>
        </w:tabs>
        <w:spacing w:after="120" w:line="48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pt-BR"/>
          <w14:ligatures w14:val="none"/>
        </w:rPr>
        <w:sectPr w:rsidR="00192E4B" w:rsidRPr="00192E4B" w:rsidSect="00192E4B">
          <w:pgSz w:w="16840" w:h="11907" w:orient="landscape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bookmarkStart w:id="0" w:name="_Ref205991745"/>
    </w:p>
    <w:p w14:paraId="365F93FC" w14:textId="77777777" w:rsidR="00192E4B" w:rsidRPr="00192E4B" w:rsidRDefault="00192E4B" w:rsidP="00192E4B">
      <w:pPr>
        <w:keepNext/>
        <w:spacing w:before="240" w:after="60" w:line="48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</w:pPr>
      <w:r w:rsidRPr="00192E4B">
        <w:rPr>
          <w:rFonts w:ascii="Arial" w:eastAsia="Times New Roman" w:hAnsi="Arial" w:cs="Arial"/>
          <w:b/>
          <w:bCs/>
          <w:kern w:val="32"/>
          <w:sz w:val="32"/>
          <w:szCs w:val="32"/>
          <w:lang w:val="en-US"/>
          <w14:ligatures w14:val="none"/>
        </w:rPr>
        <w:t>Supplementary tables</w:t>
      </w:r>
    </w:p>
    <w:p w14:paraId="0BBD0CB5" w14:textId="77777777" w:rsidR="00192E4B" w:rsidRPr="00192E4B" w:rsidRDefault="00192E4B" w:rsidP="00192E4B">
      <w:pPr>
        <w:keepNext/>
        <w:tabs>
          <w:tab w:val="right" w:pos="9027"/>
        </w:tabs>
        <w:spacing w:after="120" w:line="480" w:lineRule="auto"/>
        <w:outlineLvl w:val="1"/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</w:pPr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 xml:space="preserve">Supplementary Table </w:t>
      </w:r>
      <w:bookmarkEnd w:id="0"/>
      <w:r w:rsidRPr="00192E4B">
        <w:rPr>
          <w:rFonts w:ascii="Arial" w:eastAsia="Times New Roman" w:hAnsi="Arial" w:cs="Arial"/>
          <w:b/>
          <w:bCs/>
          <w:iCs/>
          <w:kern w:val="0"/>
          <w:sz w:val="22"/>
          <w:szCs w:val="28"/>
          <w:lang w:val="en-US"/>
          <w14:ligatures w14:val="none"/>
        </w:rPr>
        <w:t>1. Rate ratio or effect size of outcomes during periods of adherence versus non-adherence to asthma biologics: results from simple regression models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516"/>
        <w:gridCol w:w="1502"/>
        <w:gridCol w:w="1503"/>
        <w:gridCol w:w="1502"/>
        <w:gridCol w:w="1503"/>
        <w:gridCol w:w="1503"/>
      </w:tblGrid>
      <w:tr w:rsidR="00192E4B" w:rsidRPr="00192E4B" w14:paraId="19A4E4C7" w14:textId="77777777" w:rsidTr="00243EC3">
        <w:trPr>
          <w:trHeight w:val="232"/>
        </w:trPr>
        <w:tc>
          <w:tcPr>
            <w:tcW w:w="6516" w:type="dxa"/>
            <w:vAlign w:val="center"/>
          </w:tcPr>
          <w:p w14:paraId="6E9D2D47" w14:textId="77777777" w:rsidR="00192E4B" w:rsidRPr="00192E4B" w:rsidRDefault="00192E4B" w:rsidP="00192E4B">
            <w:pPr>
              <w:spacing w:after="220" w:line="360" w:lineRule="auto"/>
              <w:rPr>
                <w:rFonts w:ascii="Arial" w:eastAsia="Times New Roman" w:hAnsi="Arial" w:cs="Calibri"/>
                <w:b/>
                <w:lang w:eastAsia="en-GB"/>
              </w:rPr>
            </w:pPr>
            <w:r w:rsidRPr="00192E4B">
              <w:rPr>
                <w:rFonts w:ascii="Arial" w:eastAsia="Times New Roman" w:hAnsi="Arial" w:cs="Calibri"/>
                <w:b/>
                <w:lang w:eastAsia="en-GB"/>
              </w:rPr>
              <w:t>Outcome</w:t>
            </w:r>
          </w:p>
        </w:tc>
        <w:tc>
          <w:tcPr>
            <w:tcW w:w="1502" w:type="dxa"/>
            <w:vAlign w:val="center"/>
          </w:tcPr>
          <w:p w14:paraId="1EDEFF78" w14:textId="77777777" w:rsidR="00192E4B" w:rsidRPr="00192E4B" w:rsidRDefault="00192E4B" w:rsidP="00192E4B">
            <w:pPr>
              <w:spacing w:after="220" w:line="360" w:lineRule="auto"/>
              <w:jc w:val="center"/>
              <w:rPr>
                <w:rFonts w:ascii="Arial" w:eastAsia="Times New Roman" w:hAnsi="Arial" w:cs="Calibri"/>
                <w:b/>
                <w:lang w:eastAsia="en-GB"/>
              </w:rPr>
            </w:pPr>
            <w:r w:rsidRPr="00192E4B">
              <w:rPr>
                <w:rFonts w:ascii="Arial" w:eastAsia="Times New Roman" w:hAnsi="Arial" w:cs="Calibri"/>
                <w:b/>
                <w:lang w:eastAsia="en-GB"/>
              </w:rPr>
              <w:t>Result type</w:t>
            </w:r>
            <w:r w:rsidRPr="00192E4B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a</w:t>
            </w:r>
          </w:p>
        </w:tc>
        <w:tc>
          <w:tcPr>
            <w:tcW w:w="1503" w:type="dxa"/>
            <w:vAlign w:val="center"/>
          </w:tcPr>
          <w:p w14:paraId="6BFB700A" w14:textId="77777777" w:rsidR="00192E4B" w:rsidRPr="00192E4B" w:rsidRDefault="00192E4B" w:rsidP="00192E4B">
            <w:pPr>
              <w:spacing w:after="220" w:line="360" w:lineRule="auto"/>
              <w:jc w:val="center"/>
              <w:rPr>
                <w:rFonts w:ascii="Arial" w:eastAsia="Times New Roman" w:hAnsi="Arial" w:cs="Calibri"/>
                <w:b/>
                <w:lang w:eastAsia="en-GB"/>
              </w:rPr>
            </w:pPr>
            <w:r w:rsidRPr="00192E4B">
              <w:rPr>
                <w:rFonts w:ascii="Arial" w:eastAsia="Times New Roman" w:hAnsi="Arial" w:cs="Calibri"/>
                <w:b/>
                <w:lang w:eastAsia="en-GB"/>
              </w:rPr>
              <w:t>Result value</w:t>
            </w:r>
          </w:p>
        </w:tc>
        <w:tc>
          <w:tcPr>
            <w:tcW w:w="1502" w:type="dxa"/>
            <w:vAlign w:val="center"/>
          </w:tcPr>
          <w:p w14:paraId="28061A7B" w14:textId="77777777" w:rsidR="00192E4B" w:rsidRPr="00192E4B" w:rsidRDefault="00192E4B" w:rsidP="00192E4B">
            <w:pPr>
              <w:spacing w:after="220" w:line="360" w:lineRule="auto"/>
              <w:jc w:val="center"/>
              <w:rPr>
                <w:rFonts w:ascii="Arial" w:eastAsia="Times New Roman" w:hAnsi="Arial" w:cs="Calibri"/>
                <w:b/>
                <w:lang w:eastAsia="en-GB"/>
              </w:rPr>
            </w:pPr>
            <w:r w:rsidRPr="00192E4B">
              <w:rPr>
                <w:rFonts w:ascii="Arial" w:eastAsia="Times New Roman" w:hAnsi="Arial" w:cs="Calibri"/>
                <w:b/>
                <w:lang w:eastAsia="en-GB"/>
              </w:rPr>
              <w:t>1- Exp (RR)</w:t>
            </w:r>
            <w:r w:rsidRPr="00192E4B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b</w:t>
            </w:r>
          </w:p>
        </w:tc>
        <w:tc>
          <w:tcPr>
            <w:tcW w:w="1503" w:type="dxa"/>
            <w:vAlign w:val="center"/>
          </w:tcPr>
          <w:p w14:paraId="0D32BB6D" w14:textId="77777777" w:rsidR="00192E4B" w:rsidRPr="00192E4B" w:rsidRDefault="00192E4B" w:rsidP="00192E4B">
            <w:pPr>
              <w:spacing w:after="220" w:line="360" w:lineRule="auto"/>
              <w:jc w:val="center"/>
              <w:rPr>
                <w:rFonts w:ascii="Arial" w:eastAsia="Times New Roman" w:hAnsi="Arial" w:cs="Calibri"/>
                <w:b/>
                <w:lang w:eastAsia="en-GB"/>
              </w:rPr>
            </w:pPr>
            <w:r w:rsidRPr="00192E4B">
              <w:rPr>
                <w:rFonts w:ascii="Arial" w:eastAsia="Times New Roman" w:hAnsi="Arial" w:cs="Calibri"/>
                <w:b/>
                <w:lang w:eastAsia="en-GB"/>
              </w:rPr>
              <w:t>Exp (-RR) – 1</w:t>
            </w:r>
            <w:r w:rsidRPr="00192E4B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c</w:t>
            </w:r>
          </w:p>
        </w:tc>
        <w:tc>
          <w:tcPr>
            <w:tcW w:w="1503" w:type="dxa"/>
            <w:vAlign w:val="center"/>
          </w:tcPr>
          <w:p w14:paraId="6E4CF6CC" w14:textId="77777777" w:rsidR="00192E4B" w:rsidRPr="00192E4B" w:rsidRDefault="00192E4B" w:rsidP="00192E4B">
            <w:pPr>
              <w:spacing w:after="220" w:line="360" w:lineRule="auto"/>
              <w:jc w:val="center"/>
              <w:rPr>
                <w:rFonts w:ascii="Arial" w:eastAsia="Times New Roman" w:hAnsi="Arial" w:cs="Calibri"/>
                <w:b/>
                <w:lang w:eastAsia="en-GB"/>
              </w:rPr>
            </w:pPr>
            <w:r w:rsidRPr="00192E4B">
              <w:rPr>
                <w:rFonts w:ascii="Arial" w:eastAsia="Times New Roman" w:hAnsi="Arial" w:cs="Calibri"/>
                <w:b/>
                <w:lang w:eastAsia="en-GB"/>
              </w:rPr>
              <w:t>P-value</w:t>
            </w:r>
          </w:p>
        </w:tc>
      </w:tr>
      <w:tr w:rsidR="00192E4B" w:rsidRPr="00192E4B" w14:paraId="02D421C0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65E952B9" w14:textId="0DB2030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</w:t>
            </w:r>
            <w:r>
              <w:rPr>
                <w:rFonts w:ascii="Arial" w:eastAsia="Times New Roman" w:hAnsi="Arial" w:cs="Calibri"/>
                <w:lang w:eastAsia="en-GB"/>
              </w:rPr>
              <w:t>related</w:t>
            </w:r>
            <w:r w:rsidRPr="00192E4B">
              <w:rPr>
                <w:rFonts w:ascii="Arial" w:eastAsia="Times New Roman" w:hAnsi="Arial" w:cs="Calibri"/>
                <w:lang w:eastAsia="en-GB"/>
              </w:rPr>
              <w:t xml:space="preserve"> ED visits</w:t>
            </w:r>
          </w:p>
        </w:tc>
        <w:tc>
          <w:tcPr>
            <w:tcW w:w="1502" w:type="dxa"/>
            <w:vAlign w:val="center"/>
          </w:tcPr>
          <w:p w14:paraId="43177865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767297D3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-0.490</w:t>
            </w:r>
          </w:p>
        </w:tc>
        <w:tc>
          <w:tcPr>
            <w:tcW w:w="1502" w:type="dxa"/>
            <w:vAlign w:val="center"/>
          </w:tcPr>
          <w:p w14:paraId="25377164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38.74% lower</w:t>
            </w:r>
          </w:p>
        </w:tc>
        <w:tc>
          <w:tcPr>
            <w:tcW w:w="1503" w:type="dxa"/>
            <w:vAlign w:val="center"/>
          </w:tcPr>
          <w:p w14:paraId="5B05C6FE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63.24% higher</w:t>
            </w:r>
          </w:p>
        </w:tc>
        <w:tc>
          <w:tcPr>
            <w:tcW w:w="1503" w:type="dxa"/>
            <w:vAlign w:val="center"/>
          </w:tcPr>
          <w:p w14:paraId="07AFEAEC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1D06BC34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1F1F7734" w14:textId="5720CBE3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</w:t>
            </w:r>
            <w:r>
              <w:rPr>
                <w:rFonts w:ascii="Arial" w:eastAsia="Times New Roman" w:hAnsi="Arial" w:cs="Calibri"/>
                <w:lang w:eastAsia="en-GB"/>
              </w:rPr>
              <w:t>related</w:t>
            </w:r>
            <w:r w:rsidRPr="00192E4B">
              <w:rPr>
                <w:rFonts w:ascii="Arial" w:eastAsia="Times New Roman" w:hAnsi="Arial" w:cs="Calibri"/>
                <w:lang w:eastAsia="en-GB"/>
              </w:rPr>
              <w:t xml:space="preserve"> hospitalization visits</w:t>
            </w:r>
          </w:p>
        </w:tc>
        <w:tc>
          <w:tcPr>
            <w:tcW w:w="1502" w:type="dxa"/>
            <w:vAlign w:val="center"/>
          </w:tcPr>
          <w:p w14:paraId="152CBF11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70AAA9FE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-0.362</w:t>
            </w:r>
          </w:p>
        </w:tc>
        <w:tc>
          <w:tcPr>
            <w:tcW w:w="1502" w:type="dxa"/>
            <w:vAlign w:val="center"/>
          </w:tcPr>
          <w:p w14:paraId="5E4865AA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30.36% lower</w:t>
            </w:r>
          </w:p>
        </w:tc>
        <w:tc>
          <w:tcPr>
            <w:tcW w:w="1503" w:type="dxa"/>
            <w:vAlign w:val="center"/>
          </w:tcPr>
          <w:p w14:paraId="1A711648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43.61% higher</w:t>
            </w:r>
          </w:p>
        </w:tc>
        <w:tc>
          <w:tcPr>
            <w:tcW w:w="1503" w:type="dxa"/>
            <w:vAlign w:val="center"/>
          </w:tcPr>
          <w:p w14:paraId="7F7094BB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4E9D7FAA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266ECA85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Oral and IV corticosteroid usage</w:t>
            </w:r>
          </w:p>
        </w:tc>
        <w:tc>
          <w:tcPr>
            <w:tcW w:w="1502" w:type="dxa"/>
            <w:vAlign w:val="center"/>
          </w:tcPr>
          <w:p w14:paraId="035C0991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7CE7AA75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-0.356</w:t>
            </w:r>
          </w:p>
        </w:tc>
        <w:tc>
          <w:tcPr>
            <w:tcW w:w="1502" w:type="dxa"/>
            <w:vAlign w:val="center"/>
          </w:tcPr>
          <w:p w14:paraId="5E833FD7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29.94% lower</w:t>
            </w:r>
          </w:p>
        </w:tc>
        <w:tc>
          <w:tcPr>
            <w:tcW w:w="1503" w:type="dxa"/>
            <w:vAlign w:val="center"/>
          </w:tcPr>
          <w:p w14:paraId="6C350653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42.74% higher</w:t>
            </w:r>
          </w:p>
        </w:tc>
        <w:tc>
          <w:tcPr>
            <w:tcW w:w="1503" w:type="dxa"/>
            <w:vAlign w:val="center"/>
          </w:tcPr>
          <w:p w14:paraId="49409B95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2AB6EEEE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0B37831D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All-cause hospital visits</w:t>
            </w:r>
          </w:p>
        </w:tc>
        <w:tc>
          <w:tcPr>
            <w:tcW w:w="1502" w:type="dxa"/>
            <w:vAlign w:val="center"/>
          </w:tcPr>
          <w:p w14:paraId="6BADA7A7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0005B3BF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-0.501</w:t>
            </w:r>
          </w:p>
        </w:tc>
        <w:tc>
          <w:tcPr>
            <w:tcW w:w="1502" w:type="dxa"/>
            <w:vAlign w:val="center"/>
          </w:tcPr>
          <w:p w14:paraId="75CD6673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39.44% lower</w:t>
            </w:r>
          </w:p>
        </w:tc>
        <w:tc>
          <w:tcPr>
            <w:tcW w:w="1503" w:type="dxa"/>
            <w:vAlign w:val="center"/>
          </w:tcPr>
          <w:p w14:paraId="63E02F3B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65.11% higher</w:t>
            </w:r>
          </w:p>
        </w:tc>
        <w:tc>
          <w:tcPr>
            <w:tcW w:w="1503" w:type="dxa"/>
            <w:vAlign w:val="center"/>
          </w:tcPr>
          <w:p w14:paraId="2A80CFF7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5D934CE8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46F8DCC7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All-cause length of hospital stays</w:t>
            </w:r>
          </w:p>
        </w:tc>
        <w:tc>
          <w:tcPr>
            <w:tcW w:w="1502" w:type="dxa"/>
            <w:vAlign w:val="center"/>
          </w:tcPr>
          <w:p w14:paraId="543AA099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Effect size</w:t>
            </w:r>
          </w:p>
        </w:tc>
        <w:tc>
          <w:tcPr>
            <w:tcW w:w="1503" w:type="dxa"/>
            <w:vAlign w:val="center"/>
          </w:tcPr>
          <w:p w14:paraId="682FF368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-1.026</w:t>
            </w:r>
          </w:p>
        </w:tc>
        <w:tc>
          <w:tcPr>
            <w:tcW w:w="1502" w:type="dxa"/>
            <w:vAlign w:val="center"/>
          </w:tcPr>
          <w:p w14:paraId="1299D738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32E22B2E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299F4127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</w:tr>
      <w:tr w:rsidR="00192E4B" w:rsidRPr="00192E4B" w14:paraId="239D844C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76FA5504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All-cause ED visits</w:t>
            </w:r>
          </w:p>
        </w:tc>
        <w:tc>
          <w:tcPr>
            <w:tcW w:w="1502" w:type="dxa"/>
            <w:vAlign w:val="center"/>
          </w:tcPr>
          <w:p w14:paraId="7C9C7A81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1A14910A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-0.534</w:t>
            </w:r>
          </w:p>
        </w:tc>
        <w:tc>
          <w:tcPr>
            <w:tcW w:w="1502" w:type="dxa"/>
            <w:vAlign w:val="center"/>
          </w:tcPr>
          <w:p w14:paraId="220CEEF2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41.37% lower</w:t>
            </w:r>
          </w:p>
        </w:tc>
        <w:tc>
          <w:tcPr>
            <w:tcW w:w="1503" w:type="dxa"/>
            <w:vAlign w:val="center"/>
          </w:tcPr>
          <w:p w14:paraId="65378A3C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70.56% higher</w:t>
            </w:r>
          </w:p>
        </w:tc>
        <w:tc>
          <w:tcPr>
            <w:tcW w:w="1503" w:type="dxa"/>
            <w:vAlign w:val="center"/>
          </w:tcPr>
          <w:p w14:paraId="1EBF1536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72FCA189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6CE91C9E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Asthma-related hospital visits</w:t>
            </w:r>
          </w:p>
        </w:tc>
        <w:tc>
          <w:tcPr>
            <w:tcW w:w="1502" w:type="dxa"/>
            <w:vAlign w:val="center"/>
          </w:tcPr>
          <w:p w14:paraId="45FBBE67" w14:textId="7E9FFA2B" w:rsidR="00192E4B" w:rsidRPr="00192E4B" w:rsidRDefault="0037326F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65C4498F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-0.313</w:t>
            </w:r>
          </w:p>
        </w:tc>
        <w:tc>
          <w:tcPr>
            <w:tcW w:w="1502" w:type="dxa"/>
            <w:vAlign w:val="center"/>
          </w:tcPr>
          <w:p w14:paraId="3646F27A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26.87% lower</w:t>
            </w:r>
          </w:p>
        </w:tc>
        <w:tc>
          <w:tcPr>
            <w:tcW w:w="1503" w:type="dxa"/>
            <w:vAlign w:val="center"/>
          </w:tcPr>
          <w:p w14:paraId="5AD11201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36.74% higher</w:t>
            </w:r>
          </w:p>
        </w:tc>
        <w:tc>
          <w:tcPr>
            <w:tcW w:w="1503" w:type="dxa"/>
            <w:vAlign w:val="center"/>
          </w:tcPr>
          <w:p w14:paraId="21AC887B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68B16F97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60CDF037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Asthma-related length of hospital stays</w:t>
            </w:r>
          </w:p>
        </w:tc>
        <w:tc>
          <w:tcPr>
            <w:tcW w:w="1502" w:type="dxa"/>
            <w:vAlign w:val="center"/>
          </w:tcPr>
          <w:p w14:paraId="57855A1A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Effect size</w:t>
            </w:r>
          </w:p>
        </w:tc>
        <w:tc>
          <w:tcPr>
            <w:tcW w:w="1503" w:type="dxa"/>
            <w:vAlign w:val="center"/>
          </w:tcPr>
          <w:p w14:paraId="31DE7568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-0.142</w:t>
            </w:r>
          </w:p>
        </w:tc>
        <w:tc>
          <w:tcPr>
            <w:tcW w:w="1502" w:type="dxa"/>
            <w:vAlign w:val="center"/>
          </w:tcPr>
          <w:p w14:paraId="3E4AE814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5AB6242D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1896B52E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</w:tr>
      <w:tr w:rsidR="00192E4B" w:rsidRPr="00192E4B" w14:paraId="1E542639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7A12D170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Asthma-related ED visits</w:t>
            </w:r>
          </w:p>
        </w:tc>
        <w:tc>
          <w:tcPr>
            <w:tcW w:w="1502" w:type="dxa"/>
            <w:vAlign w:val="center"/>
          </w:tcPr>
          <w:p w14:paraId="3EF9B0DF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RR</w:t>
            </w:r>
          </w:p>
        </w:tc>
        <w:tc>
          <w:tcPr>
            <w:tcW w:w="1503" w:type="dxa"/>
            <w:vAlign w:val="center"/>
          </w:tcPr>
          <w:p w14:paraId="0C03262B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-0.490</w:t>
            </w:r>
          </w:p>
        </w:tc>
        <w:tc>
          <w:tcPr>
            <w:tcW w:w="1502" w:type="dxa"/>
            <w:vAlign w:val="center"/>
          </w:tcPr>
          <w:p w14:paraId="6FDBFA36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38.74% lower</w:t>
            </w:r>
          </w:p>
        </w:tc>
        <w:tc>
          <w:tcPr>
            <w:tcW w:w="1503" w:type="dxa"/>
            <w:vAlign w:val="center"/>
          </w:tcPr>
          <w:p w14:paraId="651AEB77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63.24% higher</w:t>
            </w:r>
          </w:p>
        </w:tc>
        <w:tc>
          <w:tcPr>
            <w:tcW w:w="1503" w:type="dxa"/>
            <w:vAlign w:val="center"/>
          </w:tcPr>
          <w:p w14:paraId="54C82C31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highlight w:val="yellow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&lt;0.001</w:t>
            </w:r>
          </w:p>
        </w:tc>
      </w:tr>
      <w:tr w:rsidR="00192E4B" w:rsidRPr="00192E4B" w14:paraId="5FDDA89F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1D4B2B0E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All-cause pharmacy event-specific costs</w:t>
            </w:r>
          </w:p>
        </w:tc>
        <w:tc>
          <w:tcPr>
            <w:tcW w:w="1502" w:type="dxa"/>
            <w:vAlign w:val="center"/>
          </w:tcPr>
          <w:p w14:paraId="67BF8376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Effect size</w:t>
            </w:r>
          </w:p>
        </w:tc>
        <w:tc>
          <w:tcPr>
            <w:tcW w:w="1503" w:type="dxa"/>
            <w:vAlign w:val="center"/>
          </w:tcPr>
          <w:p w14:paraId="39233BBB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176,704</w:t>
            </w:r>
          </w:p>
        </w:tc>
        <w:tc>
          <w:tcPr>
            <w:tcW w:w="1502" w:type="dxa"/>
            <w:vAlign w:val="center"/>
          </w:tcPr>
          <w:p w14:paraId="17B74410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6CBAC618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544E6DF8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</w:tr>
      <w:tr w:rsidR="00192E4B" w:rsidRPr="00192E4B" w14:paraId="16992E05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559ABA52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All-cause pharmacy event-specific costs (excluding biologics)</w:t>
            </w:r>
          </w:p>
        </w:tc>
        <w:tc>
          <w:tcPr>
            <w:tcW w:w="1502" w:type="dxa"/>
            <w:vAlign w:val="center"/>
          </w:tcPr>
          <w:p w14:paraId="2BEABE79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Effect size</w:t>
            </w:r>
          </w:p>
        </w:tc>
        <w:tc>
          <w:tcPr>
            <w:tcW w:w="1503" w:type="dxa"/>
            <w:vAlign w:val="center"/>
          </w:tcPr>
          <w:p w14:paraId="6799E3E6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-50,842</w:t>
            </w:r>
          </w:p>
        </w:tc>
        <w:tc>
          <w:tcPr>
            <w:tcW w:w="1502" w:type="dxa"/>
            <w:vAlign w:val="center"/>
          </w:tcPr>
          <w:p w14:paraId="15C8D463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548887AC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14C9A3AF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</w:tr>
      <w:tr w:rsidR="00192E4B" w:rsidRPr="00192E4B" w14:paraId="1144FC40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0D872733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Asthma-related pharmacy event-specific costs</w:t>
            </w:r>
          </w:p>
        </w:tc>
        <w:tc>
          <w:tcPr>
            <w:tcW w:w="1502" w:type="dxa"/>
            <w:vAlign w:val="center"/>
          </w:tcPr>
          <w:p w14:paraId="14F7778B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Effect size</w:t>
            </w:r>
          </w:p>
        </w:tc>
        <w:tc>
          <w:tcPr>
            <w:tcW w:w="1503" w:type="dxa"/>
            <w:vAlign w:val="center"/>
          </w:tcPr>
          <w:p w14:paraId="74B1C2D2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-17,071</w:t>
            </w:r>
          </w:p>
        </w:tc>
        <w:tc>
          <w:tcPr>
            <w:tcW w:w="1502" w:type="dxa"/>
            <w:vAlign w:val="center"/>
          </w:tcPr>
          <w:p w14:paraId="628BDC63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2A92A399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569AF20F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</w:tr>
      <w:tr w:rsidR="00192E4B" w:rsidRPr="00192E4B" w14:paraId="7FDBC9C7" w14:textId="77777777" w:rsidTr="00243EC3">
        <w:trPr>
          <w:trHeight w:val="759"/>
        </w:trPr>
        <w:tc>
          <w:tcPr>
            <w:tcW w:w="6516" w:type="dxa"/>
            <w:vAlign w:val="center"/>
          </w:tcPr>
          <w:p w14:paraId="1E8DCBB7" w14:textId="77777777" w:rsidR="00192E4B" w:rsidRPr="00192E4B" w:rsidRDefault="00192E4B" w:rsidP="00192E4B">
            <w:pPr>
              <w:spacing w:line="360" w:lineRule="auto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Asthma-related pharmacy event-specific costs (excluding biologics)</w:t>
            </w:r>
          </w:p>
        </w:tc>
        <w:tc>
          <w:tcPr>
            <w:tcW w:w="1502" w:type="dxa"/>
            <w:vAlign w:val="center"/>
          </w:tcPr>
          <w:p w14:paraId="40CCE241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Effect size</w:t>
            </w:r>
          </w:p>
        </w:tc>
        <w:tc>
          <w:tcPr>
            <w:tcW w:w="1503" w:type="dxa"/>
            <w:vAlign w:val="center"/>
          </w:tcPr>
          <w:p w14:paraId="0F10A8FD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-17,250</w:t>
            </w:r>
          </w:p>
        </w:tc>
        <w:tc>
          <w:tcPr>
            <w:tcW w:w="1502" w:type="dxa"/>
            <w:vAlign w:val="center"/>
          </w:tcPr>
          <w:p w14:paraId="0D2FAF6E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7969C74E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  <w:tc>
          <w:tcPr>
            <w:tcW w:w="1503" w:type="dxa"/>
            <w:vAlign w:val="center"/>
          </w:tcPr>
          <w:p w14:paraId="6A0FEBF3" w14:textId="77777777" w:rsidR="00192E4B" w:rsidRPr="00192E4B" w:rsidRDefault="00192E4B" w:rsidP="00192E4B">
            <w:pPr>
              <w:spacing w:line="360" w:lineRule="auto"/>
              <w:jc w:val="center"/>
              <w:rPr>
                <w:rFonts w:ascii="Arial" w:eastAsia="Times New Roman" w:hAnsi="Arial" w:cs="Calibri"/>
                <w:lang w:eastAsia="en-GB"/>
              </w:rPr>
            </w:pPr>
            <w:r w:rsidRPr="00192E4B">
              <w:rPr>
                <w:rFonts w:ascii="Arial" w:eastAsia="Times New Roman" w:hAnsi="Arial" w:cs="Calibri"/>
                <w:lang w:eastAsia="en-GB"/>
              </w:rPr>
              <w:t>NA</w:t>
            </w:r>
          </w:p>
        </w:tc>
      </w:tr>
    </w:tbl>
    <w:p w14:paraId="27577422" w14:textId="77777777" w:rsidR="001F1313" w:rsidRDefault="001F1313" w:rsidP="00192E4B">
      <w:pPr>
        <w:tabs>
          <w:tab w:val="left" w:pos="1860"/>
        </w:tabs>
        <w:spacing w:after="220" w:line="480" w:lineRule="auto"/>
        <w:rPr>
          <w:rFonts w:ascii="Arial" w:eastAsia="Times New Roman" w:hAnsi="Arial" w:cs="Arial"/>
          <w:kern w:val="0"/>
          <w:sz w:val="22"/>
          <w:szCs w:val="22"/>
          <w:vertAlign w:val="superscript"/>
          <w:lang w:val="en-US" w:eastAsia="en-GB"/>
          <w14:ligatures w14:val="none"/>
        </w:rPr>
      </w:pPr>
    </w:p>
    <w:p w14:paraId="4F2976A5" w14:textId="77777777" w:rsidR="00477CD2" w:rsidRDefault="00192E4B" w:rsidP="001F1313">
      <w:pPr>
        <w:tabs>
          <w:tab w:val="left" w:pos="1860"/>
        </w:tabs>
        <w:spacing w:after="220" w:line="480" w:lineRule="auto"/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</w:pPr>
      <w:r w:rsidRPr="00192E4B">
        <w:rPr>
          <w:rFonts w:ascii="Arial" w:eastAsia="Times New Roman" w:hAnsi="Arial" w:cs="Arial"/>
          <w:kern w:val="0"/>
          <w:sz w:val="22"/>
          <w:szCs w:val="22"/>
          <w:vertAlign w:val="superscript"/>
          <w:lang w:val="en-US" w:eastAsia="en-GB"/>
          <w14:ligatures w14:val="none"/>
        </w:rPr>
        <w:t>a</w:t>
      </w:r>
      <w:r w:rsidRPr="00192E4B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All</w:t>
      </w: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 xml:space="preserve"> count outcomes from the simple regression analysis were reported as RRs, while the outcomes for continuous variables were reported as effect sizes; </w:t>
      </w:r>
      <w:r w:rsidRPr="00192E4B">
        <w:rPr>
          <w:rFonts w:ascii="Arial" w:eastAsia="Times New Roman" w:hAnsi="Arial" w:cs="Arial"/>
          <w:kern w:val="0"/>
          <w:sz w:val="22"/>
          <w:szCs w:val="22"/>
          <w:vertAlign w:val="superscript"/>
          <w:lang w:val="en-US" w:eastAsia="en-GB"/>
          <w14:ligatures w14:val="none"/>
        </w:rPr>
        <w:t>b</w:t>
      </w:r>
      <w:r w:rsidRPr="00192E4B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the</w:t>
      </w: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 xml:space="preserve"> expression 1−exp(RR) provides the percentage change in the rate of cumulative event visits during periods of treatment adherence compared with periods of non-adherence, as determined by the RR; </w:t>
      </w:r>
      <w:r w:rsidRPr="00192E4B">
        <w:rPr>
          <w:rFonts w:ascii="Arial" w:eastAsia="Times New Roman" w:hAnsi="Arial" w:cs="Arial"/>
          <w:kern w:val="0"/>
          <w:sz w:val="22"/>
          <w:szCs w:val="22"/>
          <w:vertAlign w:val="superscript"/>
          <w:lang w:val="en-US" w:eastAsia="en-GB"/>
          <w14:ligatures w14:val="none"/>
        </w:rPr>
        <w:t>c</w:t>
      </w:r>
      <w:r w:rsidRPr="00192E4B">
        <w:rPr>
          <w:rFonts w:ascii="Arial" w:eastAsia="Times New Roman" w:hAnsi="Arial" w:cs="Arial"/>
          <w:kern w:val="0"/>
          <w:sz w:val="22"/>
          <w:szCs w:val="22"/>
          <w:lang w:val="en-US" w:eastAsia="en-GB"/>
          <w14:ligatures w14:val="none"/>
        </w:rPr>
        <w:t>the</w:t>
      </w: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 xml:space="preserve"> expression exp(-RR)-1 provides the percentage change in the rate of cumulative event visits during periods of treatment non-adherence compared with periods of adherence, as determined by the negative of RR.</w:t>
      </w:r>
    </w:p>
    <w:p w14:paraId="68158839" w14:textId="3A2F99BB" w:rsidR="00042198" w:rsidRDefault="00192E4B" w:rsidP="001F1313">
      <w:pPr>
        <w:tabs>
          <w:tab w:val="left" w:pos="1860"/>
        </w:tabs>
        <w:spacing w:after="220" w:line="480" w:lineRule="auto"/>
      </w:pP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ED, emergency department; IV, intravenous</w:t>
      </w:r>
      <w:r w:rsidRPr="00192E4B">
        <w:rPr>
          <w:rFonts w:ascii="Arial" w:eastAsia="Times New Roman" w:hAnsi="Arial" w:cs="Arial"/>
          <w:kern w:val="0"/>
          <w:sz w:val="22"/>
          <w:lang w:val="en-US" w:eastAsia="en-GB"/>
          <w14:ligatures w14:val="none"/>
        </w:rPr>
        <w:t xml:space="preserve">; NA, not applicable; </w:t>
      </w:r>
      <w:r w:rsidRPr="00192E4B">
        <w:rPr>
          <w:rFonts w:ascii="Arial" w:eastAsia="Times New Roman" w:hAnsi="Arial" w:cs="Calibri"/>
          <w:kern w:val="0"/>
          <w:sz w:val="22"/>
          <w:lang w:val="en-US" w:eastAsia="en-GB"/>
          <w14:ligatures w14:val="none"/>
        </w:rPr>
        <w:t>RR, rate ratio.</w:t>
      </w:r>
    </w:p>
    <w:sectPr w:rsidR="00042198" w:rsidSect="00192E4B">
      <w:pgSz w:w="16840" w:h="11907" w:orient="landscape" w:code="9"/>
      <w:pgMar w:top="1440" w:right="1701" w:bottom="1440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B2B4" w14:textId="77777777" w:rsidR="00576AE9" w:rsidRDefault="00576AE9" w:rsidP="00751C29">
      <w:pPr>
        <w:spacing w:after="0" w:line="240" w:lineRule="auto"/>
      </w:pPr>
      <w:r>
        <w:separator/>
      </w:r>
    </w:p>
  </w:endnote>
  <w:endnote w:type="continuationSeparator" w:id="0">
    <w:p w14:paraId="3350F821" w14:textId="77777777" w:rsidR="00576AE9" w:rsidRDefault="00576AE9" w:rsidP="0075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66B0" w14:textId="6BE99D3C" w:rsidR="00751C29" w:rsidRDefault="00751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42056C" wp14:editId="513B72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349885"/>
              <wp:effectExtent l="0" t="0" r="16510" b="0"/>
              <wp:wrapNone/>
              <wp:docPr id="12243942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C7DFF" w14:textId="6CBA653E" w:rsidR="00751C29" w:rsidRPr="00751C29" w:rsidRDefault="00751C29" w:rsidP="00751C2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1C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205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7pt;height:27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53C7DFF" w14:textId="6CBA653E" w:rsidR="00751C29" w:rsidRPr="00751C29" w:rsidRDefault="00751C29" w:rsidP="00751C2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1C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6193" w14:textId="33B0B92C" w:rsidR="00751C29" w:rsidRDefault="00751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BC9B23" wp14:editId="205EA3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349885"/>
              <wp:effectExtent l="0" t="0" r="16510" b="0"/>
              <wp:wrapNone/>
              <wp:docPr id="45639436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97617" w14:textId="50542865" w:rsidR="00751C29" w:rsidRPr="00751C29" w:rsidRDefault="00751C29" w:rsidP="00751C2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1C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C9B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7pt;height:27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E997617" w14:textId="50542865" w:rsidR="00751C29" w:rsidRPr="00751C29" w:rsidRDefault="00751C29" w:rsidP="00751C2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1C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5E14" w14:textId="5D8D43C1" w:rsidR="00751C29" w:rsidRDefault="00751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6D2845" wp14:editId="706E9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8990" cy="349885"/>
              <wp:effectExtent l="0" t="0" r="16510" b="0"/>
              <wp:wrapNone/>
              <wp:docPr id="3664223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899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CBAFC" w14:textId="006E26A0" w:rsidR="00751C29" w:rsidRPr="00751C29" w:rsidRDefault="00751C29" w:rsidP="00751C2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1C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D28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7pt;height:27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10CBAFC" w14:textId="006E26A0" w:rsidR="00751C29" w:rsidRPr="00751C29" w:rsidRDefault="00751C29" w:rsidP="00751C2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1C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9DDD" w14:textId="77777777" w:rsidR="00576AE9" w:rsidRDefault="00576AE9" w:rsidP="00751C29">
      <w:pPr>
        <w:spacing w:after="0" w:line="240" w:lineRule="auto"/>
      </w:pPr>
      <w:r>
        <w:separator/>
      </w:r>
    </w:p>
  </w:footnote>
  <w:footnote w:type="continuationSeparator" w:id="0">
    <w:p w14:paraId="6D23039B" w14:textId="77777777" w:rsidR="00576AE9" w:rsidRDefault="00576AE9" w:rsidP="00751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4B"/>
    <w:rsid w:val="00042198"/>
    <w:rsid w:val="00192E4B"/>
    <w:rsid w:val="001F1313"/>
    <w:rsid w:val="0022791D"/>
    <w:rsid w:val="0037326F"/>
    <w:rsid w:val="003A1EFB"/>
    <w:rsid w:val="00477CD2"/>
    <w:rsid w:val="00576AE9"/>
    <w:rsid w:val="00594991"/>
    <w:rsid w:val="00751C29"/>
    <w:rsid w:val="0080039D"/>
    <w:rsid w:val="009D2394"/>
    <w:rsid w:val="00AA4CA5"/>
    <w:rsid w:val="00DA276C"/>
    <w:rsid w:val="00E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4621"/>
  <w15:chartTrackingRefBased/>
  <w15:docId w15:val="{CED4AAB2-13A5-43D5-9DA6-CF3B1E3F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E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E4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92E4B"/>
  </w:style>
  <w:style w:type="paragraph" w:styleId="Revision">
    <w:name w:val="Revision"/>
    <w:hidden/>
    <w:uiPriority w:val="99"/>
    <w:semiHidden/>
    <w:rsid w:val="00192E4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51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3.tmp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d40fa44-05dd-4301-91b0-81b668a97c30}" enabled="1" method="Standard" siteId="{4a33c544-865e-44a4-836f-bc51800f6c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Avalere Health</dc:creator>
  <cp:keywords/>
  <dc:description/>
  <cp:lastModifiedBy>Lee, Boon</cp:lastModifiedBy>
  <cp:revision>2</cp:revision>
  <dcterms:created xsi:type="dcterms:W3CDTF">2026-06-03T22:37:00Z</dcterms:created>
  <dcterms:modified xsi:type="dcterms:W3CDTF">2026-06-03T22:37:00Z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15d7292e,48fac5f2,1b340681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2026-06-03T22:37:59Z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fbcce5ed-d4e4-4eae-83e7-b11e3e2fc4c9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