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BF65" w14:textId="77777777" w:rsidR="00A70409" w:rsidRPr="00A956B3" w:rsidRDefault="000A2353" w:rsidP="00A70409">
      <w:pPr>
        <w:rPr>
          <w:rFonts w:ascii="Times New Roman" w:hAnsi="Times New Roman" w:cs="Times New Roman"/>
          <w:color w:val="000000" w:themeColor="text1"/>
        </w:rPr>
      </w:pPr>
      <w:r w:rsidRPr="00A956B3">
        <w:rPr>
          <w:rFonts w:ascii="Times New Roman" w:hAnsi="Times New Roman" w:cs="Times New Roman"/>
          <w:color w:val="000000" w:themeColor="text1"/>
        </w:rPr>
        <w:t>Supplementary material</w:t>
      </w:r>
    </w:p>
    <w:p w14:paraId="2BF829AF" w14:textId="6969E0B0" w:rsidR="000A2353" w:rsidRPr="00A956B3" w:rsidRDefault="000A2353" w:rsidP="00A70409">
      <w:pPr>
        <w:rPr>
          <w:rFonts w:ascii="Times New Roman" w:hAnsi="Times New Roman" w:cs="Times New Roman"/>
          <w:color w:val="000000" w:themeColor="text1"/>
        </w:rPr>
      </w:pPr>
      <w:r w:rsidRPr="00A956B3">
        <w:rPr>
          <w:rFonts w:ascii="Times New Roman" w:hAnsi="Times New Roman" w:cs="Times New Roman"/>
          <w:b/>
          <w:color w:val="000000" w:themeColor="text1"/>
        </w:rPr>
        <w:t>Supplementary table 1</w:t>
      </w:r>
      <w:r w:rsidRPr="00A956B3">
        <w:rPr>
          <w:rFonts w:ascii="Times New Roman" w:hAnsi="Times New Roman" w:cs="Times New Roman"/>
          <w:color w:val="000000" w:themeColor="text1"/>
        </w:rPr>
        <w:t xml:space="preserve">: Definition and timing of measurement of </w:t>
      </w:r>
      <w:r w:rsidR="00AC6C6A" w:rsidRPr="00A956B3">
        <w:rPr>
          <w:rFonts w:ascii="Times New Roman" w:hAnsi="Times New Roman" w:cs="Times New Roman"/>
          <w:color w:val="000000" w:themeColor="text1"/>
        </w:rPr>
        <w:t xml:space="preserve">selected </w:t>
      </w:r>
      <w:r w:rsidRPr="00A956B3">
        <w:rPr>
          <w:rFonts w:ascii="Times New Roman" w:hAnsi="Times New Roman" w:cs="Times New Roman"/>
          <w:color w:val="000000" w:themeColor="text1"/>
        </w:rPr>
        <w:t xml:space="preserve">predictors </w:t>
      </w:r>
      <w:r w:rsidR="00D74C79" w:rsidRPr="00A956B3">
        <w:rPr>
          <w:rFonts w:ascii="Times New Roman" w:hAnsi="Times New Roman" w:cs="Times New Roman"/>
          <w:color w:val="000000" w:themeColor="text1"/>
        </w:rPr>
        <w:t>in</w:t>
      </w:r>
      <w:r w:rsidRPr="00A956B3">
        <w:rPr>
          <w:rFonts w:ascii="Times New Roman" w:hAnsi="Times New Roman" w:cs="Times New Roman"/>
          <w:color w:val="000000" w:themeColor="text1"/>
        </w:rPr>
        <w:t xml:space="preserve"> Gen3G and Project Viva cohorts</w:t>
      </w:r>
    </w:p>
    <w:tbl>
      <w:tblPr>
        <w:tblStyle w:val="TableGrid"/>
        <w:tblW w:w="9580" w:type="dxa"/>
        <w:tblLayout w:type="fixed"/>
        <w:tblLook w:val="04A0" w:firstRow="1" w:lastRow="0" w:firstColumn="1" w:lastColumn="0" w:noHBand="0" w:noVBand="1"/>
      </w:tblPr>
      <w:tblGrid>
        <w:gridCol w:w="1456"/>
        <w:gridCol w:w="2934"/>
        <w:gridCol w:w="2563"/>
        <w:gridCol w:w="1406"/>
        <w:gridCol w:w="1221"/>
      </w:tblGrid>
      <w:tr w:rsidR="00A956B3" w:rsidRPr="00A956B3" w14:paraId="580047AE" w14:textId="77777777" w:rsidTr="0079107A">
        <w:trPr>
          <w:trHeight w:val="201"/>
        </w:trPr>
        <w:tc>
          <w:tcPr>
            <w:tcW w:w="1456" w:type="dxa"/>
            <w:vMerge w:val="restart"/>
            <w:vAlign w:val="center"/>
          </w:tcPr>
          <w:p w14:paraId="6A63F33E"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Predictors</w:t>
            </w:r>
          </w:p>
        </w:tc>
        <w:tc>
          <w:tcPr>
            <w:tcW w:w="5497" w:type="dxa"/>
            <w:gridSpan w:val="2"/>
            <w:vAlign w:val="center"/>
          </w:tcPr>
          <w:p w14:paraId="1777751B" w14:textId="77777777" w:rsidR="000A2353" w:rsidRPr="00A956B3" w:rsidRDefault="000A2353" w:rsidP="00CE4906">
            <w:pPr>
              <w:jc w:val="center"/>
              <w:rPr>
                <w:rFonts w:ascii="Times New Roman" w:hAnsi="Times New Roman" w:cs="Times New Roman"/>
                <w:b/>
                <w:bCs/>
                <w:color w:val="000000" w:themeColor="text1"/>
                <w:sz w:val="20"/>
                <w:szCs w:val="20"/>
                <w:lang w:val="en-CA"/>
              </w:rPr>
            </w:pPr>
            <w:r w:rsidRPr="00A956B3">
              <w:rPr>
                <w:rFonts w:ascii="Times New Roman" w:hAnsi="Times New Roman" w:cs="Times New Roman"/>
                <w:color w:val="000000" w:themeColor="text1"/>
                <w:sz w:val="20"/>
                <w:szCs w:val="20"/>
                <w:lang w:val="en-CA"/>
              </w:rPr>
              <w:t>Definition/diagnosis</w:t>
            </w:r>
          </w:p>
        </w:tc>
        <w:tc>
          <w:tcPr>
            <w:tcW w:w="2627" w:type="dxa"/>
            <w:gridSpan w:val="2"/>
            <w:vAlign w:val="center"/>
          </w:tcPr>
          <w:p w14:paraId="5CD44FA5"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Timing</w:t>
            </w:r>
          </w:p>
        </w:tc>
      </w:tr>
      <w:tr w:rsidR="00A956B3" w:rsidRPr="00A956B3" w14:paraId="683D73A1" w14:textId="77777777" w:rsidTr="0079107A">
        <w:trPr>
          <w:trHeight w:val="219"/>
        </w:trPr>
        <w:tc>
          <w:tcPr>
            <w:tcW w:w="1456" w:type="dxa"/>
            <w:vMerge/>
            <w:vAlign w:val="center"/>
          </w:tcPr>
          <w:p w14:paraId="1DCAB6C7" w14:textId="77777777" w:rsidR="000A2353" w:rsidRPr="00A956B3" w:rsidRDefault="000A2353" w:rsidP="00CE4906">
            <w:pPr>
              <w:rPr>
                <w:rFonts w:ascii="Times New Roman" w:hAnsi="Times New Roman" w:cs="Times New Roman"/>
                <w:color w:val="000000" w:themeColor="text1"/>
                <w:sz w:val="20"/>
                <w:szCs w:val="20"/>
                <w:lang w:val="en-CA"/>
              </w:rPr>
            </w:pPr>
          </w:p>
        </w:tc>
        <w:tc>
          <w:tcPr>
            <w:tcW w:w="2934" w:type="dxa"/>
            <w:vAlign w:val="center"/>
          </w:tcPr>
          <w:p w14:paraId="04D2BE99"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Gen3G</w:t>
            </w:r>
          </w:p>
        </w:tc>
        <w:tc>
          <w:tcPr>
            <w:tcW w:w="2563" w:type="dxa"/>
            <w:vAlign w:val="center"/>
          </w:tcPr>
          <w:p w14:paraId="23E69FF1"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Project Viva</w:t>
            </w:r>
          </w:p>
        </w:tc>
        <w:tc>
          <w:tcPr>
            <w:tcW w:w="1406" w:type="dxa"/>
            <w:vAlign w:val="center"/>
          </w:tcPr>
          <w:p w14:paraId="6192A868"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Gen3G</w:t>
            </w:r>
          </w:p>
        </w:tc>
        <w:tc>
          <w:tcPr>
            <w:tcW w:w="1221" w:type="dxa"/>
            <w:vAlign w:val="center"/>
          </w:tcPr>
          <w:p w14:paraId="52537F0A"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Project Viva</w:t>
            </w:r>
          </w:p>
        </w:tc>
      </w:tr>
      <w:tr w:rsidR="00A956B3" w:rsidRPr="00A956B3" w14:paraId="79D2CDC7" w14:textId="77777777" w:rsidTr="0079107A">
        <w:trPr>
          <w:trHeight w:val="201"/>
        </w:trPr>
        <w:tc>
          <w:tcPr>
            <w:tcW w:w="9580" w:type="dxa"/>
            <w:gridSpan w:val="5"/>
            <w:vAlign w:val="center"/>
          </w:tcPr>
          <w:p w14:paraId="1889CEE4"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i/>
                <w:iCs/>
                <w:color w:val="000000" w:themeColor="text1"/>
                <w:sz w:val="20"/>
                <w:szCs w:val="20"/>
                <w:lang w:val="en-CA"/>
              </w:rPr>
              <w:t>Demographic factors</w:t>
            </w:r>
          </w:p>
        </w:tc>
      </w:tr>
      <w:tr w:rsidR="00A956B3" w:rsidRPr="00A956B3" w14:paraId="5994719E" w14:textId="77777777" w:rsidTr="0079107A">
        <w:trPr>
          <w:trHeight w:val="122"/>
        </w:trPr>
        <w:tc>
          <w:tcPr>
            <w:tcW w:w="1456" w:type="dxa"/>
            <w:vAlign w:val="center"/>
          </w:tcPr>
          <w:p w14:paraId="272D3A0A" w14:textId="1EF74C4F" w:rsidR="000A2353" w:rsidRPr="00A956B3" w:rsidRDefault="00885187"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Race and ethnicity</w:t>
            </w:r>
          </w:p>
        </w:tc>
        <w:tc>
          <w:tcPr>
            <w:tcW w:w="2934" w:type="dxa"/>
            <w:vMerge w:val="restart"/>
            <w:vAlign w:val="center"/>
          </w:tcPr>
          <w:p w14:paraId="0D185718" w14:textId="77777777" w:rsidR="000A2353" w:rsidRPr="00A956B3" w:rsidRDefault="000A2353" w:rsidP="00CE4906">
            <w:pPr>
              <w:jc w:val="center"/>
              <w:rPr>
                <w:rFonts w:ascii="Times New Roman" w:hAnsi="Times New Roman" w:cs="Times New Roman"/>
                <w:color w:val="000000" w:themeColor="text1"/>
                <w:sz w:val="20"/>
                <w:szCs w:val="20"/>
                <w:highlight w:val="lightGray"/>
                <w:lang w:val="en-CA"/>
              </w:rPr>
            </w:pPr>
            <w:r w:rsidRPr="00A956B3">
              <w:rPr>
                <w:rFonts w:ascii="Times New Roman" w:hAnsi="Times New Roman" w:cs="Times New Roman"/>
                <w:bCs/>
                <w:color w:val="000000" w:themeColor="text1"/>
                <w:sz w:val="20"/>
                <w:szCs w:val="20"/>
                <w:lang w:val="en-CA"/>
              </w:rPr>
              <w:t>Self-reported</w:t>
            </w:r>
          </w:p>
        </w:tc>
        <w:tc>
          <w:tcPr>
            <w:tcW w:w="2563" w:type="dxa"/>
            <w:vMerge w:val="restart"/>
            <w:vAlign w:val="center"/>
          </w:tcPr>
          <w:p w14:paraId="79D1F5CD"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lang w:val="en-CA"/>
              </w:rPr>
              <w:t>Self-reported</w:t>
            </w:r>
          </w:p>
        </w:tc>
        <w:tc>
          <w:tcPr>
            <w:tcW w:w="1406" w:type="dxa"/>
            <w:vMerge w:val="restart"/>
            <w:vAlign w:val="center"/>
          </w:tcPr>
          <w:p w14:paraId="06CFC19F" w14:textId="77777777" w:rsidR="000A2353" w:rsidRPr="00A956B3" w:rsidRDefault="000A2353" w:rsidP="00CE4906">
            <w:pPr>
              <w:jc w:val="center"/>
              <w:rPr>
                <w:rFonts w:ascii="Times New Roman" w:hAnsi="Times New Roman" w:cs="Times New Roman"/>
                <w:color w:val="000000" w:themeColor="text1"/>
                <w:sz w:val="20"/>
                <w:szCs w:val="20"/>
                <w:highlight w:val="lightGray"/>
                <w:lang w:val="en-CA"/>
              </w:rPr>
            </w:pPr>
            <w:r w:rsidRPr="00A956B3">
              <w:rPr>
                <w:rFonts w:ascii="Times New Roman" w:hAnsi="Times New Roman" w:cs="Times New Roman"/>
                <w:color w:val="000000" w:themeColor="text1"/>
                <w:sz w:val="20"/>
                <w:szCs w:val="20"/>
                <w:lang w:val="en-CA"/>
              </w:rPr>
              <w:t>Baseline</w:t>
            </w:r>
          </w:p>
          <w:p w14:paraId="6B43A5E2" w14:textId="77777777" w:rsidR="000A2353" w:rsidRPr="00A956B3" w:rsidRDefault="000A2353" w:rsidP="00CE4906">
            <w:pPr>
              <w:jc w:val="center"/>
              <w:rPr>
                <w:rFonts w:ascii="Times New Roman" w:hAnsi="Times New Roman" w:cs="Times New Roman"/>
                <w:color w:val="000000" w:themeColor="text1"/>
                <w:sz w:val="20"/>
                <w:szCs w:val="20"/>
                <w:highlight w:val="lightGray"/>
                <w:lang w:val="en-CA"/>
              </w:rPr>
            </w:pPr>
          </w:p>
          <w:p w14:paraId="1D3FC6FD" w14:textId="77777777" w:rsidR="000A2353" w:rsidRPr="00A956B3" w:rsidRDefault="000A2353" w:rsidP="00CE4906">
            <w:pPr>
              <w:jc w:val="center"/>
              <w:rPr>
                <w:rFonts w:ascii="Times New Roman" w:hAnsi="Times New Roman" w:cs="Times New Roman"/>
                <w:color w:val="000000" w:themeColor="text1"/>
                <w:sz w:val="20"/>
                <w:szCs w:val="20"/>
                <w:highlight w:val="lightGray"/>
                <w:lang w:val="en-CA"/>
              </w:rPr>
            </w:pPr>
          </w:p>
        </w:tc>
        <w:tc>
          <w:tcPr>
            <w:tcW w:w="1221" w:type="dxa"/>
            <w:vMerge w:val="restart"/>
            <w:vAlign w:val="center"/>
          </w:tcPr>
          <w:p w14:paraId="32C1A35D"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Baseline</w:t>
            </w:r>
          </w:p>
          <w:p w14:paraId="49A4FD41" w14:textId="77777777" w:rsidR="000A2353" w:rsidRPr="00A956B3" w:rsidRDefault="000A2353" w:rsidP="00CE4906">
            <w:pPr>
              <w:jc w:val="center"/>
              <w:rPr>
                <w:rFonts w:ascii="Times New Roman" w:hAnsi="Times New Roman" w:cs="Times New Roman"/>
                <w:bCs/>
                <w:color w:val="000000" w:themeColor="text1"/>
                <w:sz w:val="20"/>
                <w:szCs w:val="20"/>
                <w:lang w:val="en-CA"/>
              </w:rPr>
            </w:pPr>
          </w:p>
        </w:tc>
      </w:tr>
      <w:tr w:rsidR="00A956B3" w:rsidRPr="00A956B3" w14:paraId="0DE934FF" w14:textId="77777777" w:rsidTr="0079107A">
        <w:trPr>
          <w:trHeight w:val="65"/>
        </w:trPr>
        <w:tc>
          <w:tcPr>
            <w:tcW w:w="1456" w:type="dxa"/>
            <w:vAlign w:val="center"/>
          </w:tcPr>
          <w:p w14:paraId="2ED78D6C"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Age</w:t>
            </w:r>
          </w:p>
        </w:tc>
        <w:tc>
          <w:tcPr>
            <w:tcW w:w="2934" w:type="dxa"/>
            <w:vMerge/>
            <w:vAlign w:val="center"/>
          </w:tcPr>
          <w:p w14:paraId="1E59259A" w14:textId="77777777" w:rsidR="000A2353" w:rsidRPr="00A956B3" w:rsidRDefault="000A2353" w:rsidP="00CE4906">
            <w:pPr>
              <w:jc w:val="center"/>
              <w:rPr>
                <w:rFonts w:ascii="Times New Roman" w:hAnsi="Times New Roman" w:cs="Times New Roman"/>
                <w:color w:val="000000" w:themeColor="text1"/>
                <w:sz w:val="20"/>
                <w:szCs w:val="20"/>
                <w:highlight w:val="lightGray"/>
                <w:lang w:val="en-CA"/>
              </w:rPr>
            </w:pPr>
          </w:p>
        </w:tc>
        <w:tc>
          <w:tcPr>
            <w:tcW w:w="2563" w:type="dxa"/>
            <w:vMerge/>
            <w:vAlign w:val="center"/>
          </w:tcPr>
          <w:p w14:paraId="5D0455B7" w14:textId="77777777" w:rsidR="000A2353" w:rsidRPr="00A956B3" w:rsidRDefault="000A2353" w:rsidP="00CE4906">
            <w:pPr>
              <w:jc w:val="center"/>
              <w:rPr>
                <w:rFonts w:ascii="Times New Roman" w:hAnsi="Times New Roman" w:cs="Times New Roman"/>
                <w:color w:val="000000" w:themeColor="text1"/>
                <w:sz w:val="20"/>
                <w:szCs w:val="20"/>
                <w:highlight w:val="lightGray"/>
                <w:lang w:val="en-CA"/>
              </w:rPr>
            </w:pPr>
          </w:p>
        </w:tc>
        <w:tc>
          <w:tcPr>
            <w:tcW w:w="1406" w:type="dxa"/>
            <w:vMerge/>
            <w:vAlign w:val="center"/>
          </w:tcPr>
          <w:p w14:paraId="0A594658" w14:textId="77777777" w:rsidR="000A2353" w:rsidRPr="00A956B3" w:rsidRDefault="000A2353" w:rsidP="00CE4906">
            <w:pPr>
              <w:jc w:val="center"/>
              <w:rPr>
                <w:rFonts w:ascii="Times New Roman" w:hAnsi="Times New Roman" w:cs="Times New Roman"/>
                <w:color w:val="000000" w:themeColor="text1"/>
                <w:sz w:val="20"/>
                <w:szCs w:val="20"/>
                <w:highlight w:val="lightGray"/>
                <w:lang w:val="en-CA"/>
              </w:rPr>
            </w:pPr>
          </w:p>
        </w:tc>
        <w:tc>
          <w:tcPr>
            <w:tcW w:w="1221" w:type="dxa"/>
            <w:vMerge/>
            <w:vAlign w:val="center"/>
          </w:tcPr>
          <w:p w14:paraId="1DEC50EC" w14:textId="77777777" w:rsidR="000A2353" w:rsidRPr="00A956B3" w:rsidRDefault="000A2353" w:rsidP="00CE4906">
            <w:pPr>
              <w:jc w:val="center"/>
              <w:rPr>
                <w:rFonts w:ascii="Times New Roman" w:hAnsi="Times New Roman" w:cs="Times New Roman"/>
                <w:color w:val="000000" w:themeColor="text1"/>
                <w:sz w:val="20"/>
                <w:szCs w:val="20"/>
                <w:lang w:val="en-CA"/>
              </w:rPr>
            </w:pPr>
          </w:p>
        </w:tc>
      </w:tr>
      <w:tr w:rsidR="00A956B3" w:rsidRPr="00A956B3" w14:paraId="29074F72" w14:textId="77777777" w:rsidTr="0079107A">
        <w:trPr>
          <w:trHeight w:val="74"/>
        </w:trPr>
        <w:tc>
          <w:tcPr>
            <w:tcW w:w="1456" w:type="dxa"/>
            <w:vAlign w:val="center"/>
          </w:tcPr>
          <w:p w14:paraId="46A2C426"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Smoking status</w:t>
            </w:r>
          </w:p>
        </w:tc>
        <w:tc>
          <w:tcPr>
            <w:tcW w:w="2934" w:type="dxa"/>
            <w:vMerge/>
            <w:vAlign w:val="center"/>
          </w:tcPr>
          <w:p w14:paraId="6D4BB168" w14:textId="77777777" w:rsidR="000A2353" w:rsidRPr="00A956B3" w:rsidRDefault="000A2353" w:rsidP="00CE4906">
            <w:pPr>
              <w:jc w:val="center"/>
              <w:rPr>
                <w:rFonts w:ascii="Times New Roman" w:hAnsi="Times New Roman" w:cs="Times New Roman"/>
                <w:color w:val="000000" w:themeColor="text1"/>
                <w:sz w:val="20"/>
                <w:szCs w:val="20"/>
                <w:highlight w:val="lightGray"/>
                <w:lang w:val="en-CA"/>
              </w:rPr>
            </w:pPr>
          </w:p>
        </w:tc>
        <w:tc>
          <w:tcPr>
            <w:tcW w:w="2563" w:type="dxa"/>
            <w:vMerge/>
            <w:vAlign w:val="center"/>
          </w:tcPr>
          <w:p w14:paraId="0BE1C730" w14:textId="77777777" w:rsidR="000A2353" w:rsidRPr="00A956B3" w:rsidRDefault="000A2353" w:rsidP="00CE4906">
            <w:pPr>
              <w:jc w:val="center"/>
              <w:rPr>
                <w:rFonts w:ascii="Times New Roman" w:hAnsi="Times New Roman" w:cs="Times New Roman"/>
                <w:color w:val="000000" w:themeColor="text1"/>
                <w:sz w:val="20"/>
                <w:szCs w:val="20"/>
                <w:highlight w:val="lightGray"/>
                <w:lang w:val="en-CA"/>
              </w:rPr>
            </w:pPr>
          </w:p>
        </w:tc>
        <w:tc>
          <w:tcPr>
            <w:tcW w:w="1406" w:type="dxa"/>
            <w:vMerge/>
            <w:vAlign w:val="center"/>
          </w:tcPr>
          <w:p w14:paraId="6FA33F32" w14:textId="77777777" w:rsidR="000A2353" w:rsidRPr="00A956B3" w:rsidRDefault="000A2353" w:rsidP="00CE4906">
            <w:pPr>
              <w:jc w:val="center"/>
              <w:rPr>
                <w:rFonts w:ascii="Times New Roman" w:hAnsi="Times New Roman" w:cs="Times New Roman"/>
                <w:color w:val="000000" w:themeColor="text1"/>
                <w:sz w:val="20"/>
                <w:szCs w:val="20"/>
                <w:highlight w:val="lightGray"/>
                <w:lang w:val="en-CA"/>
              </w:rPr>
            </w:pPr>
          </w:p>
        </w:tc>
        <w:tc>
          <w:tcPr>
            <w:tcW w:w="1221" w:type="dxa"/>
            <w:vMerge/>
            <w:vAlign w:val="center"/>
          </w:tcPr>
          <w:p w14:paraId="64BC5B4C" w14:textId="77777777" w:rsidR="000A2353" w:rsidRPr="00A956B3" w:rsidRDefault="000A2353" w:rsidP="00CE4906">
            <w:pPr>
              <w:jc w:val="center"/>
              <w:rPr>
                <w:rFonts w:ascii="Times New Roman" w:hAnsi="Times New Roman" w:cs="Times New Roman"/>
                <w:color w:val="000000" w:themeColor="text1"/>
                <w:sz w:val="20"/>
                <w:szCs w:val="20"/>
                <w:lang w:val="en-CA"/>
              </w:rPr>
            </w:pPr>
          </w:p>
        </w:tc>
      </w:tr>
      <w:tr w:rsidR="00A956B3" w:rsidRPr="00A956B3" w14:paraId="32A3F5A8" w14:textId="77777777" w:rsidTr="0079107A">
        <w:trPr>
          <w:trHeight w:val="161"/>
        </w:trPr>
        <w:tc>
          <w:tcPr>
            <w:tcW w:w="1456" w:type="dxa"/>
            <w:vAlign w:val="center"/>
          </w:tcPr>
          <w:p w14:paraId="187FA447"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Educational level</w:t>
            </w:r>
          </w:p>
        </w:tc>
        <w:tc>
          <w:tcPr>
            <w:tcW w:w="2934" w:type="dxa"/>
            <w:vMerge/>
            <w:vAlign w:val="center"/>
          </w:tcPr>
          <w:p w14:paraId="73CE05CA" w14:textId="77777777" w:rsidR="000A2353" w:rsidRPr="00A956B3" w:rsidRDefault="000A2353" w:rsidP="00CE4906">
            <w:pPr>
              <w:jc w:val="center"/>
              <w:rPr>
                <w:rFonts w:ascii="Times New Roman" w:hAnsi="Times New Roman" w:cs="Times New Roman"/>
                <w:color w:val="000000" w:themeColor="text1"/>
                <w:sz w:val="20"/>
                <w:szCs w:val="20"/>
                <w:lang w:val="en-CA"/>
              </w:rPr>
            </w:pPr>
          </w:p>
        </w:tc>
        <w:tc>
          <w:tcPr>
            <w:tcW w:w="2563" w:type="dxa"/>
            <w:vMerge/>
            <w:vAlign w:val="center"/>
          </w:tcPr>
          <w:p w14:paraId="41C119F5" w14:textId="77777777" w:rsidR="000A2353" w:rsidRPr="00A956B3" w:rsidRDefault="000A2353" w:rsidP="00CE4906">
            <w:pPr>
              <w:jc w:val="center"/>
              <w:rPr>
                <w:rFonts w:ascii="Times New Roman" w:hAnsi="Times New Roman" w:cs="Times New Roman"/>
                <w:color w:val="000000" w:themeColor="text1"/>
                <w:sz w:val="20"/>
                <w:szCs w:val="20"/>
                <w:lang w:val="en-CA"/>
              </w:rPr>
            </w:pPr>
          </w:p>
        </w:tc>
        <w:tc>
          <w:tcPr>
            <w:tcW w:w="1406" w:type="dxa"/>
            <w:vAlign w:val="center"/>
          </w:tcPr>
          <w:p w14:paraId="280DA459" w14:textId="6DAFF01D" w:rsidR="000A2353" w:rsidRPr="00A956B3" w:rsidRDefault="00CB6522"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3</w:t>
            </w:r>
            <w:r w:rsidR="000A2353" w:rsidRPr="00A956B3">
              <w:rPr>
                <w:rFonts w:ascii="Times New Roman" w:hAnsi="Times New Roman" w:cs="Times New Roman"/>
                <w:color w:val="000000" w:themeColor="text1"/>
                <w:sz w:val="20"/>
                <w:szCs w:val="20"/>
                <w:lang w:val="en-CA"/>
              </w:rPr>
              <w:t xml:space="preserve">- and </w:t>
            </w:r>
            <w:r w:rsidRPr="00A956B3">
              <w:rPr>
                <w:rFonts w:ascii="Times New Roman" w:hAnsi="Times New Roman" w:cs="Times New Roman"/>
                <w:color w:val="000000" w:themeColor="text1"/>
                <w:sz w:val="20"/>
                <w:szCs w:val="20"/>
                <w:lang w:val="en-CA"/>
              </w:rPr>
              <w:t>5</w:t>
            </w:r>
            <w:r w:rsidR="000A2353" w:rsidRPr="00A956B3">
              <w:rPr>
                <w:rFonts w:ascii="Times New Roman" w:hAnsi="Times New Roman" w:cs="Times New Roman"/>
                <w:color w:val="000000" w:themeColor="text1"/>
                <w:sz w:val="20"/>
                <w:szCs w:val="20"/>
                <w:lang w:val="en-CA"/>
              </w:rPr>
              <w:t xml:space="preserve">-year </w:t>
            </w:r>
            <w:r w:rsidRPr="00A956B3">
              <w:rPr>
                <w:rFonts w:ascii="Times New Roman" w:hAnsi="Times New Roman" w:cs="Times New Roman"/>
                <w:color w:val="000000" w:themeColor="text1"/>
                <w:sz w:val="20"/>
                <w:szCs w:val="20"/>
                <w:lang w:val="en-CA"/>
              </w:rPr>
              <w:t>follow-up</w:t>
            </w:r>
            <w:r w:rsidR="000A2353" w:rsidRPr="00A956B3">
              <w:rPr>
                <w:rFonts w:ascii="Times New Roman" w:hAnsi="Times New Roman" w:cs="Times New Roman"/>
                <w:color w:val="000000" w:themeColor="text1"/>
                <w:sz w:val="20"/>
                <w:szCs w:val="20"/>
                <w:lang w:val="en-CA"/>
              </w:rPr>
              <w:t xml:space="preserve"> visits</w:t>
            </w:r>
          </w:p>
        </w:tc>
        <w:tc>
          <w:tcPr>
            <w:tcW w:w="1221" w:type="dxa"/>
            <w:vMerge/>
            <w:vAlign w:val="center"/>
          </w:tcPr>
          <w:p w14:paraId="2E66A3BA" w14:textId="77777777" w:rsidR="000A2353" w:rsidRPr="00A956B3" w:rsidRDefault="000A2353" w:rsidP="00CE4906">
            <w:pPr>
              <w:jc w:val="center"/>
              <w:rPr>
                <w:rFonts w:ascii="Times New Roman" w:hAnsi="Times New Roman" w:cs="Times New Roman"/>
                <w:color w:val="000000" w:themeColor="text1"/>
                <w:sz w:val="20"/>
                <w:szCs w:val="20"/>
                <w:lang w:val="en-CA"/>
              </w:rPr>
            </w:pPr>
          </w:p>
        </w:tc>
      </w:tr>
      <w:tr w:rsidR="00A956B3" w:rsidRPr="00A956B3" w14:paraId="33A1C8AA" w14:textId="77777777" w:rsidTr="0079107A">
        <w:trPr>
          <w:trHeight w:val="201"/>
        </w:trPr>
        <w:tc>
          <w:tcPr>
            <w:tcW w:w="9580" w:type="dxa"/>
            <w:gridSpan w:val="5"/>
            <w:vAlign w:val="center"/>
          </w:tcPr>
          <w:p w14:paraId="5713F4C3"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i/>
                <w:iCs/>
                <w:color w:val="000000" w:themeColor="text1"/>
                <w:sz w:val="20"/>
                <w:szCs w:val="20"/>
                <w:lang w:val="en-CA"/>
              </w:rPr>
              <w:t>Medical history</w:t>
            </w:r>
          </w:p>
        </w:tc>
      </w:tr>
      <w:tr w:rsidR="00A956B3" w:rsidRPr="00A956B3" w14:paraId="0EE57225" w14:textId="77777777" w:rsidTr="0079107A">
        <w:trPr>
          <w:trHeight w:val="242"/>
        </w:trPr>
        <w:tc>
          <w:tcPr>
            <w:tcW w:w="1456" w:type="dxa"/>
            <w:vAlign w:val="center"/>
          </w:tcPr>
          <w:p w14:paraId="609BE3D8"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Positive familial history of type 2 diabetes</w:t>
            </w:r>
          </w:p>
        </w:tc>
        <w:tc>
          <w:tcPr>
            <w:tcW w:w="2934" w:type="dxa"/>
            <w:vMerge w:val="restart"/>
            <w:vAlign w:val="center"/>
          </w:tcPr>
          <w:p w14:paraId="5780B740"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lang w:val="en-CA"/>
              </w:rPr>
              <w:t>Self-reported</w:t>
            </w:r>
          </w:p>
        </w:tc>
        <w:tc>
          <w:tcPr>
            <w:tcW w:w="2563" w:type="dxa"/>
            <w:vAlign w:val="center"/>
          </w:tcPr>
          <w:p w14:paraId="01999F47" w14:textId="77777777" w:rsidR="000A2353" w:rsidRPr="00A956B3" w:rsidRDefault="000A2353" w:rsidP="00CE4906">
            <w:pPr>
              <w:jc w:val="center"/>
              <w:rPr>
                <w:rFonts w:ascii="Times New Roman" w:hAnsi="Times New Roman" w:cs="Times New Roman"/>
                <w:bCs/>
                <w:color w:val="000000" w:themeColor="text1"/>
                <w:sz w:val="20"/>
                <w:szCs w:val="20"/>
                <w:lang w:val="en-CA"/>
              </w:rPr>
            </w:pPr>
            <w:r w:rsidRPr="00A956B3">
              <w:rPr>
                <w:rFonts w:ascii="Times New Roman" w:hAnsi="Times New Roman" w:cs="Times New Roman"/>
                <w:bCs/>
                <w:color w:val="000000" w:themeColor="text1"/>
                <w:sz w:val="20"/>
                <w:szCs w:val="20"/>
                <w:lang w:val="en-CA"/>
              </w:rPr>
              <w:t>Self-reported</w:t>
            </w:r>
          </w:p>
          <w:p w14:paraId="0002EDAB" w14:textId="7382F262" w:rsidR="00CC7D83" w:rsidRPr="00A956B3" w:rsidRDefault="00CC7D83" w:rsidP="00CE4906">
            <w:pPr>
              <w:jc w:val="center"/>
              <w:rPr>
                <w:rFonts w:ascii="Times New Roman" w:hAnsi="Times New Roman" w:cs="Times New Roman"/>
                <w:color w:val="000000" w:themeColor="text1"/>
                <w:sz w:val="20"/>
                <w:szCs w:val="20"/>
                <w:lang w:val="en-CA"/>
              </w:rPr>
            </w:pPr>
          </w:p>
        </w:tc>
        <w:tc>
          <w:tcPr>
            <w:tcW w:w="1406" w:type="dxa"/>
            <w:vMerge w:val="restart"/>
            <w:vAlign w:val="center"/>
          </w:tcPr>
          <w:p w14:paraId="0B645D51"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Baseline</w:t>
            </w:r>
          </w:p>
        </w:tc>
        <w:tc>
          <w:tcPr>
            <w:tcW w:w="1221" w:type="dxa"/>
            <w:vAlign w:val="center"/>
          </w:tcPr>
          <w:p w14:paraId="245C95A4" w14:textId="3059BC90" w:rsidR="000A2353" w:rsidRPr="00A956B3" w:rsidRDefault="00CB6522" w:rsidP="00CE4906">
            <w:pPr>
              <w:jc w:val="center"/>
              <w:rPr>
                <w:rFonts w:ascii="Times New Roman" w:hAnsi="Times New Roman" w:cs="Times New Roman"/>
                <w:bCs/>
                <w:color w:val="000000" w:themeColor="text1"/>
                <w:sz w:val="20"/>
                <w:szCs w:val="20"/>
                <w:lang w:val="en-CA"/>
              </w:rPr>
            </w:pPr>
            <w:r w:rsidRPr="00A956B3">
              <w:rPr>
                <w:rFonts w:ascii="Times New Roman" w:hAnsi="Times New Roman" w:cs="Times New Roman"/>
                <w:color w:val="000000" w:themeColor="text1"/>
                <w:sz w:val="20"/>
                <w:szCs w:val="20"/>
                <w:lang w:val="en-CA"/>
              </w:rPr>
              <w:t xml:space="preserve">3- </w:t>
            </w:r>
            <w:r w:rsidR="000A2353" w:rsidRPr="00A956B3">
              <w:rPr>
                <w:rFonts w:ascii="Times New Roman" w:hAnsi="Times New Roman" w:cs="Times New Roman"/>
                <w:color w:val="000000" w:themeColor="text1"/>
                <w:sz w:val="20"/>
                <w:szCs w:val="20"/>
                <w:lang w:val="en-CA"/>
              </w:rPr>
              <w:t xml:space="preserve">year </w:t>
            </w:r>
            <w:r w:rsidRPr="00A956B3">
              <w:rPr>
                <w:rFonts w:ascii="Times New Roman" w:hAnsi="Times New Roman" w:cs="Times New Roman"/>
                <w:color w:val="000000" w:themeColor="text1"/>
                <w:sz w:val="20"/>
                <w:szCs w:val="20"/>
                <w:lang w:val="en-CA"/>
              </w:rPr>
              <w:t>follow-up</w:t>
            </w:r>
            <w:r w:rsidR="000A2353" w:rsidRPr="00A956B3">
              <w:rPr>
                <w:rFonts w:ascii="Times New Roman" w:hAnsi="Times New Roman" w:cs="Times New Roman"/>
                <w:color w:val="000000" w:themeColor="text1"/>
                <w:sz w:val="20"/>
                <w:szCs w:val="20"/>
                <w:lang w:val="en-CA"/>
              </w:rPr>
              <w:t xml:space="preserve"> visit</w:t>
            </w:r>
          </w:p>
        </w:tc>
      </w:tr>
      <w:tr w:rsidR="00A956B3" w:rsidRPr="00A956B3" w14:paraId="0CC85632" w14:textId="77777777" w:rsidTr="0079107A">
        <w:trPr>
          <w:trHeight w:val="403"/>
        </w:trPr>
        <w:tc>
          <w:tcPr>
            <w:tcW w:w="1456" w:type="dxa"/>
            <w:vAlign w:val="center"/>
          </w:tcPr>
          <w:p w14:paraId="1358AD57"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Previous polycystic ovarian syndrome</w:t>
            </w:r>
          </w:p>
        </w:tc>
        <w:tc>
          <w:tcPr>
            <w:tcW w:w="2934" w:type="dxa"/>
            <w:vMerge/>
            <w:vAlign w:val="center"/>
          </w:tcPr>
          <w:p w14:paraId="4BFEA96A" w14:textId="77777777" w:rsidR="000A2353" w:rsidRPr="00A956B3" w:rsidRDefault="000A2353" w:rsidP="00CE4906">
            <w:pPr>
              <w:jc w:val="center"/>
              <w:rPr>
                <w:rFonts w:ascii="Times New Roman" w:hAnsi="Times New Roman" w:cs="Times New Roman"/>
                <w:color w:val="000000" w:themeColor="text1"/>
                <w:sz w:val="20"/>
                <w:szCs w:val="20"/>
                <w:lang w:val="en-CA"/>
              </w:rPr>
            </w:pPr>
          </w:p>
        </w:tc>
        <w:tc>
          <w:tcPr>
            <w:tcW w:w="2563" w:type="dxa"/>
            <w:vAlign w:val="center"/>
          </w:tcPr>
          <w:p w14:paraId="03B613F0" w14:textId="30A3BB7D" w:rsidR="000A2353" w:rsidRPr="00A956B3" w:rsidRDefault="00CC7D8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 xml:space="preserve">Based on diagnostic codes from medical records around the index pregnancy, or from self-reported at the </w:t>
            </w:r>
            <w:r w:rsidR="00AD0509" w:rsidRPr="00A956B3">
              <w:rPr>
                <w:rFonts w:ascii="Times New Roman" w:hAnsi="Times New Roman" w:cs="Times New Roman"/>
                <w:color w:val="000000" w:themeColor="text1"/>
                <w:sz w:val="20"/>
                <w:szCs w:val="20"/>
                <w:lang w:val="en-CA"/>
              </w:rPr>
              <w:t>17</w:t>
            </w:r>
            <w:r w:rsidRPr="00A956B3">
              <w:rPr>
                <w:rFonts w:ascii="Times New Roman" w:hAnsi="Times New Roman" w:cs="Times New Roman"/>
                <w:color w:val="000000" w:themeColor="text1"/>
                <w:sz w:val="20"/>
                <w:szCs w:val="20"/>
                <w:lang w:val="en-CA"/>
              </w:rPr>
              <w:t xml:space="preserve">-year </w:t>
            </w:r>
            <w:r w:rsidR="00AD0509" w:rsidRPr="00A956B3">
              <w:rPr>
                <w:rFonts w:ascii="Times New Roman" w:hAnsi="Times New Roman" w:cs="Times New Roman"/>
                <w:color w:val="000000" w:themeColor="text1"/>
                <w:sz w:val="20"/>
                <w:szCs w:val="20"/>
                <w:lang w:val="en-CA"/>
              </w:rPr>
              <w:t>follow-up</w:t>
            </w:r>
            <w:r w:rsidRPr="00A956B3">
              <w:rPr>
                <w:rFonts w:ascii="Times New Roman" w:hAnsi="Times New Roman" w:cs="Times New Roman"/>
                <w:color w:val="000000" w:themeColor="text1"/>
                <w:sz w:val="20"/>
                <w:szCs w:val="20"/>
                <w:lang w:val="en-CA"/>
              </w:rPr>
              <w:t xml:space="preserve"> visit</w:t>
            </w:r>
          </w:p>
        </w:tc>
        <w:tc>
          <w:tcPr>
            <w:tcW w:w="1406" w:type="dxa"/>
            <w:vMerge/>
            <w:vAlign w:val="center"/>
          </w:tcPr>
          <w:p w14:paraId="7B279C26" w14:textId="77777777" w:rsidR="000A2353" w:rsidRPr="00A956B3" w:rsidRDefault="000A2353" w:rsidP="00CE4906">
            <w:pPr>
              <w:jc w:val="center"/>
              <w:rPr>
                <w:rFonts w:ascii="Times New Roman" w:hAnsi="Times New Roman" w:cs="Times New Roman"/>
                <w:color w:val="000000" w:themeColor="text1"/>
                <w:sz w:val="20"/>
                <w:szCs w:val="20"/>
                <w:lang w:val="en-CA"/>
              </w:rPr>
            </w:pPr>
          </w:p>
        </w:tc>
        <w:tc>
          <w:tcPr>
            <w:tcW w:w="1221" w:type="dxa"/>
            <w:vAlign w:val="center"/>
          </w:tcPr>
          <w:p w14:paraId="399E6653" w14:textId="72AEBEFB"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Baseline</w:t>
            </w:r>
            <w:r w:rsidR="00CC7D83" w:rsidRPr="00A956B3">
              <w:rPr>
                <w:rFonts w:ascii="Times New Roman" w:hAnsi="Times New Roman" w:cs="Times New Roman"/>
                <w:color w:val="000000" w:themeColor="text1"/>
                <w:sz w:val="20"/>
                <w:szCs w:val="20"/>
                <w:lang w:val="en-CA"/>
              </w:rPr>
              <w:t xml:space="preserve"> or at the </w:t>
            </w:r>
            <w:r w:rsidR="00CB6522" w:rsidRPr="00A956B3">
              <w:rPr>
                <w:rFonts w:ascii="Times New Roman" w:hAnsi="Times New Roman" w:cs="Times New Roman"/>
                <w:color w:val="000000" w:themeColor="text1"/>
                <w:sz w:val="20"/>
                <w:szCs w:val="20"/>
                <w:lang w:val="en-CA"/>
              </w:rPr>
              <w:t>17</w:t>
            </w:r>
            <w:r w:rsidR="00CC7D83" w:rsidRPr="00A956B3">
              <w:rPr>
                <w:rFonts w:ascii="Times New Roman" w:hAnsi="Times New Roman" w:cs="Times New Roman"/>
                <w:color w:val="000000" w:themeColor="text1"/>
                <w:sz w:val="20"/>
                <w:szCs w:val="20"/>
                <w:lang w:val="en-CA"/>
              </w:rPr>
              <w:t xml:space="preserve">-year </w:t>
            </w:r>
            <w:r w:rsidR="00CB6522" w:rsidRPr="00A956B3">
              <w:rPr>
                <w:rFonts w:ascii="Times New Roman" w:hAnsi="Times New Roman" w:cs="Times New Roman"/>
                <w:color w:val="000000" w:themeColor="text1"/>
                <w:sz w:val="20"/>
                <w:szCs w:val="20"/>
                <w:lang w:val="en-CA"/>
              </w:rPr>
              <w:t>follow-up</w:t>
            </w:r>
            <w:r w:rsidR="00CC7D83" w:rsidRPr="00A956B3">
              <w:rPr>
                <w:rFonts w:ascii="Times New Roman" w:hAnsi="Times New Roman" w:cs="Times New Roman"/>
                <w:color w:val="000000" w:themeColor="text1"/>
                <w:sz w:val="20"/>
                <w:szCs w:val="20"/>
                <w:lang w:val="en-CA"/>
              </w:rPr>
              <w:t xml:space="preserve"> visit</w:t>
            </w:r>
          </w:p>
        </w:tc>
      </w:tr>
      <w:tr w:rsidR="00A956B3" w:rsidRPr="00A956B3" w14:paraId="63AF6874" w14:textId="77777777" w:rsidTr="0079107A">
        <w:trPr>
          <w:trHeight w:val="864"/>
        </w:trPr>
        <w:tc>
          <w:tcPr>
            <w:tcW w:w="1456" w:type="dxa"/>
            <w:vAlign w:val="center"/>
          </w:tcPr>
          <w:p w14:paraId="7C9F800C"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Previous GDM or macrosomia</w:t>
            </w:r>
          </w:p>
        </w:tc>
        <w:tc>
          <w:tcPr>
            <w:tcW w:w="2934" w:type="dxa"/>
            <w:vMerge/>
            <w:vAlign w:val="center"/>
          </w:tcPr>
          <w:p w14:paraId="0E003BEE" w14:textId="77777777" w:rsidR="000A2353" w:rsidRPr="00A956B3" w:rsidRDefault="000A2353" w:rsidP="00CE4906">
            <w:pPr>
              <w:jc w:val="center"/>
              <w:rPr>
                <w:rFonts w:ascii="Times New Roman" w:hAnsi="Times New Roman" w:cs="Times New Roman"/>
                <w:color w:val="000000" w:themeColor="text1"/>
                <w:sz w:val="20"/>
                <w:szCs w:val="20"/>
                <w:lang w:val="en-CA"/>
              </w:rPr>
            </w:pPr>
          </w:p>
        </w:tc>
        <w:tc>
          <w:tcPr>
            <w:tcW w:w="2563" w:type="dxa"/>
            <w:vAlign w:val="center"/>
          </w:tcPr>
          <w:p w14:paraId="3A07DEC5" w14:textId="77777777" w:rsidR="000A2353" w:rsidRPr="00A956B3" w:rsidRDefault="000A2353" w:rsidP="000A2353">
            <w:pPr>
              <w:pStyle w:val="ListParagraph"/>
              <w:numPr>
                <w:ilvl w:val="0"/>
                <w:numId w:val="2"/>
              </w:num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lang w:val="en-CA"/>
              </w:rPr>
              <w:t>Self-reported</w:t>
            </w:r>
          </w:p>
          <w:p w14:paraId="5AFA0614" w14:textId="77777777" w:rsidR="000A2353" w:rsidRPr="00A956B3" w:rsidRDefault="000A2353" w:rsidP="000A2353">
            <w:pPr>
              <w:pStyle w:val="ListParagraph"/>
              <w:numPr>
                <w:ilvl w:val="0"/>
                <w:numId w:val="2"/>
              </w:num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Includes only previous GDM, not previous macrosomia</w:t>
            </w:r>
          </w:p>
        </w:tc>
        <w:tc>
          <w:tcPr>
            <w:tcW w:w="1406" w:type="dxa"/>
            <w:vMerge/>
            <w:vAlign w:val="center"/>
          </w:tcPr>
          <w:p w14:paraId="44C8174A" w14:textId="77777777" w:rsidR="000A2353" w:rsidRPr="00A956B3" w:rsidRDefault="000A2353" w:rsidP="00CE4906">
            <w:pPr>
              <w:jc w:val="center"/>
              <w:rPr>
                <w:rFonts w:ascii="Times New Roman" w:hAnsi="Times New Roman" w:cs="Times New Roman"/>
                <w:color w:val="000000" w:themeColor="text1"/>
                <w:sz w:val="20"/>
                <w:szCs w:val="20"/>
                <w:lang w:val="en-CA"/>
              </w:rPr>
            </w:pPr>
          </w:p>
        </w:tc>
        <w:tc>
          <w:tcPr>
            <w:tcW w:w="1221" w:type="dxa"/>
            <w:vAlign w:val="center"/>
          </w:tcPr>
          <w:p w14:paraId="4B324C8C" w14:textId="06AB5EE6" w:rsidR="000A2353" w:rsidRPr="00A956B3" w:rsidRDefault="00CC7D83" w:rsidP="00CC7D83">
            <w:pPr>
              <w:jc w:val="center"/>
              <w:rPr>
                <w:rFonts w:ascii="Times New Roman" w:hAnsi="Times New Roman" w:cs="Times New Roman"/>
                <w:bCs/>
                <w:color w:val="000000" w:themeColor="text1"/>
                <w:sz w:val="20"/>
                <w:szCs w:val="20"/>
                <w:lang w:val="en-CA"/>
              </w:rPr>
            </w:pPr>
            <w:r w:rsidRPr="00A956B3">
              <w:rPr>
                <w:rFonts w:ascii="Times New Roman" w:hAnsi="Times New Roman" w:cs="Times New Roman"/>
                <w:color w:val="000000" w:themeColor="text1"/>
                <w:sz w:val="20"/>
                <w:szCs w:val="20"/>
                <w:lang w:val="en-CA"/>
              </w:rPr>
              <w:t>Baseline</w:t>
            </w:r>
          </w:p>
        </w:tc>
      </w:tr>
      <w:tr w:rsidR="00A956B3" w:rsidRPr="00A956B3" w14:paraId="5313B071" w14:textId="77777777" w:rsidTr="0079107A">
        <w:trPr>
          <w:trHeight w:val="201"/>
        </w:trPr>
        <w:tc>
          <w:tcPr>
            <w:tcW w:w="9580" w:type="dxa"/>
            <w:gridSpan w:val="5"/>
            <w:vAlign w:val="center"/>
          </w:tcPr>
          <w:p w14:paraId="5B4722EC"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i/>
                <w:iCs/>
                <w:color w:val="000000" w:themeColor="text1"/>
                <w:sz w:val="20"/>
                <w:szCs w:val="20"/>
                <w:lang w:val="en-CA"/>
              </w:rPr>
              <w:t>Pre-gestational predictors</w:t>
            </w:r>
          </w:p>
        </w:tc>
      </w:tr>
      <w:tr w:rsidR="00A956B3" w:rsidRPr="00A956B3" w14:paraId="09CACF1D" w14:textId="77777777" w:rsidTr="0079107A">
        <w:trPr>
          <w:trHeight w:val="486"/>
        </w:trPr>
        <w:tc>
          <w:tcPr>
            <w:tcW w:w="1456" w:type="dxa"/>
            <w:vAlign w:val="center"/>
          </w:tcPr>
          <w:p w14:paraId="3564D0CB"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Pre-gestational BMI</w:t>
            </w:r>
          </w:p>
        </w:tc>
        <w:tc>
          <w:tcPr>
            <w:tcW w:w="2934" w:type="dxa"/>
            <w:vAlign w:val="center"/>
          </w:tcPr>
          <w:p w14:paraId="77AACB3E"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Self-reported pre-gestational weight (kg) divided by height (m) squared, as measured objectively</w:t>
            </w:r>
          </w:p>
        </w:tc>
        <w:tc>
          <w:tcPr>
            <w:tcW w:w="2563" w:type="dxa"/>
            <w:vAlign w:val="center"/>
          </w:tcPr>
          <w:p w14:paraId="6E43FF02" w14:textId="305C2AC4"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Self-reported pre-gestational weight (kg) divided by</w:t>
            </w:r>
            <w:r w:rsidR="00CC7D83" w:rsidRPr="00A956B3">
              <w:rPr>
                <w:rFonts w:ascii="Times New Roman" w:hAnsi="Times New Roman" w:cs="Times New Roman"/>
                <w:color w:val="000000" w:themeColor="text1"/>
                <w:sz w:val="20"/>
                <w:szCs w:val="20"/>
                <w:lang w:val="en-CA"/>
              </w:rPr>
              <w:t xml:space="preserve"> self-reported</w:t>
            </w:r>
            <w:r w:rsidRPr="00A956B3">
              <w:rPr>
                <w:rFonts w:ascii="Times New Roman" w:hAnsi="Times New Roman" w:cs="Times New Roman"/>
                <w:color w:val="000000" w:themeColor="text1"/>
                <w:sz w:val="20"/>
                <w:szCs w:val="20"/>
                <w:lang w:val="en-CA"/>
              </w:rPr>
              <w:t xml:space="preserve"> height (m) squared</w:t>
            </w:r>
            <w:r w:rsidR="00CC7D83" w:rsidRPr="00A956B3">
              <w:rPr>
                <w:rFonts w:ascii="Times New Roman" w:hAnsi="Times New Roman" w:cs="Times New Roman"/>
                <w:color w:val="000000" w:themeColor="text1"/>
                <w:sz w:val="20"/>
                <w:szCs w:val="20"/>
                <w:lang w:val="en-CA"/>
              </w:rPr>
              <w:t>.</w:t>
            </w:r>
          </w:p>
        </w:tc>
        <w:tc>
          <w:tcPr>
            <w:tcW w:w="1406" w:type="dxa"/>
            <w:vMerge w:val="restart"/>
            <w:vAlign w:val="center"/>
          </w:tcPr>
          <w:p w14:paraId="419AE8BC"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Baseline</w:t>
            </w:r>
          </w:p>
        </w:tc>
        <w:tc>
          <w:tcPr>
            <w:tcW w:w="1221" w:type="dxa"/>
            <w:vMerge w:val="restart"/>
            <w:vAlign w:val="center"/>
          </w:tcPr>
          <w:p w14:paraId="6EDF5B9F"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Baseline</w:t>
            </w:r>
          </w:p>
        </w:tc>
      </w:tr>
      <w:tr w:rsidR="00A956B3" w:rsidRPr="00A956B3" w14:paraId="5FB07F52" w14:textId="77777777" w:rsidTr="0079107A">
        <w:trPr>
          <w:trHeight w:val="624"/>
        </w:trPr>
        <w:tc>
          <w:tcPr>
            <w:tcW w:w="1456" w:type="dxa"/>
            <w:vAlign w:val="center"/>
          </w:tcPr>
          <w:p w14:paraId="447831D3"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Parity</w:t>
            </w:r>
          </w:p>
        </w:tc>
        <w:tc>
          <w:tcPr>
            <w:tcW w:w="2934" w:type="dxa"/>
            <w:vAlign w:val="center"/>
          </w:tcPr>
          <w:p w14:paraId="521C3E86"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Number of previous pregnancies lasting more than 20 weeks</w:t>
            </w:r>
          </w:p>
        </w:tc>
        <w:tc>
          <w:tcPr>
            <w:tcW w:w="2563" w:type="dxa"/>
            <w:vAlign w:val="center"/>
          </w:tcPr>
          <w:p w14:paraId="2097707A"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Number of previous pregnancies lasting more than 24 weeks</w:t>
            </w:r>
          </w:p>
        </w:tc>
        <w:tc>
          <w:tcPr>
            <w:tcW w:w="1406" w:type="dxa"/>
            <w:vMerge/>
            <w:vAlign w:val="center"/>
          </w:tcPr>
          <w:p w14:paraId="6CC2AAF8" w14:textId="77777777" w:rsidR="000A2353" w:rsidRPr="00A956B3" w:rsidRDefault="000A2353" w:rsidP="00CE4906">
            <w:pPr>
              <w:jc w:val="center"/>
              <w:rPr>
                <w:rFonts w:ascii="Times New Roman" w:hAnsi="Times New Roman" w:cs="Times New Roman"/>
                <w:color w:val="000000" w:themeColor="text1"/>
                <w:sz w:val="20"/>
                <w:szCs w:val="20"/>
                <w:lang w:val="en-CA"/>
              </w:rPr>
            </w:pPr>
          </w:p>
        </w:tc>
        <w:tc>
          <w:tcPr>
            <w:tcW w:w="1221" w:type="dxa"/>
            <w:vMerge/>
            <w:vAlign w:val="center"/>
          </w:tcPr>
          <w:p w14:paraId="0325E435" w14:textId="77777777" w:rsidR="000A2353" w:rsidRPr="00A956B3" w:rsidRDefault="000A2353" w:rsidP="00CE4906">
            <w:pPr>
              <w:jc w:val="center"/>
              <w:rPr>
                <w:rFonts w:ascii="Times New Roman" w:hAnsi="Times New Roman" w:cs="Times New Roman"/>
                <w:color w:val="000000" w:themeColor="text1"/>
                <w:sz w:val="20"/>
                <w:szCs w:val="20"/>
                <w:lang w:val="en-CA"/>
              </w:rPr>
            </w:pPr>
          </w:p>
        </w:tc>
      </w:tr>
      <w:tr w:rsidR="00A956B3" w:rsidRPr="00A956B3" w14:paraId="633EE414" w14:textId="77777777" w:rsidTr="0079107A">
        <w:trPr>
          <w:trHeight w:val="201"/>
        </w:trPr>
        <w:tc>
          <w:tcPr>
            <w:tcW w:w="9580" w:type="dxa"/>
            <w:gridSpan w:val="5"/>
            <w:vAlign w:val="center"/>
          </w:tcPr>
          <w:p w14:paraId="1111643B"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i/>
                <w:iCs/>
                <w:color w:val="000000" w:themeColor="text1"/>
                <w:sz w:val="20"/>
                <w:szCs w:val="20"/>
                <w:lang w:val="en-CA"/>
              </w:rPr>
              <w:t>Pregnancy-related predictors</w:t>
            </w:r>
          </w:p>
        </w:tc>
      </w:tr>
      <w:tr w:rsidR="00A956B3" w:rsidRPr="00A956B3" w14:paraId="205747CE" w14:textId="77777777" w:rsidTr="0079107A">
        <w:trPr>
          <w:trHeight w:val="764"/>
        </w:trPr>
        <w:tc>
          <w:tcPr>
            <w:tcW w:w="1456" w:type="dxa"/>
            <w:vAlign w:val="center"/>
          </w:tcPr>
          <w:p w14:paraId="7EC0B964" w14:textId="41504E23" w:rsidR="000A2353" w:rsidRPr="00A956B3" w:rsidRDefault="00D525AC"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Chronic</w:t>
            </w:r>
            <w:r w:rsidR="000D0A00" w:rsidRPr="00A956B3">
              <w:rPr>
                <w:rFonts w:ascii="Times New Roman" w:hAnsi="Times New Roman" w:cs="Times New Roman"/>
                <w:color w:val="000000" w:themeColor="text1"/>
                <w:sz w:val="20"/>
                <w:szCs w:val="20"/>
                <w:lang w:val="en-CA"/>
              </w:rPr>
              <w:t xml:space="preserve"> or </w:t>
            </w:r>
            <w:r w:rsidRPr="00A956B3">
              <w:rPr>
                <w:rFonts w:ascii="Times New Roman" w:hAnsi="Times New Roman" w:cs="Times New Roman"/>
                <w:color w:val="000000" w:themeColor="text1"/>
                <w:sz w:val="20"/>
                <w:szCs w:val="20"/>
                <w:lang w:val="en-CA"/>
              </w:rPr>
              <w:t>g</w:t>
            </w:r>
            <w:r w:rsidR="000A2353" w:rsidRPr="00A956B3">
              <w:rPr>
                <w:rFonts w:ascii="Times New Roman" w:hAnsi="Times New Roman" w:cs="Times New Roman"/>
                <w:color w:val="000000" w:themeColor="text1"/>
                <w:sz w:val="20"/>
                <w:szCs w:val="20"/>
                <w:lang w:val="en-CA"/>
              </w:rPr>
              <w:t>estational hypertension</w:t>
            </w:r>
          </w:p>
        </w:tc>
        <w:tc>
          <w:tcPr>
            <w:tcW w:w="2934" w:type="dxa"/>
            <w:vAlign w:val="center"/>
          </w:tcPr>
          <w:p w14:paraId="16B1E4DB" w14:textId="4FA55AF1" w:rsidR="0063631F" w:rsidRPr="00A956B3" w:rsidRDefault="0063631F" w:rsidP="00CE4906">
            <w:pPr>
              <w:jc w:val="center"/>
              <w:rPr>
                <w:rFonts w:ascii="Times New Roman" w:hAnsi="Times New Roman" w:cs="Times New Roman"/>
                <w:bCs/>
                <w:color w:val="000000" w:themeColor="text1"/>
                <w:sz w:val="20"/>
                <w:szCs w:val="20"/>
                <w:u w:val="single"/>
                <w:lang w:val="en-CA"/>
              </w:rPr>
            </w:pPr>
            <w:r w:rsidRPr="00A956B3">
              <w:rPr>
                <w:rFonts w:ascii="Times New Roman" w:hAnsi="Times New Roman" w:cs="Times New Roman"/>
                <w:bCs/>
                <w:color w:val="000000" w:themeColor="text1"/>
                <w:sz w:val="20"/>
                <w:szCs w:val="20"/>
                <w:u w:val="single"/>
                <w:lang w:val="en-CA"/>
              </w:rPr>
              <w:t>Chronic hypertension:</w:t>
            </w:r>
            <w:r w:rsidRPr="00A956B3">
              <w:rPr>
                <w:rFonts w:ascii="Times New Roman" w:hAnsi="Times New Roman" w:cs="Times New Roman"/>
                <w:bCs/>
                <w:color w:val="000000" w:themeColor="text1"/>
                <w:sz w:val="20"/>
                <w:szCs w:val="20"/>
                <w:lang w:val="en-CA"/>
              </w:rPr>
              <w:t xml:space="preserve"> </w:t>
            </w:r>
            <w:r w:rsidR="00FD7785" w:rsidRPr="00A956B3">
              <w:rPr>
                <w:rFonts w:ascii="Times New Roman" w:hAnsi="Times New Roman" w:cs="Times New Roman"/>
                <w:bCs/>
                <w:color w:val="000000" w:themeColor="text1"/>
                <w:sz w:val="20"/>
                <w:szCs w:val="20"/>
                <w:lang w:val="en-CA"/>
              </w:rPr>
              <w:t xml:space="preserve">defined </w:t>
            </w:r>
            <w:proofErr w:type="gramStart"/>
            <w:r w:rsidR="00FD7785" w:rsidRPr="00A956B3">
              <w:rPr>
                <w:rFonts w:ascii="Times New Roman" w:hAnsi="Times New Roman" w:cs="Times New Roman"/>
                <w:bCs/>
                <w:color w:val="000000" w:themeColor="text1"/>
                <w:sz w:val="20"/>
                <w:szCs w:val="20"/>
                <w:lang w:val="en-CA"/>
              </w:rPr>
              <w:t>by the use of</w:t>
            </w:r>
            <w:proofErr w:type="gramEnd"/>
            <w:r w:rsidR="00FD7785" w:rsidRPr="00A956B3">
              <w:rPr>
                <w:rFonts w:ascii="Times New Roman" w:hAnsi="Times New Roman" w:cs="Times New Roman"/>
                <w:bCs/>
                <w:color w:val="000000" w:themeColor="text1"/>
                <w:sz w:val="20"/>
                <w:szCs w:val="20"/>
                <w:lang w:val="en-CA"/>
              </w:rPr>
              <w:t xml:space="preserve"> antihypertensive medications or corresponding to at least two elevated clinically measured blood pressure values before 20 weeks’ gestation</w:t>
            </w:r>
          </w:p>
          <w:p w14:paraId="42952145" w14:textId="27DCDAA0" w:rsidR="000A2353" w:rsidRPr="00A956B3" w:rsidRDefault="0063631F"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u w:val="single"/>
                <w:lang w:val="en-CA"/>
              </w:rPr>
              <w:t>Gestational hypertension:</w:t>
            </w:r>
            <w:r w:rsidRPr="00A956B3">
              <w:rPr>
                <w:rFonts w:ascii="Times New Roman" w:hAnsi="Times New Roman" w:cs="Times New Roman"/>
                <w:bCs/>
                <w:color w:val="000000" w:themeColor="text1"/>
                <w:sz w:val="20"/>
                <w:szCs w:val="20"/>
                <w:lang w:val="en-CA"/>
              </w:rPr>
              <w:t xml:space="preserve"> d</w:t>
            </w:r>
            <w:r w:rsidR="000A2353" w:rsidRPr="00A956B3">
              <w:rPr>
                <w:rFonts w:ascii="Times New Roman" w:hAnsi="Times New Roman" w:cs="Times New Roman"/>
                <w:bCs/>
                <w:color w:val="000000" w:themeColor="text1"/>
                <w:sz w:val="20"/>
                <w:szCs w:val="20"/>
                <w:lang w:val="en-CA"/>
              </w:rPr>
              <w:t xml:space="preserve">efined by the SOGC guidelines as follow: at least two clinically measured high blood pressure values (SBP </w:t>
            </w:r>
            <w:r w:rsidR="000A2353" w:rsidRPr="00A956B3">
              <w:rPr>
                <w:rFonts w:ascii="Times New Roman" w:hAnsi="Times New Roman" w:cs="Times New Roman"/>
                <w:bCs/>
                <w:color w:val="000000" w:themeColor="text1"/>
                <w:sz w:val="20"/>
                <w:szCs w:val="20"/>
                <w:lang w:val="en-CA"/>
              </w:rPr>
              <w:sym w:font="Symbol" w:char="F0B3"/>
            </w:r>
            <w:r w:rsidR="000A2353" w:rsidRPr="00A956B3">
              <w:rPr>
                <w:rFonts w:ascii="Times New Roman" w:hAnsi="Times New Roman" w:cs="Times New Roman"/>
                <w:bCs/>
                <w:color w:val="000000" w:themeColor="text1"/>
                <w:sz w:val="20"/>
                <w:szCs w:val="20"/>
                <w:lang w:val="en-CA"/>
              </w:rPr>
              <w:t xml:space="preserve">140 mmHg and/or DBP </w:t>
            </w:r>
            <w:r w:rsidR="000A2353" w:rsidRPr="00A956B3">
              <w:rPr>
                <w:rFonts w:ascii="Times New Roman" w:hAnsi="Times New Roman" w:cs="Times New Roman"/>
                <w:bCs/>
                <w:color w:val="000000" w:themeColor="text1"/>
                <w:sz w:val="20"/>
                <w:szCs w:val="20"/>
                <w:lang w:val="en-CA"/>
              </w:rPr>
              <w:sym w:font="Symbol" w:char="F0B3"/>
            </w:r>
            <w:r w:rsidR="000A2353" w:rsidRPr="00A956B3">
              <w:rPr>
                <w:rFonts w:ascii="Times New Roman" w:hAnsi="Times New Roman" w:cs="Times New Roman"/>
                <w:bCs/>
                <w:color w:val="000000" w:themeColor="text1"/>
                <w:sz w:val="20"/>
                <w:szCs w:val="20"/>
                <w:lang w:val="en-CA"/>
              </w:rPr>
              <w:t xml:space="preserve">90 mmHg) after 20 weeks of gestation </w:t>
            </w:r>
            <w:r w:rsidR="000A2353" w:rsidRPr="00A956B3">
              <w:rPr>
                <w:rFonts w:ascii="Times New Roman" w:hAnsi="Times New Roman" w:cs="Times New Roman"/>
                <w:bCs/>
                <w:color w:val="000000" w:themeColor="text1"/>
                <w:sz w:val="20"/>
                <w:szCs w:val="20"/>
              </w:rPr>
              <w:fldChar w:fldCharType="begin"/>
            </w:r>
            <w:r w:rsidR="00BF4B37" w:rsidRPr="00A956B3">
              <w:rPr>
                <w:rFonts w:ascii="Times New Roman" w:hAnsi="Times New Roman" w:cs="Times New Roman"/>
                <w:bCs/>
                <w:color w:val="000000" w:themeColor="text1"/>
                <w:sz w:val="20"/>
                <w:szCs w:val="20"/>
                <w:lang w:val="en-CA"/>
              </w:rPr>
              <w:instrText xml:space="preserve"> ADDIN ZOTERO_ITEM CSL_CITATION {"citationID":"4rNPlAH1","properties":{"formattedCitation":"[1]","plainCitation":"[1]","noteIndex":0},"citationItems":[{"id":3434,"uris":["http://zotero.org/users/local/WiC0VgBZ/items/ASH7MQBX"],"itemData":{"id":3434,"type":"article-journal","abstract":"Objective\nThis guideline was developed by maternity care providers from obstetrics and internal medicine. It reviews the diagnosis, evaluation, and management of the hypertensive disorders of pregnancy (HDPs), the prediction and prevention of preeclampsia, and the postpartum care of women with a previous HDP.\nTarget population\nPregnant women.\nBenefits, harms, and costs\nImplementation of the recommendations in these guidelines may reduce the incidence of the HDPs, particularly preeclampsia, and associated adverse outcomes.\nEvidence\nA comprehensive literature review was updated to December 2020, following the same methods as for previous Society of Obstetricians and Gynaecologists of Canada (SOGC) HDP guidelines, and references were restricted to English or French. To support recommendations for therapies, we prioritized randomized controlled trials and systematic reviews (if available), and evaluated substantive clinical outcomes for mothers and babies.\nValidation methods\nThe authors agreed on the content and recommendations through consensus and responded to peer review by the SOGC Maternal Fetal Medicine Committee. The authors rated the quality of evidence and strength of recommendations using the Grading of Recommendations Assessment, Development and Evaluation (GRADE) approach, along with the option of designating a recommendation as a “good practice point.” See online Appendix A (Tables A1 for definitions and A2 for interpretations of strong and conditional [weak] recommendations).The Board of the SOGC approved the final draft for publication.\nIntended users\nAll health care providers (obstetricians, family doctors, midwives, nurses, and anesthesiologists) who provide care to women before, during, or after pregnancy.\nRECOMMENDATIONS\n1.Pre-conception counselling is suggested for women with pre-pregnancy hypertension to advise on individualized management during pregnancy (conditional, low).2.Replacing angiotensin-converting enzyme (ACE) inhibitors or angiotensin-receptor blockers (ARBs) with other antihypertensives in women planning pregnancy is recommended unless there is a compelling clinical indication not to (strong, low).3.In early pregnancy, women should be screened, at a minimum, for clinical risk markers for preeclampsia (strong, moderate).4.If testing is available, women should be screened at 11–14 weeks gestation using a combination of clinical risk markers, uterine artery pulsatility index, and placental growth factor (PlGF) to individualize the risk of developing preeclampsia (strong, moderate).5.For women at increased risk of preeclampsia, low-dose acetylsalicylic acid (81 or 162 mg/d) is recommended (strong, high), to be taken at bedtime (strong, moderate), preferably before 16 weeks gestation (conditional, moderate), and discontinued by 36 weeks gestation (conditional, low).6.For all other women, low-dose acetylsalicylic acid is not recommended (strong, moderate).7.For all women with low dietary intake of calcium (&lt;900 mg/d), oral calcium supplementation of at least 500 mg/d is suggested to prevent preeclampsia (conditional, low).8.For all women, vitamin D supplementation over and above Health Canada’s recommendation for adults is not suggested to prevent preeclampsia (conditional, moderate).9.For all women, exercise is recommended to prevent preeclampsia (strong, moderate).10.For women at increased risk of preeclampsia, who are overweight or obese dietary advice (reduce calories and choose foods with a low glycemic index) and exercise are recommended (conditional, moderate).11.Inpatient care should be provided for women with severe hypertension or preeclampsia with 1 or more maternal adverse conditions (good practice point).12.Bed rest is not suggested for any women with preeclampsia (conditional, low).13.Antihypertensive therapy is recommended for pregnant women with an average systolic blood pressure ≥140 mm Hg or diastolic blood pressure ≥90 mm Hg, regardless of the hypertensive disorder of pregnancy (strong, moderate).14.A diastolic blood pressure of 85 mm Hg should be targeted for pregnant women on antihypertensive therapy with chronic or gestational hypertension (strong, moderate), and a similar target, considered for women with preeclampsia (conditional, low).15.Antihypertensive therapy (oral or parenteral) is urgently recommended for women with severe hypertension (i.e., systolic blood pressure ≥160 mm Hg or diastolic blood pressure ≥110 mm Hg) in pregnancy or postpartum (strong, low).16.Magnesium sulphate is recommended for first-line treatment of eclampsia and prophylaxis against eclampsia in women with preeclampsia and severe hypertension or adverse maternal conditions (strong, high).17.Platelet transfusion should be considered if a woman’s platelet count is &lt;20 × 109/L before vaginal delivery or &lt;50 × 109/L before cesarean delivery, or at any time if there is excessive active bleeding, known platelet dysfunction, rapidly falling platelet count, or coagulopathy (strong, low).18.For women with chronic hypertension, expectant care should be undertaken from fetal viability to &lt;370 weeks gestation, unless there is an indication for birth (strong, very low). Initiation of delivery can be offered at 380 to 396 weeks gestation but should be advised from 400 weeks gestation (conditional, low).19.For women with gestational hypertension, expectant care should be undertaken from fetal viability to &lt;370 weeks, unless there is an indication for birth (strong, low). When gestational hypertension arises before 370 weeks, initiation of delivery can be offered at 380 to 396 weeks gestation but should be advised from 400 weeks gestation (conditional, low). For women who are already at 370 weeks gestation or later and present with gestational hypertension, initiation of delivery should be discussed (strong, moderate).20.For women with preeclampsia, expectant management may be considered from fetal viability until &lt;340 weeks gestation, but only in perinatal centres capable of caring for very preterm infants (conditional, moderate). At 340–356 weeks gestation, initiation of delivery should be discussed, as it decreases maternal but increases neonatal risk, particularly if antenatal corticosteroids are not prescribed (strong, moderate). At 360–366 weeks gestation, initiation of delivery should be considered (strong, moderate). At 370 weeks gestation or later, initiation of delivery is recommended (strong, high).21.Blood pressure should be measured regularly (at least twice) in the first 2 weeks after delivery in women with hypertension (good practice point).22.As women may develop preeclampsia for the first time postpartum, those with new or worsening hypertension and/or symptoms of preeclampsia should be evaluated accordingly (good practice point).23.For lactating women, the following antihypertensive drugs are suggested: labetalol, methyldopa, nifedipine, enalapril, and captopril (conditional, low).24.Clinical follow-up should be provided for women with gestational hypertension and preeclampsia to ensure normalization of hypertension, clinical features, and laboratory test results (good practice point).25.Women with gestational hypertension and preeclampsia may benefit from interventions to reduce their risk of a hypertensive disorder of pregnancy in a future pregnancy and from screening for cardiovascular risk factors (conditional, low).","container-title":"Journal of Obstetrics and Gynaecology Canada","DOI":"10.1016/j.jogc.2022.03.002","ISSN":"1701-2163","issue":"5","journalAbbreviation":"Journal of Obstetrics and Gynaecology Canada","page":"547-571.e1","source":"ScienceDirect","title":"Guideline No. 426: Hypertensive Disorders of Pregnancy: Diagnosis, Prediction, Prevention, and Management","title-short":"Guideline No. 426","volume":"44","author":[{"family":"Magee","given":"Laura A."},{"family":"Smith","given":"Graeme N."},{"family":"Bloch","given":"Christine"},{"family":"Côté","given":"Anne-Marie"},{"family":"Jain","given":"Venu"},{"family":"Nerenberg","given":"Kara"},{"family":"Dadelszen","given":"Peter","non-dropping-particle":"von"},{"family":"Helewa","given":"Michael"},{"family":"Rey","given":"Evelyne"}],"issued":{"date-parts":[["2022",5,1]]}}}],"schema":"https://github.com/citation-style-language/schema/raw/master/csl-citation.json"} </w:instrText>
            </w:r>
            <w:r w:rsidR="000A2353" w:rsidRPr="00A956B3">
              <w:rPr>
                <w:rFonts w:ascii="Times New Roman" w:hAnsi="Times New Roman" w:cs="Times New Roman"/>
                <w:bCs/>
                <w:color w:val="000000" w:themeColor="text1"/>
                <w:sz w:val="20"/>
                <w:szCs w:val="20"/>
              </w:rPr>
              <w:fldChar w:fldCharType="separate"/>
            </w:r>
            <w:r w:rsidR="00BF4B37" w:rsidRPr="00A956B3">
              <w:rPr>
                <w:rFonts w:ascii="Times New Roman" w:hAnsi="Times New Roman" w:cs="Times New Roman"/>
                <w:bCs/>
                <w:noProof/>
                <w:color w:val="000000" w:themeColor="text1"/>
                <w:sz w:val="20"/>
                <w:szCs w:val="20"/>
                <w:lang w:val="en-CA"/>
              </w:rPr>
              <w:t>[1]</w:t>
            </w:r>
            <w:r w:rsidR="000A2353" w:rsidRPr="00A956B3">
              <w:rPr>
                <w:rFonts w:ascii="Times New Roman" w:hAnsi="Times New Roman" w:cs="Times New Roman"/>
                <w:bCs/>
                <w:color w:val="000000" w:themeColor="text1"/>
                <w:sz w:val="20"/>
                <w:szCs w:val="20"/>
              </w:rPr>
              <w:fldChar w:fldCharType="end"/>
            </w:r>
          </w:p>
        </w:tc>
        <w:tc>
          <w:tcPr>
            <w:tcW w:w="2563" w:type="dxa"/>
            <w:vAlign w:val="center"/>
          </w:tcPr>
          <w:p w14:paraId="30CE3B47" w14:textId="2E287B83" w:rsidR="000D0A00" w:rsidRPr="00A956B3" w:rsidRDefault="000D0A00" w:rsidP="00CE4906">
            <w:pPr>
              <w:jc w:val="center"/>
              <w:rPr>
                <w:rFonts w:ascii="Times New Roman" w:hAnsi="Times New Roman" w:cs="Times New Roman"/>
                <w:bCs/>
                <w:color w:val="000000" w:themeColor="text1"/>
                <w:sz w:val="20"/>
                <w:szCs w:val="20"/>
                <w:lang w:val="en-CA"/>
              </w:rPr>
            </w:pPr>
            <w:r w:rsidRPr="00A956B3">
              <w:rPr>
                <w:rFonts w:ascii="Times New Roman" w:hAnsi="Times New Roman" w:cs="Times New Roman"/>
                <w:bCs/>
                <w:color w:val="000000" w:themeColor="text1"/>
                <w:sz w:val="20"/>
                <w:szCs w:val="20"/>
                <w:u w:val="single"/>
                <w:lang w:val="en-CA"/>
              </w:rPr>
              <w:t>Chronic hypertension:</w:t>
            </w:r>
            <w:r w:rsidRPr="00A956B3">
              <w:rPr>
                <w:rFonts w:ascii="Times New Roman" w:hAnsi="Times New Roman" w:cs="Times New Roman"/>
                <w:bCs/>
                <w:color w:val="000000" w:themeColor="text1"/>
                <w:sz w:val="20"/>
                <w:szCs w:val="20"/>
                <w:lang w:val="en-CA"/>
              </w:rPr>
              <w:t xml:space="preserve"> defined </w:t>
            </w:r>
            <w:proofErr w:type="gramStart"/>
            <w:r w:rsidRPr="00A956B3">
              <w:rPr>
                <w:rFonts w:ascii="Times New Roman" w:hAnsi="Times New Roman" w:cs="Times New Roman"/>
                <w:bCs/>
                <w:color w:val="000000" w:themeColor="text1"/>
                <w:sz w:val="20"/>
                <w:szCs w:val="20"/>
                <w:lang w:val="en-CA"/>
              </w:rPr>
              <w:t>by the use of</w:t>
            </w:r>
            <w:proofErr w:type="gramEnd"/>
            <w:r w:rsidRPr="00A956B3">
              <w:rPr>
                <w:rFonts w:ascii="Times New Roman" w:hAnsi="Times New Roman" w:cs="Times New Roman"/>
                <w:bCs/>
                <w:color w:val="000000" w:themeColor="text1"/>
                <w:sz w:val="20"/>
                <w:szCs w:val="20"/>
                <w:lang w:val="en-CA"/>
              </w:rPr>
              <w:t xml:space="preserve"> antihypertensive medications or corresponding to at least two elevated clinically measured blood pressure values before 20 weeks’ gestation</w:t>
            </w:r>
          </w:p>
          <w:p w14:paraId="6E2A3C4A" w14:textId="0965F414" w:rsidR="000A2353" w:rsidRPr="00A956B3" w:rsidRDefault="000D0A00"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u w:val="single"/>
                <w:lang w:val="en-CA"/>
              </w:rPr>
              <w:t>Gestational hypertension:</w:t>
            </w:r>
            <w:r w:rsidRPr="00A956B3">
              <w:rPr>
                <w:rFonts w:ascii="Times New Roman" w:hAnsi="Times New Roman" w:cs="Times New Roman"/>
                <w:bCs/>
                <w:color w:val="000000" w:themeColor="text1"/>
                <w:sz w:val="20"/>
                <w:szCs w:val="20"/>
                <w:lang w:val="en-CA"/>
              </w:rPr>
              <w:t xml:space="preserve"> d</w:t>
            </w:r>
            <w:r w:rsidR="000A2353" w:rsidRPr="00A956B3">
              <w:rPr>
                <w:rFonts w:ascii="Times New Roman" w:hAnsi="Times New Roman" w:cs="Times New Roman"/>
                <w:bCs/>
                <w:color w:val="000000" w:themeColor="text1"/>
                <w:sz w:val="20"/>
                <w:szCs w:val="20"/>
                <w:lang w:val="en-CA"/>
              </w:rPr>
              <w:t xml:space="preserve">efined by the SOGC guidelines as follow: at least two clinically measured high blood pressure values (SBP </w:t>
            </w:r>
            <w:r w:rsidR="000A2353" w:rsidRPr="00A956B3">
              <w:rPr>
                <w:rFonts w:ascii="Times New Roman" w:hAnsi="Times New Roman" w:cs="Times New Roman"/>
                <w:bCs/>
                <w:color w:val="000000" w:themeColor="text1"/>
                <w:sz w:val="20"/>
                <w:szCs w:val="20"/>
                <w:lang w:val="en-CA"/>
              </w:rPr>
              <w:sym w:font="Symbol" w:char="F0B3"/>
            </w:r>
            <w:r w:rsidR="000A2353" w:rsidRPr="00A956B3">
              <w:rPr>
                <w:rFonts w:ascii="Times New Roman" w:hAnsi="Times New Roman" w:cs="Times New Roman"/>
                <w:bCs/>
                <w:color w:val="000000" w:themeColor="text1"/>
                <w:sz w:val="20"/>
                <w:szCs w:val="20"/>
                <w:lang w:val="en-CA"/>
              </w:rPr>
              <w:t xml:space="preserve">140 mmHg and/or DBP </w:t>
            </w:r>
            <w:r w:rsidR="000A2353" w:rsidRPr="00A956B3">
              <w:rPr>
                <w:rFonts w:ascii="Times New Roman" w:hAnsi="Times New Roman" w:cs="Times New Roman"/>
                <w:bCs/>
                <w:color w:val="000000" w:themeColor="text1"/>
                <w:sz w:val="20"/>
                <w:szCs w:val="20"/>
                <w:lang w:val="en-CA"/>
              </w:rPr>
              <w:sym w:font="Symbol" w:char="F0B3"/>
            </w:r>
            <w:r w:rsidR="000A2353" w:rsidRPr="00A956B3">
              <w:rPr>
                <w:rFonts w:ascii="Times New Roman" w:hAnsi="Times New Roman" w:cs="Times New Roman"/>
                <w:bCs/>
                <w:color w:val="000000" w:themeColor="text1"/>
                <w:sz w:val="20"/>
                <w:szCs w:val="20"/>
                <w:lang w:val="en-CA"/>
              </w:rPr>
              <w:t xml:space="preserve">90 mmHg) after 20 weeks of gestation </w:t>
            </w:r>
            <w:r w:rsidR="000A2353" w:rsidRPr="00A956B3">
              <w:rPr>
                <w:rFonts w:ascii="Times New Roman" w:hAnsi="Times New Roman" w:cs="Times New Roman"/>
                <w:bCs/>
                <w:color w:val="000000" w:themeColor="text1"/>
                <w:sz w:val="20"/>
                <w:szCs w:val="20"/>
              </w:rPr>
              <w:fldChar w:fldCharType="begin"/>
            </w:r>
            <w:r w:rsidR="00BF4B37" w:rsidRPr="00A956B3">
              <w:rPr>
                <w:rFonts w:ascii="Times New Roman" w:hAnsi="Times New Roman" w:cs="Times New Roman"/>
                <w:bCs/>
                <w:color w:val="000000" w:themeColor="text1"/>
                <w:sz w:val="20"/>
                <w:szCs w:val="20"/>
                <w:lang w:val="en-CA"/>
              </w:rPr>
              <w:instrText xml:space="preserve"> ADDIN ZOTERO_ITEM CSL_CITATION {"citationID":"aSX4qfMd","properties":{"formattedCitation":"[1]","plainCitation":"[1]","noteIndex":0},"citationItems":[{"id":3434,"uris":["http://zotero.org/users/local/WiC0VgBZ/items/ASH7MQBX"],"itemData":{"id":3434,"type":"article-journal","abstract":"Objective\nThis guideline was developed by maternity care providers from obstetrics and internal medicine. It reviews the diagnosis, evaluation, and management of the hypertensive disorders of pregnancy (HDPs), the prediction and prevention of preeclampsia, and the postpartum care of women with a previous HDP.\nTarget population\nPregnant women.\nBenefits, harms, and costs\nImplementation of the recommendations in these guidelines may reduce the incidence of the HDPs, particularly preeclampsia, and associated adverse outcomes.\nEvidence\nA comprehensive literature review was updated to December 2020, following the same methods as for previous Society of Obstetricians and Gynaecologists of Canada (SOGC) HDP guidelines, and references were restricted to English or French. To support recommendations for therapies, we prioritized randomized controlled trials and systematic reviews (if available), and evaluated substantive clinical outcomes for mothers and babies.\nValidation methods\nThe authors agreed on the content and recommendations through consensus and responded to peer review by the SOGC Maternal Fetal Medicine Committee. The authors rated the quality of evidence and strength of recommendations using the Grading of Recommendations Assessment, Development and Evaluation (GRADE) approach, along with the option of designating a recommendation as a “good practice point.” See online Appendix A (Tables A1 for definitions and A2 for interpretations of strong and conditional [weak] recommendations).The Board of the SOGC approved the final draft for publication.\nIntended users\nAll health care providers (obstetricians, family doctors, midwives, nurses, and anesthesiologists) who provide care to women before, during, or after pregnancy.\nRECOMMENDATIONS\n1.Pre-conception counselling is suggested for women with pre-pregnancy hypertension to advise on individualized management during pregnancy (conditional, low).2.Replacing angiotensin-converting enzyme (ACE) inhibitors or angiotensin-receptor blockers (ARBs) with other antihypertensives in women planning pregnancy is recommended unless there is a compelling clinical indication not to (strong, low).3.In early pregnancy, women should be screened, at a minimum, for clinical risk markers for preeclampsia (strong, moderate).4.If testing is available, women should be screened at 11–14 weeks gestation using a combination of clinical risk markers, uterine artery pulsatility index, and placental growth factor (PlGF) to individualize the risk of developing preeclampsia (strong, moderate).5.For women at increased risk of preeclampsia, low-dose acetylsalicylic acid (81 or 162 mg/d) is recommended (strong, high), to be taken at bedtime (strong, moderate), preferably before 16 weeks gestation (conditional, moderate), and discontinued by 36 weeks gestation (conditional, low).6.For all other women, low-dose acetylsalicylic acid is not recommended (strong, moderate).7.For all women with low dietary intake of calcium (&lt;900 mg/d), oral calcium supplementation of at least 500 mg/d is suggested to prevent preeclampsia (conditional, low).8.For all women, vitamin D supplementation over and above Health Canada’s recommendation for adults is not suggested to prevent preeclampsia (conditional, moderate).9.For all women, exercise is recommended to prevent preeclampsia (strong, moderate).10.For women at increased risk of preeclampsia, who are overweight or obese dietary advice (reduce calories and choose foods with a low glycemic index) and exercise are recommended (conditional, moderate).11.Inpatient care should be provided for women with severe hypertension or preeclampsia with 1 or more maternal adverse conditions (good practice point).12.Bed rest is not suggested for any women with preeclampsia (conditional, low).13.Antihypertensive therapy is recommended for pregnant women with an average systolic blood pressure ≥140 mm Hg or diastolic blood pressure ≥90 mm Hg, regardless of the hypertensive disorder of pregnancy (strong, moderate).14.A diastolic blood pressure of 85 mm Hg should be targeted for pregnant women on antihypertensive therapy with chronic or gestational hypertension (strong, moderate), and a similar target, considered for women with preeclampsia (conditional, low).15.Antihypertensive therapy (oral or parenteral) is urgently recommended for women with severe hypertension (i.e., systolic blood pressure ≥160 mm Hg or diastolic blood pressure ≥110 mm Hg) in pregnancy or postpartum (strong, low).16.Magnesium sulphate is recommended for first-line treatment of eclampsia and prophylaxis against eclampsia in women with preeclampsia and severe hypertension or adverse maternal conditions (strong, high).17.Platelet transfusion should be considered if a woman’s platelet count is &lt;20 × 109/L before vaginal delivery or &lt;50 × 109/L before cesarean delivery, or at any time if there is excessive active bleeding, known platelet dysfunction, rapidly falling platelet count, or coagulopathy (strong, low).18.For women with chronic hypertension, expectant care should be undertaken from fetal viability to &lt;370 weeks gestation, unless there is an indication for birth (strong, very low). Initiation of delivery can be offered at 380 to 396 weeks gestation but should be advised from 400 weeks gestation (conditional, low).19.For women with gestational hypertension, expectant care should be undertaken from fetal viability to &lt;370 weeks, unless there is an indication for birth (strong, low). When gestational hypertension arises before 370 weeks, initiation of delivery can be offered at 380 to 396 weeks gestation but should be advised from 400 weeks gestation (conditional, low). For women who are already at 370 weeks gestation or later and present with gestational hypertension, initiation of delivery should be discussed (strong, moderate).20.For women with preeclampsia, expectant management may be considered from fetal viability until &lt;340 weeks gestation, but only in perinatal centres capable of caring for very preterm infants (conditional, moderate). At 340–356 weeks gestation, initiation of delivery should be discussed, as it decreases maternal but increases neonatal risk, particularly if antenatal corticosteroids are not prescribed (strong, moderate). At 360–366 weeks gestation, initiation of delivery should be considered (strong, moderate). At 370 weeks gestation or later, initiation of delivery is recommended (strong, high).21.Blood pressure should be measured regularly (at least twice) in the first 2 weeks after delivery in women with hypertension (good practice point).22.As women may develop preeclampsia for the first time postpartum, those with new or worsening hypertension and/or symptoms of preeclampsia should be evaluated accordingly (good practice point).23.For lactating women, the following antihypertensive drugs are suggested: labetalol, methyldopa, nifedipine, enalapril, and captopril (conditional, low).24.Clinical follow-up should be provided for women with gestational hypertension and preeclampsia to ensure normalization of hypertension, clinical features, and laboratory test results (good practice point).25.Women with gestational hypertension and preeclampsia may benefit from interventions to reduce their risk of a hypertensive disorder of pregnancy in a future pregnancy and from screening for cardiovascular risk factors (conditional, low).","container-title":"Journal of Obstetrics and Gynaecology Canada","DOI":"10.1016/j.jogc.2022.03.002","ISSN":"1701-2163","issue":"5","journalAbbreviation":"Journal of Obstetrics and Gynaecology Canada","page":"547-571.e1","source":"ScienceDirect","title":"Guideline No. 426: Hypertensive Disorders of Pregnancy: Diagnosis, Prediction, Prevention, and Management","title-short":"Guideline No. 426","volume":"44","author":[{"family":"Magee","given":"Laura A."},{"family":"Smith","given":"Graeme N."},{"family":"Bloch","given":"Christine"},{"family":"Côté","given":"Anne-Marie"},{"family":"Jain","given":"Venu"},{"family":"Nerenberg","given":"Kara"},{"family":"Dadelszen","given":"Peter","non-dropping-particle":"von"},{"family":"Helewa","given":"Michael"},{"family":"Rey","given":"Evelyne"}],"issued":{"date-parts":[["2022",5,1]]}}}],"schema":"https://github.com/citation-style-language/schema/raw/master/csl-citation.json"} </w:instrText>
            </w:r>
            <w:r w:rsidR="000A2353" w:rsidRPr="00A956B3">
              <w:rPr>
                <w:rFonts w:ascii="Times New Roman" w:hAnsi="Times New Roman" w:cs="Times New Roman"/>
                <w:bCs/>
                <w:color w:val="000000" w:themeColor="text1"/>
                <w:sz w:val="20"/>
                <w:szCs w:val="20"/>
              </w:rPr>
              <w:fldChar w:fldCharType="separate"/>
            </w:r>
            <w:r w:rsidR="00BF4B37" w:rsidRPr="00A956B3">
              <w:rPr>
                <w:rFonts w:ascii="Times New Roman" w:hAnsi="Times New Roman" w:cs="Times New Roman"/>
                <w:bCs/>
                <w:noProof/>
                <w:color w:val="000000" w:themeColor="text1"/>
                <w:sz w:val="20"/>
                <w:szCs w:val="20"/>
                <w:lang w:val="en-CA"/>
              </w:rPr>
              <w:t>[1]</w:t>
            </w:r>
            <w:r w:rsidR="000A2353" w:rsidRPr="00A956B3">
              <w:rPr>
                <w:rFonts w:ascii="Times New Roman" w:hAnsi="Times New Roman" w:cs="Times New Roman"/>
                <w:bCs/>
                <w:color w:val="000000" w:themeColor="text1"/>
                <w:sz w:val="20"/>
                <w:szCs w:val="20"/>
              </w:rPr>
              <w:fldChar w:fldCharType="end"/>
            </w:r>
          </w:p>
        </w:tc>
        <w:tc>
          <w:tcPr>
            <w:tcW w:w="1406" w:type="dxa"/>
            <w:vMerge w:val="restart"/>
            <w:vAlign w:val="center"/>
          </w:tcPr>
          <w:p w14:paraId="6557D61F" w14:textId="77777777" w:rsidR="000A2353" w:rsidRPr="00A956B3" w:rsidRDefault="000A2353" w:rsidP="00CE4906">
            <w:pPr>
              <w:jc w:val="center"/>
              <w:rPr>
                <w:rFonts w:ascii="Times New Roman" w:hAnsi="Times New Roman" w:cs="Times New Roman"/>
                <w:bCs/>
                <w:color w:val="000000" w:themeColor="text1"/>
                <w:sz w:val="20"/>
                <w:szCs w:val="20"/>
                <w:lang w:val="en-CA"/>
              </w:rPr>
            </w:pPr>
            <w:r w:rsidRPr="00A956B3">
              <w:rPr>
                <w:rFonts w:ascii="Times New Roman" w:hAnsi="Times New Roman" w:cs="Times New Roman"/>
                <w:color w:val="000000" w:themeColor="text1"/>
                <w:sz w:val="20"/>
                <w:szCs w:val="20"/>
                <w:lang w:val="en-CA"/>
              </w:rPr>
              <w:t>Delivery</w:t>
            </w:r>
          </w:p>
        </w:tc>
        <w:tc>
          <w:tcPr>
            <w:tcW w:w="1221" w:type="dxa"/>
            <w:vMerge w:val="restart"/>
            <w:vAlign w:val="center"/>
          </w:tcPr>
          <w:p w14:paraId="75BE4B2F" w14:textId="77777777" w:rsidR="000A2353" w:rsidRPr="00A956B3" w:rsidRDefault="000A2353" w:rsidP="00CE4906">
            <w:pPr>
              <w:jc w:val="center"/>
              <w:rPr>
                <w:rFonts w:ascii="Times New Roman" w:hAnsi="Times New Roman" w:cs="Times New Roman"/>
                <w:bCs/>
                <w:color w:val="000000" w:themeColor="text1"/>
                <w:sz w:val="20"/>
                <w:szCs w:val="20"/>
                <w:lang w:val="en-CA"/>
              </w:rPr>
            </w:pPr>
            <w:r w:rsidRPr="00A956B3">
              <w:rPr>
                <w:rFonts w:ascii="Times New Roman" w:hAnsi="Times New Roman" w:cs="Times New Roman"/>
                <w:color w:val="000000" w:themeColor="text1"/>
                <w:sz w:val="20"/>
                <w:szCs w:val="20"/>
                <w:lang w:val="en-CA"/>
              </w:rPr>
              <w:t>Delivery</w:t>
            </w:r>
          </w:p>
        </w:tc>
      </w:tr>
      <w:tr w:rsidR="00A956B3" w:rsidRPr="00A956B3" w14:paraId="1EB5B9E6" w14:textId="77777777" w:rsidTr="0079107A">
        <w:trPr>
          <w:trHeight w:val="424"/>
        </w:trPr>
        <w:tc>
          <w:tcPr>
            <w:tcW w:w="1456" w:type="dxa"/>
            <w:vAlign w:val="center"/>
          </w:tcPr>
          <w:p w14:paraId="4F6A7BE2"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lastRenderedPageBreak/>
              <w:t>Preeclampsia</w:t>
            </w:r>
          </w:p>
        </w:tc>
        <w:tc>
          <w:tcPr>
            <w:tcW w:w="2934" w:type="dxa"/>
            <w:vAlign w:val="center"/>
          </w:tcPr>
          <w:p w14:paraId="431F62F8"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lang w:val="en-CA"/>
              </w:rPr>
              <w:t xml:space="preserve">Gestational hypertension with proteinuria after 20 weeks of pregnancy (protein to creatinine ratio </w:t>
            </w:r>
            <w:r w:rsidRPr="00A956B3">
              <w:rPr>
                <w:rFonts w:ascii="Times New Roman" w:hAnsi="Times New Roman" w:cs="Times New Roman"/>
                <w:bCs/>
                <w:color w:val="000000" w:themeColor="text1"/>
                <w:sz w:val="20"/>
                <w:szCs w:val="20"/>
                <w:lang w:val="en-CA"/>
              </w:rPr>
              <w:sym w:font="Symbol" w:char="F03E"/>
            </w:r>
            <w:r w:rsidRPr="00A956B3">
              <w:rPr>
                <w:rFonts w:ascii="Times New Roman" w:hAnsi="Times New Roman" w:cs="Times New Roman"/>
                <w:bCs/>
                <w:color w:val="000000" w:themeColor="text1"/>
                <w:sz w:val="20"/>
                <w:szCs w:val="20"/>
                <w:lang w:val="en-CA"/>
              </w:rPr>
              <w:t xml:space="preserve"> 0.03 g/mmol or </w:t>
            </w:r>
            <w:r w:rsidRPr="00A956B3">
              <w:rPr>
                <w:rFonts w:ascii="Times New Roman" w:hAnsi="Times New Roman" w:cs="Times New Roman"/>
                <w:bCs/>
                <w:color w:val="000000" w:themeColor="text1"/>
                <w:sz w:val="20"/>
                <w:szCs w:val="20"/>
                <w:lang w:val="en-CA"/>
              </w:rPr>
              <w:sym w:font="Symbol" w:char="F0B3"/>
            </w:r>
            <w:r w:rsidRPr="00A956B3">
              <w:rPr>
                <w:rFonts w:ascii="Times New Roman" w:hAnsi="Times New Roman" w:cs="Times New Roman"/>
                <w:bCs/>
                <w:color w:val="000000" w:themeColor="text1"/>
                <w:sz w:val="20"/>
                <w:szCs w:val="20"/>
                <w:lang w:val="en-CA"/>
              </w:rPr>
              <w:t xml:space="preserve"> 300 mg/day)</w:t>
            </w:r>
          </w:p>
        </w:tc>
        <w:tc>
          <w:tcPr>
            <w:tcW w:w="2563" w:type="dxa"/>
            <w:vAlign w:val="center"/>
          </w:tcPr>
          <w:p w14:paraId="2624A414" w14:textId="466FF3F9"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lang w:val="en-CA"/>
              </w:rPr>
              <w:t xml:space="preserve">Gestational hypertension or chronic hypertension with proteinuria after 20 weeks of pregnancy (dipstick value of </w:t>
            </w:r>
            <w:r w:rsidRPr="00A956B3">
              <w:rPr>
                <w:rFonts w:ascii="Times New Roman" w:hAnsi="Times New Roman" w:cs="Times New Roman"/>
                <w:bCs/>
                <w:color w:val="000000" w:themeColor="text1"/>
                <w:sz w:val="20"/>
                <w:szCs w:val="20"/>
                <w:lang w:val="en-CA"/>
              </w:rPr>
              <w:sym w:font="Symbol" w:char="F0B3"/>
            </w:r>
            <w:r w:rsidRPr="00A956B3">
              <w:rPr>
                <w:rFonts w:ascii="Times New Roman" w:hAnsi="Times New Roman" w:cs="Times New Roman"/>
                <w:bCs/>
                <w:color w:val="000000" w:themeColor="text1"/>
                <w:sz w:val="20"/>
                <w:szCs w:val="20"/>
                <w:lang w:val="en-CA"/>
              </w:rPr>
              <w:t xml:space="preserve">2+ once or </w:t>
            </w:r>
            <w:r w:rsidRPr="00A956B3">
              <w:rPr>
                <w:rFonts w:ascii="Times New Roman" w:hAnsi="Times New Roman" w:cs="Times New Roman"/>
                <w:bCs/>
                <w:color w:val="000000" w:themeColor="text1"/>
                <w:sz w:val="20"/>
                <w:szCs w:val="20"/>
                <w:lang w:val="en-CA"/>
              </w:rPr>
              <w:sym w:font="Symbol" w:char="F0B3"/>
            </w:r>
            <w:r w:rsidRPr="00A956B3">
              <w:rPr>
                <w:rFonts w:ascii="Times New Roman" w:hAnsi="Times New Roman" w:cs="Times New Roman"/>
                <w:bCs/>
                <w:color w:val="000000" w:themeColor="text1"/>
                <w:sz w:val="20"/>
                <w:szCs w:val="20"/>
                <w:lang w:val="en-CA"/>
              </w:rPr>
              <w:t xml:space="preserve">1+ on 2 or more occasions </w:t>
            </w:r>
            <w:r w:rsidRPr="00A956B3">
              <w:rPr>
                <w:rFonts w:ascii="Times New Roman" w:hAnsi="Times New Roman" w:cs="Times New Roman"/>
                <w:bCs/>
                <w:color w:val="000000" w:themeColor="text1"/>
                <w:sz w:val="20"/>
                <w:szCs w:val="20"/>
                <w:lang w:val="en-CA"/>
              </w:rPr>
              <w:sym w:font="Symbol" w:char="F03E"/>
            </w:r>
            <w:r w:rsidRPr="00A956B3">
              <w:rPr>
                <w:rFonts w:ascii="Times New Roman" w:hAnsi="Times New Roman" w:cs="Times New Roman"/>
                <w:bCs/>
                <w:color w:val="000000" w:themeColor="text1"/>
                <w:sz w:val="20"/>
                <w:szCs w:val="20"/>
                <w:lang w:val="en-CA"/>
              </w:rPr>
              <w:t xml:space="preserve">4 hours but </w:t>
            </w:r>
            <w:r w:rsidRPr="00A956B3">
              <w:rPr>
                <w:rFonts w:ascii="Times New Roman" w:hAnsi="Times New Roman" w:cs="Times New Roman"/>
                <w:bCs/>
                <w:color w:val="000000" w:themeColor="text1"/>
                <w:sz w:val="20"/>
                <w:szCs w:val="20"/>
                <w:lang w:val="en-CA"/>
              </w:rPr>
              <w:sym w:font="Symbol" w:char="F0A3"/>
            </w:r>
            <w:r w:rsidRPr="00A956B3">
              <w:rPr>
                <w:rFonts w:ascii="Times New Roman" w:hAnsi="Times New Roman" w:cs="Times New Roman"/>
                <w:bCs/>
                <w:color w:val="000000" w:themeColor="text1"/>
                <w:sz w:val="20"/>
                <w:szCs w:val="20"/>
                <w:lang w:val="en-CA"/>
              </w:rPr>
              <w:t>7 days apart)</w:t>
            </w:r>
          </w:p>
        </w:tc>
        <w:tc>
          <w:tcPr>
            <w:tcW w:w="1406" w:type="dxa"/>
            <w:vMerge/>
            <w:vAlign w:val="center"/>
          </w:tcPr>
          <w:p w14:paraId="66B760E4" w14:textId="77777777" w:rsidR="000A2353" w:rsidRPr="00A956B3" w:rsidRDefault="000A2353" w:rsidP="00CE4906">
            <w:pPr>
              <w:jc w:val="center"/>
              <w:rPr>
                <w:rFonts w:ascii="Times New Roman" w:hAnsi="Times New Roman" w:cs="Times New Roman"/>
                <w:bCs/>
                <w:color w:val="000000" w:themeColor="text1"/>
                <w:sz w:val="20"/>
                <w:szCs w:val="20"/>
                <w:lang w:val="en-CA"/>
              </w:rPr>
            </w:pPr>
          </w:p>
        </w:tc>
        <w:tc>
          <w:tcPr>
            <w:tcW w:w="1221" w:type="dxa"/>
            <w:vMerge/>
            <w:vAlign w:val="center"/>
          </w:tcPr>
          <w:p w14:paraId="240CEB90" w14:textId="77777777" w:rsidR="000A2353" w:rsidRPr="00A956B3" w:rsidRDefault="000A2353" w:rsidP="00CE4906">
            <w:pPr>
              <w:jc w:val="center"/>
              <w:rPr>
                <w:rFonts w:ascii="Times New Roman" w:hAnsi="Times New Roman" w:cs="Times New Roman"/>
                <w:bCs/>
                <w:color w:val="000000" w:themeColor="text1"/>
                <w:sz w:val="20"/>
                <w:szCs w:val="20"/>
                <w:lang w:val="en-CA"/>
              </w:rPr>
            </w:pPr>
          </w:p>
        </w:tc>
      </w:tr>
      <w:tr w:rsidR="00A956B3" w:rsidRPr="00A956B3" w14:paraId="7BB1D95B" w14:textId="77777777" w:rsidTr="0079107A">
        <w:trPr>
          <w:trHeight w:val="841"/>
        </w:trPr>
        <w:tc>
          <w:tcPr>
            <w:tcW w:w="1456" w:type="dxa"/>
            <w:vMerge w:val="restart"/>
            <w:vAlign w:val="center"/>
          </w:tcPr>
          <w:p w14:paraId="3CA96414"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GDM diagnosis</w:t>
            </w:r>
          </w:p>
        </w:tc>
        <w:tc>
          <w:tcPr>
            <w:tcW w:w="2934" w:type="dxa"/>
            <w:vAlign w:val="center"/>
          </w:tcPr>
          <w:p w14:paraId="49711D98"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Some women with risk factors were screened for GDM (50g GCT and/or asked to do SMBG) before the universal testing at 24-28 weeks. If hyperglycemia was detected, women were referred to the diabetes in pregnancy clinic for treatment</w:t>
            </w:r>
          </w:p>
        </w:tc>
        <w:tc>
          <w:tcPr>
            <w:tcW w:w="2563" w:type="dxa"/>
            <w:vMerge w:val="restart"/>
            <w:vAlign w:val="center"/>
          </w:tcPr>
          <w:p w14:paraId="13893141" w14:textId="42FAE61D" w:rsidR="000A2353" w:rsidRPr="00A956B3" w:rsidRDefault="000A2353" w:rsidP="00CE4906">
            <w:pPr>
              <w:jc w:val="center"/>
              <w:rPr>
                <w:rFonts w:ascii="Times New Roman" w:hAnsi="Times New Roman" w:cs="Times New Roman"/>
                <w:bCs/>
                <w:color w:val="000000" w:themeColor="text1"/>
                <w:sz w:val="20"/>
                <w:szCs w:val="20"/>
                <w:lang w:val="en-CA"/>
              </w:rPr>
            </w:pPr>
            <w:r w:rsidRPr="00A956B3">
              <w:rPr>
                <w:rFonts w:ascii="Times New Roman" w:hAnsi="Times New Roman" w:cs="Times New Roman"/>
                <w:color w:val="000000" w:themeColor="text1"/>
                <w:sz w:val="20"/>
                <w:szCs w:val="20"/>
                <w:lang w:val="en-CA"/>
              </w:rPr>
              <w:t xml:space="preserve">Defined by the </w:t>
            </w:r>
            <w:r w:rsidRPr="00A956B3">
              <w:rPr>
                <w:rFonts w:ascii="Times New Roman" w:hAnsi="Times New Roman" w:cs="Times New Roman"/>
                <w:bCs/>
                <w:color w:val="000000" w:themeColor="text1"/>
                <w:sz w:val="20"/>
                <w:szCs w:val="20"/>
                <w:lang w:val="en-CA"/>
              </w:rPr>
              <w:t xml:space="preserve">Carpenter and </w:t>
            </w:r>
            <w:proofErr w:type="spellStart"/>
            <w:r w:rsidRPr="00A956B3">
              <w:rPr>
                <w:rFonts w:ascii="Times New Roman" w:hAnsi="Times New Roman" w:cs="Times New Roman"/>
                <w:bCs/>
                <w:color w:val="000000" w:themeColor="text1"/>
                <w:sz w:val="20"/>
                <w:szCs w:val="20"/>
                <w:lang w:val="en-CA"/>
              </w:rPr>
              <w:t>Coustan</w:t>
            </w:r>
            <w:proofErr w:type="spellEnd"/>
            <w:r w:rsidRPr="00A956B3">
              <w:rPr>
                <w:rFonts w:ascii="Times New Roman" w:hAnsi="Times New Roman" w:cs="Times New Roman"/>
                <w:bCs/>
                <w:color w:val="000000" w:themeColor="text1"/>
                <w:sz w:val="20"/>
                <w:szCs w:val="20"/>
                <w:lang w:val="en-CA"/>
              </w:rPr>
              <w:t xml:space="preserve"> criteria using a non-fasting 50g-GCT followed by a fasting 100g-OGTT if abnormal results (</w:t>
            </w:r>
            <w:r w:rsidRPr="00A956B3">
              <w:rPr>
                <w:rFonts w:ascii="Times New Roman" w:hAnsi="Times New Roman" w:cs="Times New Roman"/>
                <w:color w:val="000000" w:themeColor="text1"/>
                <w:sz w:val="20"/>
                <w:szCs w:val="20"/>
                <w:lang w:val="en-CA"/>
              </w:rPr>
              <w:t xml:space="preserve">1-hour plasma glucose≥7.8 mmol/L), </w:t>
            </w:r>
            <w:r w:rsidRPr="00A956B3">
              <w:rPr>
                <w:rFonts w:ascii="Times New Roman" w:hAnsi="Times New Roman" w:cs="Times New Roman"/>
                <w:bCs/>
                <w:color w:val="000000" w:themeColor="text1"/>
                <w:sz w:val="20"/>
                <w:szCs w:val="20"/>
                <w:lang w:val="en-CA"/>
              </w:rPr>
              <w:t xml:space="preserve">with GDM diagnosed at the following thresholds: </w:t>
            </w:r>
            <w:r w:rsidRPr="00A956B3">
              <w:rPr>
                <w:rFonts w:ascii="Times New Roman" w:hAnsi="Times New Roman" w:cs="Times New Roman"/>
                <w:color w:val="000000" w:themeColor="text1"/>
                <w:sz w:val="20"/>
                <w:szCs w:val="20"/>
                <w:lang w:val="en-CA"/>
              </w:rPr>
              <w:t>fasting plasma glucose</w:t>
            </w:r>
            <w:r w:rsidRPr="00A956B3">
              <w:rPr>
                <w:rFonts w:ascii="Times New Roman" w:hAnsi="Times New Roman" w:cs="Times New Roman"/>
                <w:color w:val="000000" w:themeColor="text1"/>
                <w:sz w:val="20"/>
                <w:szCs w:val="20"/>
                <w:lang w:val="en-CA"/>
              </w:rPr>
              <w:sym w:font="Symbol" w:char="F03E"/>
            </w:r>
            <w:r w:rsidRPr="00A956B3">
              <w:rPr>
                <w:rFonts w:ascii="Times New Roman" w:hAnsi="Times New Roman" w:cs="Times New Roman"/>
                <w:color w:val="000000" w:themeColor="text1"/>
                <w:sz w:val="20"/>
                <w:szCs w:val="20"/>
                <w:lang w:val="en-CA"/>
              </w:rPr>
              <w:t>5.3 mmol/L and/or 1h plasma glucose</w:t>
            </w:r>
            <w:r w:rsidRPr="00A956B3">
              <w:rPr>
                <w:rFonts w:ascii="Times New Roman" w:hAnsi="Times New Roman" w:cs="Times New Roman"/>
                <w:color w:val="000000" w:themeColor="text1"/>
                <w:sz w:val="20"/>
                <w:szCs w:val="20"/>
                <w:lang w:val="en-CA"/>
              </w:rPr>
              <w:sym w:font="Symbol" w:char="F03E"/>
            </w:r>
            <w:r w:rsidRPr="00A956B3">
              <w:rPr>
                <w:rFonts w:ascii="Times New Roman" w:hAnsi="Times New Roman" w:cs="Times New Roman"/>
                <w:color w:val="000000" w:themeColor="text1"/>
                <w:sz w:val="20"/>
                <w:szCs w:val="20"/>
                <w:lang w:val="en-CA"/>
              </w:rPr>
              <w:t>10.0 mmol/L and/or 2h plasma glucose</w:t>
            </w:r>
            <w:r w:rsidRPr="00A956B3">
              <w:rPr>
                <w:rFonts w:ascii="Times New Roman" w:hAnsi="Times New Roman" w:cs="Times New Roman"/>
                <w:color w:val="000000" w:themeColor="text1"/>
                <w:sz w:val="20"/>
                <w:szCs w:val="20"/>
                <w:lang w:val="en-CA"/>
              </w:rPr>
              <w:sym w:font="Symbol" w:char="F03E"/>
            </w:r>
            <w:r w:rsidRPr="00A956B3">
              <w:rPr>
                <w:rFonts w:ascii="Times New Roman" w:hAnsi="Times New Roman" w:cs="Times New Roman"/>
                <w:color w:val="000000" w:themeColor="text1"/>
                <w:sz w:val="20"/>
                <w:szCs w:val="20"/>
                <w:lang w:val="en-CA"/>
              </w:rPr>
              <w:t>8.6 mmol/L and/or 3h plasma glucose</w:t>
            </w:r>
            <w:r w:rsidRPr="00A956B3">
              <w:rPr>
                <w:rFonts w:ascii="Times New Roman" w:hAnsi="Times New Roman" w:cs="Times New Roman"/>
                <w:color w:val="000000" w:themeColor="text1"/>
                <w:sz w:val="20"/>
                <w:szCs w:val="20"/>
                <w:lang w:val="en-CA"/>
              </w:rPr>
              <w:sym w:font="Symbol" w:char="F03E"/>
            </w:r>
            <w:r w:rsidRPr="00A956B3">
              <w:rPr>
                <w:rFonts w:ascii="Times New Roman" w:hAnsi="Times New Roman" w:cs="Times New Roman"/>
                <w:color w:val="000000" w:themeColor="text1"/>
                <w:sz w:val="20"/>
                <w:szCs w:val="20"/>
                <w:lang w:val="en-CA"/>
              </w:rPr>
              <w:t xml:space="preserve">7.8 </w:t>
            </w:r>
            <w:r w:rsidRPr="00A956B3">
              <w:rPr>
                <w:rFonts w:ascii="Times New Roman" w:hAnsi="Times New Roman" w:cs="Times New Roman"/>
                <w:color w:val="000000" w:themeColor="text1"/>
                <w:sz w:val="20"/>
                <w:szCs w:val="20"/>
              </w:rPr>
              <w:fldChar w:fldCharType="begin"/>
            </w:r>
            <w:r w:rsidR="00BF4B37" w:rsidRPr="00A956B3">
              <w:rPr>
                <w:rFonts w:ascii="Times New Roman" w:hAnsi="Times New Roman" w:cs="Times New Roman"/>
                <w:color w:val="000000" w:themeColor="text1"/>
                <w:sz w:val="20"/>
                <w:szCs w:val="20"/>
                <w:lang w:val="en-CA"/>
              </w:rPr>
              <w:instrText xml:space="preserve"> ADDIN ZOTERO_ITEM CSL_CITATION {"citationID":"M3scB6kW","properties":{"formattedCitation":"[2]","plainCitation":"[2]","noteIndex":0},"citationItems":[{"id":3435,"uris":["http://zotero.org/users/local/WiC0VgBZ/items/LL78B3UJ"],"itemData":{"id":3435,"type":"article-journal","abstract":"A 50 gm, 1-hour glucose screening test was given to 381 gravid women 25 years of age or older. All women with plasma glucose values ≥130 mg/dl (119 mg/dl, whole blood) were given a 100 gm, 3-hour glucose tolerance test to diagnose gestational glucose intolerance using O'Sullivan's diagnostic criteria. On the basis of the distribution of screening test values, three diagnostic zones could be identified: a zone below 135 mg/dl plasma glucose, with less than 1% probability of diabetes; a zone above 182 mg/dl plasma glucose, with more than 95% probability of diabetes; and a central zone of uncertainty (135 to 182 mg/dl, plasma glucose), where further testing is required. These test results suggest that thresholds for further testing be lowered from 143 to 135 mg/dl of plasma glucose.","container-title":"American Journal of Obstetrics and Gynecology","DOI":"10.1016/0002-9378(82)90349-0","ISSN":"0002-9378","issue":"7","journalAbbreviation":"American Journal of Obstetrics and Gynecology","page":"768-773","source":"ScienceDirect","title":"Criteria for screening tests for gestational diabetes","volume":"144","author":[{"family":"Carpenter","given":"Marshall W."},{"family":"Coustan","given":"Donald R."}],"issued":{"date-parts":[["1982",12,1]]}}}],"schema":"https://github.com/citation-style-language/schema/raw/master/csl-citation.json"} </w:instrText>
            </w:r>
            <w:r w:rsidRPr="00A956B3">
              <w:rPr>
                <w:rFonts w:ascii="Times New Roman" w:hAnsi="Times New Roman" w:cs="Times New Roman"/>
                <w:color w:val="000000" w:themeColor="text1"/>
                <w:sz w:val="20"/>
                <w:szCs w:val="20"/>
              </w:rPr>
              <w:fldChar w:fldCharType="separate"/>
            </w:r>
            <w:r w:rsidR="00BF4B37" w:rsidRPr="00A956B3">
              <w:rPr>
                <w:rFonts w:ascii="Times New Roman" w:hAnsi="Times New Roman" w:cs="Times New Roman"/>
                <w:noProof/>
                <w:color w:val="000000" w:themeColor="text1"/>
                <w:sz w:val="20"/>
                <w:szCs w:val="20"/>
                <w:lang w:val="en-CA"/>
              </w:rPr>
              <w:t>[2]</w:t>
            </w:r>
            <w:r w:rsidRPr="00A956B3">
              <w:rPr>
                <w:rFonts w:ascii="Times New Roman" w:hAnsi="Times New Roman" w:cs="Times New Roman"/>
                <w:color w:val="000000" w:themeColor="text1"/>
                <w:sz w:val="20"/>
                <w:szCs w:val="20"/>
              </w:rPr>
              <w:fldChar w:fldCharType="end"/>
            </w:r>
          </w:p>
        </w:tc>
        <w:tc>
          <w:tcPr>
            <w:tcW w:w="1406" w:type="dxa"/>
            <w:vAlign w:val="center"/>
          </w:tcPr>
          <w:p w14:paraId="113346B5"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First trimester of pregnancy</w:t>
            </w:r>
          </w:p>
        </w:tc>
        <w:tc>
          <w:tcPr>
            <w:tcW w:w="1221" w:type="dxa"/>
            <w:vMerge w:val="restart"/>
            <w:vAlign w:val="center"/>
          </w:tcPr>
          <w:p w14:paraId="772C5B27"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Late second trimester of pregnancy (</w:t>
            </w:r>
            <w:r w:rsidRPr="00A956B3">
              <w:rPr>
                <w:rFonts w:ascii="Times New Roman" w:hAnsi="Times New Roman" w:cs="Times New Roman"/>
                <w:bCs/>
                <w:color w:val="000000" w:themeColor="text1"/>
                <w:sz w:val="20"/>
                <w:szCs w:val="20"/>
                <w:lang w:val="en-CA"/>
              </w:rPr>
              <w:t>~28 weeks)</w:t>
            </w:r>
          </w:p>
        </w:tc>
      </w:tr>
      <w:tr w:rsidR="00A956B3" w:rsidRPr="00A956B3" w14:paraId="56555AF4" w14:textId="77777777" w:rsidTr="0079107A">
        <w:trPr>
          <w:trHeight w:val="840"/>
        </w:trPr>
        <w:tc>
          <w:tcPr>
            <w:tcW w:w="1456" w:type="dxa"/>
            <w:vMerge/>
            <w:vAlign w:val="center"/>
          </w:tcPr>
          <w:p w14:paraId="70EC715D" w14:textId="77777777" w:rsidR="000A2353" w:rsidRPr="00A956B3" w:rsidRDefault="000A2353" w:rsidP="00CE4906">
            <w:pPr>
              <w:rPr>
                <w:rFonts w:ascii="Times New Roman" w:hAnsi="Times New Roman" w:cs="Times New Roman"/>
                <w:color w:val="000000" w:themeColor="text1"/>
                <w:sz w:val="20"/>
                <w:szCs w:val="20"/>
                <w:lang w:val="en-CA"/>
              </w:rPr>
            </w:pPr>
          </w:p>
        </w:tc>
        <w:tc>
          <w:tcPr>
            <w:tcW w:w="2934" w:type="dxa"/>
            <w:vAlign w:val="center"/>
          </w:tcPr>
          <w:p w14:paraId="39C5FFFC" w14:textId="325D1740"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 xml:space="preserve">Defined by the IADPSG criteria using a 75g-OGTT with GDM diagnosed at the following thresholds: fasting plasma glucose≥5.1 mmol/L and/or 1h plasma glucose≥10.0 mmol/L and/or 2h plasma glucose≥8.5 mmol/L </w:t>
            </w:r>
            <w:r w:rsidRPr="00A956B3">
              <w:rPr>
                <w:rFonts w:ascii="Times New Roman" w:hAnsi="Times New Roman" w:cs="Times New Roman"/>
                <w:color w:val="000000" w:themeColor="text1"/>
                <w:sz w:val="20"/>
                <w:szCs w:val="20"/>
              </w:rPr>
              <w:fldChar w:fldCharType="begin"/>
            </w:r>
            <w:r w:rsidR="00BF4B37" w:rsidRPr="00A956B3">
              <w:rPr>
                <w:rFonts w:ascii="Times New Roman" w:hAnsi="Times New Roman" w:cs="Times New Roman"/>
                <w:color w:val="000000" w:themeColor="text1"/>
                <w:sz w:val="20"/>
                <w:szCs w:val="20"/>
                <w:lang w:val="en-CA"/>
              </w:rPr>
              <w:instrText xml:space="preserve"> ADDIN ZOTERO_ITEM CSL_CITATION {"citationID":"mHyA5XmY","properties":{"formattedCitation":"[3]","plainCitation":"[3]","noteIndex":0},"citationItems":[{"id":1343,"uris":["http://zotero.org/users/local/WiC0VgBZ/items/XF4FBJ7M"],"itemData":{"id":1343,"type":"article-journal","container-title":"Diabetes Care","DOI":"10.2337/dc09-1848","ISSN":"1935-5548","issue":"3","journalAbbreviation":"Diabetes Care","language":"eng","note":"PMID: 20190296\nPMCID: PMC2827530","page":"676-682","source":"PubMed","title":"International association of diabetes and pregnancy study groups recommendations on the diagnosis and classification of hyperglycemia in pregnancy","volume":"33","author":[{"literal":"International Association of Diabetes and Pregnancy Study Groups Consensus Panel"},{"family":"Metzger","given":"Boyd E."},{"family":"Gabbe","given":"Steven G."},{"family":"Persson","given":"Bengt"},{"family":"Buchanan","given":"Thomas A."},{"family":"Catalano","given":"Patrick A."},{"family":"Damm","given":"Peter"},{"family":"Dyer","given":"Alan R."},{"family":"Leiva","given":"Alberto","dropping-particle":"de"},{"family":"Hod","given":"Moshe"},{"family":"Kitzmiler","given":"John L."},{"family":"Lowe","given":"Lynn P."},{"family":"McIntyre","given":"H. David"},{"family":"Oats","given":"Jeremy J. N."},{"family":"Omori","given":"Yasue"},{"family":"Schmidt","given":"Maria Ines"}],"issued":{"date-parts":[["2010",3]]}}}],"schema":"https://github.com/citation-style-language/schema/raw/master/csl-citation.json"} </w:instrText>
            </w:r>
            <w:r w:rsidRPr="00A956B3">
              <w:rPr>
                <w:rFonts w:ascii="Times New Roman" w:hAnsi="Times New Roman" w:cs="Times New Roman"/>
                <w:color w:val="000000" w:themeColor="text1"/>
                <w:sz w:val="20"/>
                <w:szCs w:val="20"/>
              </w:rPr>
              <w:fldChar w:fldCharType="separate"/>
            </w:r>
            <w:r w:rsidR="00BF4B37" w:rsidRPr="00A956B3">
              <w:rPr>
                <w:rFonts w:ascii="Times New Roman" w:hAnsi="Times New Roman" w:cs="Times New Roman"/>
                <w:noProof/>
                <w:color w:val="000000" w:themeColor="text1"/>
                <w:sz w:val="20"/>
                <w:szCs w:val="20"/>
                <w:lang w:val="en-CA"/>
              </w:rPr>
              <w:t>[3]</w:t>
            </w:r>
            <w:r w:rsidRPr="00A956B3">
              <w:rPr>
                <w:rFonts w:ascii="Times New Roman" w:hAnsi="Times New Roman" w:cs="Times New Roman"/>
                <w:color w:val="000000" w:themeColor="text1"/>
                <w:sz w:val="20"/>
                <w:szCs w:val="20"/>
              </w:rPr>
              <w:fldChar w:fldCharType="end"/>
            </w:r>
          </w:p>
        </w:tc>
        <w:tc>
          <w:tcPr>
            <w:tcW w:w="2563" w:type="dxa"/>
            <w:vMerge/>
            <w:vAlign w:val="center"/>
          </w:tcPr>
          <w:p w14:paraId="7BFA427B" w14:textId="77777777" w:rsidR="000A2353" w:rsidRPr="00A956B3" w:rsidRDefault="000A2353" w:rsidP="00CE4906">
            <w:pPr>
              <w:jc w:val="center"/>
              <w:rPr>
                <w:rFonts w:ascii="Times New Roman" w:hAnsi="Times New Roman" w:cs="Times New Roman"/>
                <w:color w:val="000000" w:themeColor="text1"/>
                <w:sz w:val="20"/>
                <w:szCs w:val="20"/>
                <w:lang w:val="en-CA"/>
              </w:rPr>
            </w:pPr>
          </w:p>
        </w:tc>
        <w:tc>
          <w:tcPr>
            <w:tcW w:w="1406" w:type="dxa"/>
            <w:vAlign w:val="center"/>
          </w:tcPr>
          <w:p w14:paraId="4AD56404"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Late second trimester of pregnancy (</w:t>
            </w:r>
            <w:r w:rsidRPr="00A956B3">
              <w:rPr>
                <w:rFonts w:ascii="Times New Roman" w:hAnsi="Times New Roman" w:cs="Times New Roman"/>
                <w:bCs/>
                <w:color w:val="000000" w:themeColor="text1"/>
                <w:sz w:val="20"/>
                <w:szCs w:val="20"/>
                <w:lang w:val="en-CA"/>
              </w:rPr>
              <w:t>~28 weeks)</w:t>
            </w:r>
          </w:p>
        </w:tc>
        <w:tc>
          <w:tcPr>
            <w:tcW w:w="1221" w:type="dxa"/>
            <w:vMerge/>
            <w:vAlign w:val="center"/>
          </w:tcPr>
          <w:p w14:paraId="776AC6B1" w14:textId="77777777" w:rsidR="000A2353" w:rsidRPr="00A956B3" w:rsidRDefault="000A2353" w:rsidP="00CE4906">
            <w:pPr>
              <w:jc w:val="center"/>
              <w:rPr>
                <w:rFonts w:ascii="Times New Roman" w:hAnsi="Times New Roman" w:cs="Times New Roman"/>
                <w:color w:val="000000" w:themeColor="text1"/>
                <w:sz w:val="20"/>
                <w:szCs w:val="20"/>
                <w:lang w:val="en-CA"/>
              </w:rPr>
            </w:pPr>
          </w:p>
        </w:tc>
      </w:tr>
      <w:tr w:rsidR="00631F70" w:rsidRPr="00A956B3" w14:paraId="7A01C9FC" w14:textId="77777777" w:rsidTr="00631F70">
        <w:trPr>
          <w:trHeight w:val="1143"/>
        </w:trPr>
        <w:tc>
          <w:tcPr>
            <w:tcW w:w="1456" w:type="dxa"/>
            <w:vAlign w:val="center"/>
          </w:tcPr>
          <w:p w14:paraId="238F16CA" w14:textId="568E7CB6" w:rsidR="00631F70" w:rsidRPr="00A956B3" w:rsidRDefault="00631F70"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GWG</w:t>
            </w:r>
          </w:p>
        </w:tc>
        <w:tc>
          <w:tcPr>
            <w:tcW w:w="2934" w:type="dxa"/>
            <w:vAlign w:val="center"/>
          </w:tcPr>
          <w:p w14:paraId="4369F62F" w14:textId="77777777" w:rsidR="00631F70" w:rsidRPr="00A956B3" w:rsidRDefault="00631F70"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lang w:val="en-CA"/>
              </w:rPr>
              <w:t>Difference between the last measure of the weight during pregnancy and self-reported pre-gestational weight</w:t>
            </w:r>
          </w:p>
        </w:tc>
        <w:tc>
          <w:tcPr>
            <w:tcW w:w="2563" w:type="dxa"/>
            <w:vAlign w:val="center"/>
          </w:tcPr>
          <w:p w14:paraId="531648C2" w14:textId="77777777" w:rsidR="00631F70" w:rsidRPr="00A956B3" w:rsidRDefault="00631F70"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lang w:val="en-CA"/>
              </w:rPr>
              <w:t>Difference between the last measure of the weight during pregnancy and self-reported pre-gestational weight</w:t>
            </w:r>
          </w:p>
        </w:tc>
        <w:tc>
          <w:tcPr>
            <w:tcW w:w="1406" w:type="dxa"/>
            <w:vAlign w:val="center"/>
          </w:tcPr>
          <w:p w14:paraId="18F21298" w14:textId="77777777" w:rsidR="00631F70" w:rsidRPr="00A956B3" w:rsidRDefault="00631F70"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Third trimester of pregnancy (</w:t>
            </w:r>
            <w:r w:rsidRPr="00A956B3">
              <w:rPr>
                <w:rFonts w:ascii="Times New Roman" w:hAnsi="Times New Roman" w:cs="Times New Roman"/>
                <w:bCs/>
                <w:color w:val="000000" w:themeColor="text1"/>
                <w:sz w:val="20"/>
                <w:szCs w:val="20"/>
                <w:lang w:val="en-CA"/>
              </w:rPr>
              <w:t>within 8 weeks of delivery)</w:t>
            </w:r>
          </w:p>
        </w:tc>
        <w:tc>
          <w:tcPr>
            <w:tcW w:w="1221" w:type="dxa"/>
            <w:vAlign w:val="center"/>
          </w:tcPr>
          <w:p w14:paraId="19C01C13" w14:textId="77777777" w:rsidR="00631F70" w:rsidRPr="00A956B3" w:rsidRDefault="00631F70" w:rsidP="00CE4906">
            <w:pPr>
              <w:jc w:val="center"/>
              <w:rPr>
                <w:rFonts w:ascii="Times New Roman" w:hAnsi="Times New Roman" w:cs="Times New Roman"/>
                <w:bCs/>
                <w:color w:val="000000" w:themeColor="text1"/>
                <w:sz w:val="20"/>
                <w:szCs w:val="20"/>
                <w:lang w:val="en-CA"/>
              </w:rPr>
            </w:pPr>
            <w:r w:rsidRPr="00A956B3">
              <w:rPr>
                <w:rFonts w:ascii="Times New Roman" w:hAnsi="Times New Roman" w:cs="Times New Roman"/>
                <w:color w:val="000000" w:themeColor="text1"/>
                <w:sz w:val="20"/>
                <w:szCs w:val="20"/>
                <w:lang w:val="en-CA"/>
              </w:rPr>
              <w:t>Third trimester of pregnancy (</w:t>
            </w:r>
            <w:r w:rsidRPr="00A956B3">
              <w:rPr>
                <w:rFonts w:ascii="Times New Roman" w:hAnsi="Times New Roman" w:cs="Times New Roman"/>
                <w:bCs/>
                <w:color w:val="000000" w:themeColor="text1"/>
                <w:sz w:val="20"/>
                <w:szCs w:val="20"/>
                <w:lang w:val="en-CA"/>
              </w:rPr>
              <w:t>within 4 weeks of delivery)</w:t>
            </w:r>
          </w:p>
        </w:tc>
      </w:tr>
      <w:tr w:rsidR="00A956B3" w:rsidRPr="00A956B3" w14:paraId="4DC64F93" w14:textId="77777777" w:rsidTr="0079107A">
        <w:trPr>
          <w:trHeight w:val="201"/>
        </w:trPr>
        <w:tc>
          <w:tcPr>
            <w:tcW w:w="9580" w:type="dxa"/>
            <w:gridSpan w:val="5"/>
            <w:vAlign w:val="center"/>
          </w:tcPr>
          <w:p w14:paraId="4D443C33" w14:textId="77777777" w:rsidR="000A2353" w:rsidRPr="00A956B3" w:rsidRDefault="000A2353" w:rsidP="00CE4906">
            <w:pPr>
              <w:rPr>
                <w:rFonts w:ascii="Times New Roman" w:hAnsi="Times New Roman" w:cs="Times New Roman"/>
                <w:bCs/>
                <w:color w:val="000000" w:themeColor="text1"/>
                <w:sz w:val="20"/>
                <w:szCs w:val="20"/>
                <w:lang w:val="en-CA"/>
              </w:rPr>
            </w:pPr>
            <w:r w:rsidRPr="00A956B3">
              <w:rPr>
                <w:rFonts w:ascii="Times New Roman" w:hAnsi="Times New Roman" w:cs="Times New Roman"/>
                <w:i/>
                <w:iCs/>
                <w:color w:val="000000" w:themeColor="text1"/>
                <w:sz w:val="20"/>
                <w:szCs w:val="20"/>
                <w:lang w:val="en-CA"/>
              </w:rPr>
              <w:t>Adverse pregnancy outcomes</w:t>
            </w:r>
          </w:p>
        </w:tc>
      </w:tr>
      <w:tr w:rsidR="00A956B3" w:rsidRPr="00A956B3" w14:paraId="79C7F79C" w14:textId="77777777" w:rsidTr="0079107A">
        <w:trPr>
          <w:trHeight w:val="82"/>
        </w:trPr>
        <w:tc>
          <w:tcPr>
            <w:tcW w:w="1456" w:type="dxa"/>
            <w:vAlign w:val="center"/>
          </w:tcPr>
          <w:p w14:paraId="4BE790DF"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 xml:space="preserve">Prematurity </w:t>
            </w:r>
          </w:p>
        </w:tc>
        <w:tc>
          <w:tcPr>
            <w:tcW w:w="2934" w:type="dxa"/>
            <w:vAlign w:val="center"/>
          </w:tcPr>
          <w:p w14:paraId="0DAD8605"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lang w:val="en-CA"/>
              </w:rPr>
              <w:t>Delivery before 37 weeks of gestation</w:t>
            </w:r>
          </w:p>
        </w:tc>
        <w:tc>
          <w:tcPr>
            <w:tcW w:w="2563" w:type="dxa"/>
            <w:vAlign w:val="center"/>
          </w:tcPr>
          <w:p w14:paraId="54FB1A79"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lang w:val="en-CA"/>
              </w:rPr>
              <w:t>Delivery before 37 weeks of gestation</w:t>
            </w:r>
          </w:p>
        </w:tc>
        <w:tc>
          <w:tcPr>
            <w:tcW w:w="1406" w:type="dxa"/>
            <w:vMerge w:val="restart"/>
            <w:vAlign w:val="center"/>
          </w:tcPr>
          <w:p w14:paraId="403377B0"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Delivery</w:t>
            </w:r>
          </w:p>
        </w:tc>
        <w:tc>
          <w:tcPr>
            <w:tcW w:w="1221" w:type="dxa"/>
            <w:vMerge w:val="restart"/>
            <w:vAlign w:val="center"/>
          </w:tcPr>
          <w:p w14:paraId="11836BB7"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Delivery</w:t>
            </w:r>
          </w:p>
        </w:tc>
      </w:tr>
      <w:tr w:rsidR="00A956B3" w:rsidRPr="00A956B3" w14:paraId="22D96F09" w14:textId="77777777" w:rsidTr="0079107A">
        <w:trPr>
          <w:trHeight w:val="82"/>
        </w:trPr>
        <w:tc>
          <w:tcPr>
            <w:tcW w:w="1456" w:type="dxa"/>
            <w:vAlign w:val="center"/>
          </w:tcPr>
          <w:p w14:paraId="07731B5A" w14:textId="77777777" w:rsidR="000A2353" w:rsidRPr="00A956B3" w:rsidRDefault="000A2353" w:rsidP="00CE4906">
            <w:pPr>
              <w:rPr>
                <w:rFonts w:ascii="Times New Roman" w:hAnsi="Times New Roman" w:cs="Times New Roman"/>
                <w:color w:val="000000" w:themeColor="text1"/>
                <w:sz w:val="20"/>
                <w:szCs w:val="20"/>
                <w:lang w:val="en-CA"/>
              </w:rPr>
            </w:pPr>
            <w:r w:rsidRPr="00A956B3">
              <w:rPr>
                <w:rFonts w:ascii="Times New Roman" w:hAnsi="Times New Roman" w:cs="Times New Roman"/>
                <w:color w:val="000000" w:themeColor="text1"/>
                <w:sz w:val="20"/>
                <w:szCs w:val="20"/>
                <w:lang w:val="en-CA"/>
              </w:rPr>
              <w:t>Macrosomia</w:t>
            </w:r>
          </w:p>
        </w:tc>
        <w:tc>
          <w:tcPr>
            <w:tcW w:w="2934" w:type="dxa"/>
            <w:vAlign w:val="center"/>
          </w:tcPr>
          <w:p w14:paraId="65ED12F3"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lang w:val="en-CA"/>
              </w:rPr>
              <w:t>Birthweight ≥ 4000g</w:t>
            </w:r>
          </w:p>
        </w:tc>
        <w:tc>
          <w:tcPr>
            <w:tcW w:w="2563" w:type="dxa"/>
            <w:vAlign w:val="center"/>
          </w:tcPr>
          <w:p w14:paraId="52FCEA83" w14:textId="77777777" w:rsidR="000A2353" w:rsidRPr="00A956B3" w:rsidRDefault="000A2353" w:rsidP="00CE4906">
            <w:pPr>
              <w:jc w:val="center"/>
              <w:rPr>
                <w:rFonts w:ascii="Times New Roman" w:hAnsi="Times New Roman" w:cs="Times New Roman"/>
                <w:color w:val="000000" w:themeColor="text1"/>
                <w:sz w:val="20"/>
                <w:szCs w:val="20"/>
                <w:lang w:val="en-CA"/>
              </w:rPr>
            </w:pPr>
            <w:r w:rsidRPr="00A956B3">
              <w:rPr>
                <w:rFonts w:ascii="Times New Roman" w:hAnsi="Times New Roman" w:cs="Times New Roman"/>
                <w:bCs/>
                <w:color w:val="000000" w:themeColor="text1"/>
                <w:sz w:val="20"/>
                <w:szCs w:val="20"/>
                <w:lang w:val="en-CA"/>
              </w:rPr>
              <w:t>Birthweight ≥ 4000g</w:t>
            </w:r>
          </w:p>
        </w:tc>
        <w:tc>
          <w:tcPr>
            <w:tcW w:w="1406" w:type="dxa"/>
            <w:vMerge/>
            <w:vAlign w:val="center"/>
          </w:tcPr>
          <w:p w14:paraId="4BBD958E" w14:textId="77777777" w:rsidR="000A2353" w:rsidRPr="00A956B3" w:rsidRDefault="000A2353" w:rsidP="00CE4906">
            <w:pPr>
              <w:jc w:val="center"/>
              <w:rPr>
                <w:rFonts w:ascii="Times New Roman" w:hAnsi="Times New Roman" w:cs="Times New Roman"/>
                <w:bCs/>
                <w:color w:val="000000" w:themeColor="text1"/>
                <w:sz w:val="20"/>
                <w:szCs w:val="20"/>
                <w:lang w:val="en-CA"/>
              </w:rPr>
            </w:pPr>
          </w:p>
        </w:tc>
        <w:tc>
          <w:tcPr>
            <w:tcW w:w="1221" w:type="dxa"/>
            <w:vMerge/>
            <w:vAlign w:val="center"/>
          </w:tcPr>
          <w:p w14:paraId="431F4CFD" w14:textId="77777777" w:rsidR="000A2353" w:rsidRPr="00A956B3" w:rsidRDefault="000A2353" w:rsidP="00CE4906">
            <w:pPr>
              <w:jc w:val="center"/>
              <w:rPr>
                <w:rFonts w:ascii="Times New Roman" w:hAnsi="Times New Roman" w:cs="Times New Roman"/>
                <w:bCs/>
                <w:color w:val="000000" w:themeColor="text1"/>
                <w:sz w:val="20"/>
                <w:szCs w:val="20"/>
                <w:lang w:val="en-CA"/>
              </w:rPr>
            </w:pPr>
          </w:p>
        </w:tc>
      </w:tr>
    </w:tbl>
    <w:p w14:paraId="0A85800B" w14:textId="77777777" w:rsidR="000A2353" w:rsidRPr="00A956B3" w:rsidRDefault="000A2353" w:rsidP="000A2353">
      <w:pPr>
        <w:contextualSpacing/>
        <w:jc w:val="both"/>
        <w:rPr>
          <w:rFonts w:ascii="Times New Roman" w:hAnsi="Times New Roman" w:cs="Times New Roman"/>
          <w:bCs/>
          <w:color w:val="000000" w:themeColor="text1"/>
        </w:rPr>
      </w:pPr>
      <w:r w:rsidRPr="00A956B3">
        <w:rPr>
          <w:rFonts w:ascii="Times New Roman" w:hAnsi="Times New Roman" w:cs="Times New Roman"/>
          <w:bCs/>
          <w:color w:val="000000" w:themeColor="text1"/>
          <w:sz w:val="20"/>
          <w:szCs w:val="20"/>
        </w:rPr>
        <w:t xml:space="preserve">Note: Abbreviations: BMI, body mass index; DBP, diastolic blood pressure; GCT, glucose challenge test; GDM, gestational diabetes mellitus; Gen3G, Genetics of Glucose regulation in Gestation and Growth cohort; GWG, gestational weight gain; IADPSG, International Association of the Diabetes and Pregnancy Study Groups; IOM, Institute of Medicine; OGTT, oral glucose tolerance test; SBP, systolic blood pressure; SOGC, Society of Obstetricians and Gynaecologists of Canada; SMBG, self-monitoring of blood glucose. </w:t>
      </w:r>
    </w:p>
    <w:p w14:paraId="14B2C1E4" w14:textId="702CC842" w:rsidR="000A2353" w:rsidRPr="00A956B3" w:rsidRDefault="000A2353">
      <w:pPr>
        <w:rPr>
          <w:rFonts w:ascii="Times New Roman" w:hAnsi="Times New Roman" w:cs="Times New Roman"/>
          <w:color w:val="000000" w:themeColor="text1"/>
        </w:rPr>
      </w:pPr>
    </w:p>
    <w:p w14:paraId="337ACD8B" w14:textId="77777777" w:rsidR="000A2353" w:rsidRPr="00A956B3" w:rsidRDefault="000A2353" w:rsidP="000A2353">
      <w:pPr>
        <w:spacing w:line="480" w:lineRule="auto"/>
        <w:contextualSpacing/>
        <w:jc w:val="both"/>
        <w:rPr>
          <w:rFonts w:ascii="Times New Roman" w:hAnsi="Times New Roman" w:cs="Times New Roman"/>
          <w:bCs/>
          <w:color w:val="000000" w:themeColor="text1"/>
        </w:rPr>
      </w:pPr>
    </w:p>
    <w:p w14:paraId="7A63D5AC" w14:textId="77777777" w:rsidR="00C075E3" w:rsidRPr="00A956B3" w:rsidRDefault="00C075E3" w:rsidP="000A2353">
      <w:pPr>
        <w:contextualSpacing/>
        <w:jc w:val="both"/>
        <w:rPr>
          <w:rFonts w:ascii="Times New Roman" w:hAnsi="Times New Roman" w:cs="Times New Roman"/>
          <w:b/>
          <w:color w:val="000000" w:themeColor="text1"/>
        </w:rPr>
      </w:pPr>
      <w:r w:rsidRPr="00A956B3">
        <w:rPr>
          <w:rFonts w:ascii="Times New Roman" w:hAnsi="Times New Roman" w:cs="Times New Roman"/>
          <w:b/>
          <w:color w:val="000000" w:themeColor="text1"/>
        </w:rPr>
        <w:br w:type="page"/>
      </w:r>
    </w:p>
    <w:p w14:paraId="3DBF16EE" w14:textId="77777777" w:rsidR="00F20834" w:rsidRPr="00A956B3" w:rsidRDefault="00F20834" w:rsidP="00F20834">
      <w:pPr>
        <w:contextualSpacing/>
        <w:jc w:val="both"/>
        <w:rPr>
          <w:rFonts w:ascii="Times New Roman" w:hAnsi="Times New Roman" w:cs="Times New Roman"/>
          <w:bCs/>
          <w:color w:val="000000" w:themeColor="text1"/>
        </w:rPr>
      </w:pPr>
      <w:r w:rsidRPr="00A956B3">
        <w:rPr>
          <w:rFonts w:ascii="Times New Roman" w:hAnsi="Times New Roman" w:cs="Times New Roman"/>
          <w:b/>
          <w:color w:val="000000" w:themeColor="text1"/>
        </w:rPr>
        <w:lastRenderedPageBreak/>
        <w:t>Supplementary Table 2.</w:t>
      </w:r>
      <w:r w:rsidRPr="00A956B3">
        <w:rPr>
          <w:rFonts w:ascii="Times New Roman" w:hAnsi="Times New Roman" w:cs="Times New Roman"/>
          <w:bCs/>
          <w:color w:val="000000" w:themeColor="text1"/>
        </w:rPr>
        <w:t xml:space="preserve"> Tuning hyperparameters for the final random forest and LASSO regression models fitted using the entire Gen3G cohort</w:t>
      </w:r>
    </w:p>
    <w:tbl>
      <w:tblPr>
        <w:tblStyle w:val="TableGrid"/>
        <w:tblW w:w="9351" w:type="dxa"/>
        <w:tblLook w:val="04A0" w:firstRow="1" w:lastRow="0" w:firstColumn="1" w:lastColumn="0" w:noHBand="0" w:noVBand="1"/>
      </w:tblPr>
      <w:tblGrid>
        <w:gridCol w:w="1050"/>
        <w:gridCol w:w="1620"/>
        <w:gridCol w:w="2292"/>
        <w:gridCol w:w="2830"/>
        <w:gridCol w:w="1559"/>
      </w:tblGrid>
      <w:tr w:rsidR="00A956B3" w:rsidRPr="00A956B3" w14:paraId="71C2F404" w14:textId="77777777" w:rsidTr="00861F82">
        <w:trPr>
          <w:trHeight w:val="710"/>
        </w:trPr>
        <w:tc>
          <w:tcPr>
            <w:tcW w:w="1050" w:type="dxa"/>
          </w:tcPr>
          <w:p w14:paraId="66DF7A81" w14:textId="77777777" w:rsidR="00F20834" w:rsidRPr="00A956B3" w:rsidRDefault="00F20834" w:rsidP="00861F82">
            <w:pPr>
              <w:contextualSpacing/>
              <w:jc w:val="center"/>
              <w:rPr>
                <w:rFonts w:ascii="Times New Roman" w:hAnsi="Times New Roman" w:cs="Times New Roman"/>
                <w:bCs/>
                <w:color w:val="000000" w:themeColor="text1"/>
                <w:sz w:val="20"/>
                <w:szCs w:val="20"/>
              </w:rPr>
            </w:pPr>
            <w:proofErr w:type="spellStart"/>
            <w:r w:rsidRPr="00A956B3">
              <w:rPr>
                <w:rFonts w:ascii="Times New Roman" w:hAnsi="Times New Roman" w:cs="Times New Roman"/>
                <w:bCs/>
                <w:color w:val="000000" w:themeColor="text1"/>
                <w:sz w:val="20"/>
                <w:szCs w:val="20"/>
              </w:rPr>
              <w:t>Algorithm</w:t>
            </w:r>
            <w:proofErr w:type="spellEnd"/>
          </w:p>
        </w:tc>
        <w:tc>
          <w:tcPr>
            <w:tcW w:w="1620" w:type="dxa"/>
          </w:tcPr>
          <w:p w14:paraId="266BA319" w14:textId="77777777" w:rsidR="00F20834" w:rsidRPr="00A956B3" w:rsidRDefault="00F20834" w:rsidP="00861F82">
            <w:pPr>
              <w:contextualSpacing/>
              <w:jc w:val="center"/>
              <w:rPr>
                <w:rFonts w:ascii="Times New Roman" w:hAnsi="Times New Roman" w:cs="Times New Roman"/>
                <w:bCs/>
                <w:color w:val="000000" w:themeColor="text1"/>
                <w:sz w:val="20"/>
                <w:szCs w:val="20"/>
              </w:rPr>
            </w:pPr>
            <w:proofErr w:type="spellStart"/>
            <w:r w:rsidRPr="00A956B3">
              <w:rPr>
                <w:rFonts w:ascii="Times New Roman" w:hAnsi="Times New Roman" w:cs="Times New Roman"/>
                <w:bCs/>
                <w:color w:val="000000" w:themeColor="text1"/>
                <w:sz w:val="20"/>
                <w:szCs w:val="20"/>
              </w:rPr>
              <w:t>Tuning</w:t>
            </w:r>
            <w:proofErr w:type="spellEnd"/>
            <w:r w:rsidRPr="00A956B3">
              <w:rPr>
                <w:rFonts w:ascii="Times New Roman" w:hAnsi="Times New Roman" w:cs="Times New Roman"/>
                <w:bCs/>
                <w:color w:val="000000" w:themeColor="text1"/>
                <w:sz w:val="20"/>
                <w:szCs w:val="20"/>
              </w:rPr>
              <w:t xml:space="preserve"> </w:t>
            </w:r>
            <w:proofErr w:type="spellStart"/>
            <w:r w:rsidRPr="00A956B3">
              <w:rPr>
                <w:rFonts w:ascii="Times New Roman" w:hAnsi="Times New Roman" w:cs="Times New Roman"/>
                <w:bCs/>
                <w:color w:val="000000" w:themeColor="text1"/>
                <w:sz w:val="20"/>
                <w:szCs w:val="20"/>
              </w:rPr>
              <w:t>hyperparameter</w:t>
            </w:r>
            <w:proofErr w:type="spellEnd"/>
          </w:p>
        </w:tc>
        <w:tc>
          <w:tcPr>
            <w:tcW w:w="2292" w:type="dxa"/>
          </w:tcPr>
          <w:p w14:paraId="0A5CAFB5" w14:textId="77777777" w:rsidR="00F20834" w:rsidRPr="00A956B3" w:rsidRDefault="00F20834" w:rsidP="00861F82">
            <w:pPr>
              <w:contextualSpacing/>
              <w:jc w:val="center"/>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Description</w:t>
            </w:r>
          </w:p>
        </w:tc>
        <w:tc>
          <w:tcPr>
            <w:tcW w:w="2830" w:type="dxa"/>
          </w:tcPr>
          <w:p w14:paraId="20CD5A05" w14:textId="77777777" w:rsidR="00F20834" w:rsidRPr="00A956B3" w:rsidRDefault="00F20834" w:rsidP="00861F82">
            <w:pPr>
              <w:contextualSpacing/>
              <w:jc w:val="center"/>
              <w:rPr>
                <w:rFonts w:ascii="Times New Roman" w:hAnsi="Times New Roman" w:cs="Times New Roman"/>
                <w:bCs/>
                <w:color w:val="000000" w:themeColor="text1"/>
                <w:sz w:val="20"/>
                <w:szCs w:val="20"/>
              </w:rPr>
            </w:pPr>
            <w:proofErr w:type="spellStart"/>
            <w:r w:rsidRPr="00A956B3">
              <w:rPr>
                <w:rFonts w:ascii="Times New Roman" w:hAnsi="Times New Roman" w:cs="Times New Roman"/>
                <w:bCs/>
                <w:color w:val="000000" w:themeColor="text1"/>
                <w:sz w:val="20"/>
                <w:szCs w:val="20"/>
              </w:rPr>
              <w:t>Considered</w:t>
            </w:r>
            <w:proofErr w:type="spellEnd"/>
            <w:r w:rsidRPr="00A956B3">
              <w:rPr>
                <w:rFonts w:ascii="Times New Roman" w:hAnsi="Times New Roman" w:cs="Times New Roman"/>
                <w:bCs/>
                <w:color w:val="000000" w:themeColor="text1"/>
                <w:sz w:val="20"/>
                <w:szCs w:val="20"/>
              </w:rPr>
              <w:t xml:space="preserve"> values</w:t>
            </w:r>
          </w:p>
        </w:tc>
        <w:tc>
          <w:tcPr>
            <w:tcW w:w="1559" w:type="dxa"/>
          </w:tcPr>
          <w:p w14:paraId="01032C31" w14:textId="77777777" w:rsidR="00F20834" w:rsidRPr="00A956B3" w:rsidRDefault="00F20834" w:rsidP="00861F82">
            <w:pPr>
              <w:contextualSpacing/>
              <w:jc w:val="center"/>
              <w:rPr>
                <w:rFonts w:ascii="Times New Roman" w:hAnsi="Times New Roman" w:cs="Times New Roman"/>
                <w:bCs/>
                <w:color w:val="000000" w:themeColor="text1"/>
                <w:sz w:val="20"/>
                <w:szCs w:val="20"/>
              </w:rPr>
            </w:pPr>
            <w:proofErr w:type="spellStart"/>
            <w:r w:rsidRPr="00A956B3">
              <w:rPr>
                <w:rFonts w:ascii="Times New Roman" w:hAnsi="Times New Roman" w:cs="Times New Roman"/>
                <w:bCs/>
                <w:color w:val="000000" w:themeColor="text1"/>
                <w:sz w:val="20"/>
                <w:szCs w:val="20"/>
              </w:rPr>
              <w:t>Tuned</w:t>
            </w:r>
            <w:proofErr w:type="spellEnd"/>
            <w:r w:rsidRPr="00A956B3">
              <w:rPr>
                <w:rFonts w:ascii="Times New Roman" w:hAnsi="Times New Roman" w:cs="Times New Roman"/>
                <w:bCs/>
                <w:color w:val="000000" w:themeColor="text1"/>
                <w:sz w:val="20"/>
                <w:szCs w:val="20"/>
              </w:rPr>
              <w:t xml:space="preserve"> value</w:t>
            </w:r>
          </w:p>
        </w:tc>
      </w:tr>
      <w:tr w:rsidR="00A956B3" w:rsidRPr="00A956B3" w14:paraId="0D3BCC8D" w14:textId="77777777" w:rsidTr="00861F82">
        <w:tc>
          <w:tcPr>
            <w:tcW w:w="1050" w:type="dxa"/>
            <w:vMerge w:val="restart"/>
          </w:tcPr>
          <w:p w14:paraId="5F1841B3" w14:textId="77777777" w:rsidR="00F20834" w:rsidRPr="00A956B3" w:rsidRDefault="00F20834" w:rsidP="00861F82">
            <w:pPr>
              <w:contextualSpacing/>
              <w:jc w:val="both"/>
              <w:rPr>
                <w:rFonts w:ascii="Times New Roman" w:hAnsi="Times New Roman" w:cs="Times New Roman"/>
                <w:bCs/>
                <w:color w:val="000000" w:themeColor="text1"/>
                <w:sz w:val="20"/>
                <w:szCs w:val="20"/>
                <w:vertAlign w:val="superscript"/>
              </w:rPr>
            </w:pPr>
            <w:proofErr w:type="spellStart"/>
            <w:r w:rsidRPr="00A956B3">
              <w:rPr>
                <w:rFonts w:ascii="Times New Roman" w:hAnsi="Times New Roman" w:cs="Times New Roman"/>
                <w:bCs/>
                <w:color w:val="000000" w:themeColor="text1"/>
                <w:sz w:val="20"/>
                <w:szCs w:val="20"/>
              </w:rPr>
              <w:t>Random</w:t>
            </w:r>
            <w:proofErr w:type="spellEnd"/>
            <w:r w:rsidRPr="00A956B3">
              <w:rPr>
                <w:rFonts w:ascii="Times New Roman" w:hAnsi="Times New Roman" w:cs="Times New Roman"/>
                <w:bCs/>
                <w:color w:val="000000" w:themeColor="text1"/>
                <w:sz w:val="20"/>
                <w:szCs w:val="20"/>
              </w:rPr>
              <w:t xml:space="preserve"> </w:t>
            </w:r>
            <w:proofErr w:type="spellStart"/>
            <w:r w:rsidRPr="00A956B3">
              <w:rPr>
                <w:rFonts w:ascii="Times New Roman" w:hAnsi="Times New Roman" w:cs="Times New Roman"/>
                <w:bCs/>
                <w:color w:val="000000" w:themeColor="text1"/>
                <w:sz w:val="20"/>
                <w:szCs w:val="20"/>
              </w:rPr>
              <w:t>forest</w:t>
            </w:r>
            <w:r w:rsidRPr="00A956B3">
              <w:rPr>
                <w:rFonts w:ascii="Times New Roman" w:hAnsi="Times New Roman" w:cs="Times New Roman"/>
                <w:bCs/>
                <w:color w:val="000000" w:themeColor="text1"/>
                <w:sz w:val="20"/>
                <w:szCs w:val="20"/>
                <w:vertAlign w:val="superscript"/>
              </w:rPr>
              <w:t>a</w:t>
            </w:r>
            <w:proofErr w:type="spellEnd"/>
          </w:p>
        </w:tc>
        <w:tc>
          <w:tcPr>
            <w:tcW w:w="1620" w:type="dxa"/>
          </w:tcPr>
          <w:p w14:paraId="409D6C55" w14:textId="77777777" w:rsidR="00F20834" w:rsidRPr="00A956B3" w:rsidRDefault="00F20834" w:rsidP="00861F82">
            <w:pPr>
              <w:contextualSpacing/>
              <w:jc w:val="both"/>
              <w:rPr>
                <w:rFonts w:ascii="Times New Roman" w:hAnsi="Times New Roman" w:cs="Times New Roman"/>
                <w:bCs/>
                <w:color w:val="000000" w:themeColor="text1"/>
                <w:sz w:val="20"/>
                <w:szCs w:val="20"/>
              </w:rPr>
            </w:pPr>
            <w:proofErr w:type="spellStart"/>
            <w:proofErr w:type="gramStart"/>
            <w:r w:rsidRPr="00A956B3">
              <w:rPr>
                <w:rFonts w:ascii="Times New Roman" w:hAnsi="Times New Roman" w:cs="Times New Roman"/>
                <w:bCs/>
                <w:color w:val="000000" w:themeColor="text1"/>
                <w:sz w:val="20"/>
                <w:szCs w:val="20"/>
              </w:rPr>
              <w:t>ntree</w:t>
            </w:r>
            <w:proofErr w:type="spellEnd"/>
            <w:proofErr w:type="gramEnd"/>
          </w:p>
        </w:tc>
        <w:tc>
          <w:tcPr>
            <w:tcW w:w="2292" w:type="dxa"/>
          </w:tcPr>
          <w:p w14:paraId="7251DFD4" w14:textId="77777777" w:rsidR="00F20834" w:rsidRPr="00A956B3" w:rsidRDefault="00F20834" w:rsidP="00861F82">
            <w:pPr>
              <w:contextualSpacing/>
              <w:jc w:val="both"/>
              <w:rPr>
                <w:rFonts w:ascii="Times New Roman" w:hAnsi="Times New Roman" w:cs="Times New Roman"/>
                <w:bCs/>
                <w:color w:val="000000" w:themeColor="text1"/>
                <w:sz w:val="20"/>
                <w:szCs w:val="20"/>
              </w:rPr>
            </w:pPr>
            <w:proofErr w:type="spellStart"/>
            <w:r w:rsidRPr="00A956B3">
              <w:rPr>
                <w:rFonts w:ascii="Times New Roman" w:hAnsi="Times New Roman" w:cs="Times New Roman"/>
                <w:bCs/>
                <w:color w:val="000000" w:themeColor="text1"/>
                <w:sz w:val="20"/>
                <w:szCs w:val="20"/>
              </w:rPr>
              <w:t>Number</w:t>
            </w:r>
            <w:proofErr w:type="spellEnd"/>
            <w:r w:rsidRPr="00A956B3">
              <w:rPr>
                <w:rFonts w:ascii="Times New Roman" w:hAnsi="Times New Roman" w:cs="Times New Roman"/>
                <w:bCs/>
                <w:color w:val="000000" w:themeColor="text1"/>
                <w:sz w:val="20"/>
                <w:szCs w:val="20"/>
              </w:rPr>
              <w:t xml:space="preserve"> of </w:t>
            </w:r>
            <w:proofErr w:type="spellStart"/>
            <w:r w:rsidRPr="00A956B3">
              <w:rPr>
                <w:rFonts w:ascii="Times New Roman" w:hAnsi="Times New Roman" w:cs="Times New Roman"/>
                <w:bCs/>
                <w:color w:val="000000" w:themeColor="text1"/>
                <w:sz w:val="20"/>
                <w:szCs w:val="20"/>
              </w:rPr>
              <w:t>trees</w:t>
            </w:r>
            <w:proofErr w:type="spellEnd"/>
          </w:p>
        </w:tc>
        <w:tc>
          <w:tcPr>
            <w:tcW w:w="2830" w:type="dxa"/>
          </w:tcPr>
          <w:p w14:paraId="4A04B7E2" w14:textId="77777777" w:rsidR="00F20834" w:rsidRPr="00A956B3" w:rsidRDefault="00F20834" w:rsidP="00861F82">
            <w:pPr>
              <w:contextualSpacing/>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{10, 100, 500, 1000, 1500}</w:t>
            </w:r>
          </w:p>
        </w:tc>
        <w:tc>
          <w:tcPr>
            <w:tcW w:w="1559" w:type="dxa"/>
          </w:tcPr>
          <w:p w14:paraId="320F3A49" w14:textId="77777777" w:rsidR="00F20834" w:rsidRPr="00A956B3" w:rsidRDefault="00F20834" w:rsidP="00861F82">
            <w:pPr>
              <w:contextualSpacing/>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1000</w:t>
            </w:r>
          </w:p>
        </w:tc>
      </w:tr>
      <w:tr w:rsidR="00A956B3" w:rsidRPr="00A956B3" w14:paraId="7367ECA3" w14:textId="77777777" w:rsidTr="00861F82">
        <w:tc>
          <w:tcPr>
            <w:tcW w:w="1050" w:type="dxa"/>
            <w:vMerge/>
          </w:tcPr>
          <w:p w14:paraId="4A230262" w14:textId="77777777" w:rsidR="00F20834" w:rsidRPr="00A956B3" w:rsidRDefault="00F20834" w:rsidP="00861F82">
            <w:pPr>
              <w:contextualSpacing/>
              <w:jc w:val="both"/>
              <w:rPr>
                <w:rFonts w:ascii="Times New Roman" w:hAnsi="Times New Roman" w:cs="Times New Roman"/>
                <w:bCs/>
                <w:color w:val="000000" w:themeColor="text1"/>
                <w:sz w:val="20"/>
                <w:szCs w:val="20"/>
              </w:rPr>
            </w:pPr>
          </w:p>
        </w:tc>
        <w:tc>
          <w:tcPr>
            <w:tcW w:w="1620" w:type="dxa"/>
          </w:tcPr>
          <w:p w14:paraId="3C1F362E" w14:textId="77777777" w:rsidR="00F20834" w:rsidRPr="00A956B3" w:rsidRDefault="00F20834" w:rsidP="00861F82">
            <w:pPr>
              <w:contextualSpacing/>
              <w:jc w:val="both"/>
              <w:rPr>
                <w:rFonts w:ascii="Times New Roman" w:hAnsi="Times New Roman" w:cs="Times New Roman"/>
                <w:bCs/>
                <w:color w:val="000000" w:themeColor="text1"/>
                <w:sz w:val="20"/>
                <w:szCs w:val="20"/>
              </w:rPr>
            </w:pPr>
            <w:proofErr w:type="spellStart"/>
            <w:proofErr w:type="gramStart"/>
            <w:r w:rsidRPr="00A956B3">
              <w:rPr>
                <w:rFonts w:ascii="Times New Roman" w:hAnsi="Times New Roman" w:cs="Times New Roman"/>
                <w:bCs/>
                <w:color w:val="000000" w:themeColor="text1"/>
                <w:sz w:val="20"/>
                <w:szCs w:val="20"/>
              </w:rPr>
              <w:t>mtry</w:t>
            </w:r>
            <w:proofErr w:type="spellEnd"/>
            <w:proofErr w:type="gramEnd"/>
          </w:p>
        </w:tc>
        <w:tc>
          <w:tcPr>
            <w:tcW w:w="2292" w:type="dxa"/>
          </w:tcPr>
          <w:p w14:paraId="146E4E9E" w14:textId="77777777" w:rsidR="00F20834" w:rsidRPr="00A956B3" w:rsidRDefault="00F20834" w:rsidP="00861F82">
            <w:pPr>
              <w:contextualSpacing/>
              <w:jc w:val="both"/>
              <w:rPr>
                <w:rFonts w:ascii="Times New Roman" w:hAnsi="Times New Roman" w:cs="Times New Roman"/>
                <w:bCs/>
                <w:color w:val="000000" w:themeColor="text1"/>
                <w:sz w:val="20"/>
                <w:szCs w:val="20"/>
                <w:lang w:val="en-CA"/>
              </w:rPr>
            </w:pPr>
            <w:r w:rsidRPr="00A956B3">
              <w:rPr>
                <w:rFonts w:ascii="Times New Roman" w:hAnsi="Times New Roman" w:cs="Times New Roman"/>
                <w:bCs/>
                <w:color w:val="000000" w:themeColor="text1"/>
                <w:sz w:val="20"/>
                <w:szCs w:val="20"/>
                <w:lang w:val="en-CA"/>
              </w:rPr>
              <w:t>Number of candidate features considered at each node</w:t>
            </w:r>
          </w:p>
        </w:tc>
        <w:tc>
          <w:tcPr>
            <w:tcW w:w="2830" w:type="dxa"/>
          </w:tcPr>
          <w:p w14:paraId="66CAB6F2" w14:textId="77777777" w:rsidR="00F20834" w:rsidRPr="00A956B3" w:rsidRDefault="00F20834" w:rsidP="00861F82">
            <w:pPr>
              <w:contextualSpacing/>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{1, 2, 3, 4, 5, 6}</w:t>
            </w:r>
          </w:p>
        </w:tc>
        <w:tc>
          <w:tcPr>
            <w:tcW w:w="1559" w:type="dxa"/>
          </w:tcPr>
          <w:p w14:paraId="09D960EC" w14:textId="77777777" w:rsidR="00F20834" w:rsidRPr="00A956B3" w:rsidRDefault="00F20834" w:rsidP="00861F82">
            <w:pPr>
              <w:contextualSpacing/>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3</w:t>
            </w:r>
          </w:p>
        </w:tc>
      </w:tr>
      <w:tr w:rsidR="00A956B3" w:rsidRPr="00A956B3" w14:paraId="62453E8F" w14:textId="77777777" w:rsidTr="00861F82">
        <w:tc>
          <w:tcPr>
            <w:tcW w:w="1050" w:type="dxa"/>
            <w:vMerge/>
          </w:tcPr>
          <w:p w14:paraId="74EE1E2D" w14:textId="77777777" w:rsidR="00F20834" w:rsidRPr="00A956B3" w:rsidRDefault="00F20834" w:rsidP="00861F82">
            <w:pPr>
              <w:contextualSpacing/>
              <w:jc w:val="both"/>
              <w:rPr>
                <w:rFonts w:ascii="Times New Roman" w:hAnsi="Times New Roman" w:cs="Times New Roman"/>
                <w:bCs/>
                <w:color w:val="000000" w:themeColor="text1"/>
                <w:sz w:val="20"/>
                <w:szCs w:val="20"/>
              </w:rPr>
            </w:pPr>
          </w:p>
        </w:tc>
        <w:tc>
          <w:tcPr>
            <w:tcW w:w="1620" w:type="dxa"/>
          </w:tcPr>
          <w:p w14:paraId="6E089304" w14:textId="77777777" w:rsidR="00F20834" w:rsidRPr="00A956B3" w:rsidRDefault="00F20834" w:rsidP="00861F82">
            <w:pPr>
              <w:contextualSpacing/>
              <w:jc w:val="both"/>
              <w:rPr>
                <w:rFonts w:ascii="Times New Roman" w:hAnsi="Times New Roman" w:cs="Times New Roman"/>
                <w:bCs/>
                <w:color w:val="000000" w:themeColor="text1"/>
                <w:sz w:val="20"/>
                <w:szCs w:val="20"/>
              </w:rPr>
            </w:pPr>
            <w:proofErr w:type="spellStart"/>
            <w:proofErr w:type="gramStart"/>
            <w:r w:rsidRPr="00A956B3">
              <w:rPr>
                <w:rFonts w:ascii="Times New Roman" w:hAnsi="Times New Roman" w:cs="Times New Roman"/>
                <w:bCs/>
                <w:color w:val="000000" w:themeColor="text1"/>
                <w:sz w:val="20"/>
                <w:szCs w:val="20"/>
              </w:rPr>
              <w:t>nodesize</w:t>
            </w:r>
            <w:proofErr w:type="spellEnd"/>
            <w:proofErr w:type="gramEnd"/>
          </w:p>
        </w:tc>
        <w:tc>
          <w:tcPr>
            <w:tcW w:w="2292" w:type="dxa"/>
          </w:tcPr>
          <w:p w14:paraId="59FCE53B" w14:textId="77777777" w:rsidR="00F20834" w:rsidRPr="00A956B3" w:rsidRDefault="00F20834" w:rsidP="00861F82">
            <w:pPr>
              <w:contextualSpacing/>
              <w:jc w:val="both"/>
              <w:rPr>
                <w:rFonts w:ascii="Times New Roman" w:hAnsi="Times New Roman" w:cs="Times New Roman"/>
                <w:bCs/>
                <w:color w:val="000000" w:themeColor="text1"/>
                <w:sz w:val="20"/>
                <w:szCs w:val="20"/>
                <w:lang w:val="en-CA"/>
              </w:rPr>
            </w:pPr>
            <w:r w:rsidRPr="00A956B3">
              <w:rPr>
                <w:rFonts w:ascii="Times New Roman" w:hAnsi="Times New Roman" w:cs="Times New Roman"/>
                <w:bCs/>
                <w:color w:val="000000" w:themeColor="text1"/>
                <w:sz w:val="20"/>
                <w:szCs w:val="20"/>
                <w:lang w:val="en-CA"/>
              </w:rPr>
              <w:t>M</w:t>
            </w:r>
            <w:r w:rsidRPr="00A956B3">
              <w:rPr>
                <w:rFonts w:ascii="Times New Roman" w:hAnsi="Times New Roman" w:cs="Times New Roman"/>
                <w:color w:val="000000" w:themeColor="text1"/>
                <w:sz w:val="20"/>
                <w:szCs w:val="20"/>
                <w:lang w:val="en-CA"/>
              </w:rPr>
              <w:t>inimum number of observations in terminal nodes</w:t>
            </w:r>
            <w:r w:rsidRPr="00A956B3">
              <w:rPr>
                <w:rStyle w:val="CommentReference"/>
                <w:rFonts w:ascii="Times New Roman" w:hAnsi="Times New Roman" w:cs="Times New Roman"/>
                <w:color w:val="000000" w:themeColor="text1"/>
                <w:sz w:val="20"/>
                <w:szCs w:val="20"/>
                <w:lang w:val="en-US"/>
              </w:rPr>
              <w:t xml:space="preserve"> </w:t>
            </w:r>
          </w:p>
        </w:tc>
        <w:tc>
          <w:tcPr>
            <w:tcW w:w="2830" w:type="dxa"/>
          </w:tcPr>
          <w:p w14:paraId="55F2EE1C" w14:textId="77777777" w:rsidR="00F20834" w:rsidRPr="00A956B3" w:rsidRDefault="00F20834" w:rsidP="00861F82">
            <w:pPr>
              <w:contextualSpacing/>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{1, 2, 3, 4, 5, 6}</w:t>
            </w:r>
          </w:p>
        </w:tc>
        <w:tc>
          <w:tcPr>
            <w:tcW w:w="1559" w:type="dxa"/>
          </w:tcPr>
          <w:p w14:paraId="63A594AB" w14:textId="77777777" w:rsidR="00F20834" w:rsidRPr="00A956B3" w:rsidRDefault="00F20834" w:rsidP="00861F82">
            <w:pPr>
              <w:contextualSpacing/>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5</w:t>
            </w:r>
          </w:p>
        </w:tc>
      </w:tr>
      <w:tr w:rsidR="00A956B3" w:rsidRPr="00A956B3" w14:paraId="1861F682" w14:textId="77777777" w:rsidTr="00861F82">
        <w:tc>
          <w:tcPr>
            <w:tcW w:w="1050" w:type="dxa"/>
          </w:tcPr>
          <w:p w14:paraId="157DD702" w14:textId="77777777" w:rsidR="00F20834" w:rsidRPr="00A956B3" w:rsidRDefault="00F20834" w:rsidP="00861F82">
            <w:pPr>
              <w:contextualSpacing/>
              <w:jc w:val="both"/>
              <w:rPr>
                <w:rFonts w:ascii="Times New Roman" w:hAnsi="Times New Roman" w:cs="Times New Roman"/>
                <w:bCs/>
                <w:color w:val="000000" w:themeColor="text1"/>
                <w:sz w:val="20"/>
                <w:szCs w:val="20"/>
                <w:vertAlign w:val="superscript"/>
              </w:rPr>
            </w:pPr>
            <w:proofErr w:type="spellStart"/>
            <w:r w:rsidRPr="00A956B3">
              <w:rPr>
                <w:rFonts w:ascii="Times New Roman" w:hAnsi="Times New Roman" w:cs="Times New Roman"/>
                <w:bCs/>
                <w:color w:val="000000" w:themeColor="text1"/>
                <w:sz w:val="20"/>
                <w:szCs w:val="20"/>
              </w:rPr>
              <w:t>LASSO</w:t>
            </w:r>
            <w:r w:rsidRPr="00A956B3">
              <w:rPr>
                <w:rFonts w:ascii="Times New Roman" w:hAnsi="Times New Roman" w:cs="Times New Roman"/>
                <w:bCs/>
                <w:color w:val="000000" w:themeColor="text1"/>
                <w:sz w:val="20"/>
                <w:szCs w:val="20"/>
                <w:vertAlign w:val="superscript"/>
              </w:rPr>
              <w:t>b</w:t>
            </w:r>
            <w:proofErr w:type="spellEnd"/>
          </w:p>
        </w:tc>
        <w:tc>
          <w:tcPr>
            <w:tcW w:w="1620" w:type="dxa"/>
          </w:tcPr>
          <w:p w14:paraId="17AE2026" w14:textId="77777777" w:rsidR="00F20834" w:rsidRPr="00A956B3" w:rsidRDefault="00F20834" w:rsidP="00861F82">
            <w:pPr>
              <w:contextualSpacing/>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Lambda</w:t>
            </w:r>
          </w:p>
        </w:tc>
        <w:tc>
          <w:tcPr>
            <w:tcW w:w="2292" w:type="dxa"/>
          </w:tcPr>
          <w:p w14:paraId="0E142308" w14:textId="77777777" w:rsidR="00F20834" w:rsidRPr="00A956B3" w:rsidRDefault="00F20834" w:rsidP="00861F82">
            <w:pPr>
              <w:contextualSpacing/>
              <w:jc w:val="both"/>
              <w:rPr>
                <w:rFonts w:ascii="Times New Roman" w:hAnsi="Times New Roman" w:cs="Times New Roman"/>
                <w:bCs/>
                <w:color w:val="000000" w:themeColor="text1"/>
                <w:sz w:val="20"/>
                <w:szCs w:val="20"/>
              </w:rPr>
            </w:pPr>
            <w:proofErr w:type="spellStart"/>
            <w:r w:rsidRPr="00A956B3">
              <w:rPr>
                <w:rFonts w:ascii="Times New Roman" w:hAnsi="Times New Roman" w:cs="Times New Roman"/>
                <w:bCs/>
                <w:color w:val="000000" w:themeColor="text1"/>
                <w:sz w:val="20"/>
                <w:szCs w:val="20"/>
              </w:rPr>
              <w:t>Regularization</w:t>
            </w:r>
            <w:proofErr w:type="spellEnd"/>
            <w:r w:rsidRPr="00A956B3">
              <w:rPr>
                <w:rFonts w:ascii="Times New Roman" w:hAnsi="Times New Roman" w:cs="Times New Roman"/>
                <w:bCs/>
                <w:color w:val="000000" w:themeColor="text1"/>
                <w:sz w:val="20"/>
                <w:szCs w:val="20"/>
              </w:rPr>
              <w:t xml:space="preserve"> </w:t>
            </w:r>
            <w:proofErr w:type="spellStart"/>
            <w:r w:rsidRPr="00A956B3">
              <w:rPr>
                <w:rFonts w:ascii="Times New Roman" w:hAnsi="Times New Roman" w:cs="Times New Roman"/>
                <w:bCs/>
                <w:color w:val="000000" w:themeColor="text1"/>
                <w:sz w:val="20"/>
                <w:szCs w:val="20"/>
              </w:rPr>
              <w:t>strength</w:t>
            </w:r>
            <w:proofErr w:type="spellEnd"/>
          </w:p>
        </w:tc>
        <w:tc>
          <w:tcPr>
            <w:tcW w:w="2830" w:type="dxa"/>
          </w:tcPr>
          <w:p w14:paraId="3590997D" w14:textId="77777777" w:rsidR="00F20834" w:rsidRPr="00A956B3" w:rsidRDefault="00F20834" w:rsidP="00861F82">
            <w:pPr>
              <w:contextualSpacing/>
              <w:jc w:val="both"/>
              <w:rPr>
                <w:rFonts w:ascii="Times New Roman" w:hAnsi="Times New Roman" w:cs="Times New Roman"/>
                <w:bCs/>
                <w:color w:val="000000" w:themeColor="text1"/>
                <w:sz w:val="20"/>
                <w:szCs w:val="20"/>
                <w:lang w:val="en-CA"/>
              </w:rPr>
            </w:pPr>
            <w:r w:rsidRPr="00A956B3">
              <w:rPr>
                <w:rFonts w:ascii="Times New Roman" w:hAnsi="Times New Roman" w:cs="Times New Roman"/>
                <w:bCs/>
                <w:color w:val="000000" w:themeColor="text1"/>
                <w:sz w:val="20"/>
                <w:szCs w:val="20"/>
                <w:lang w:val="en-CA"/>
              </w:rPr>
              <w:t xml:space="preserve">Sequence of 100 values automatically selected by the </w:t>
            </w:r>
            <w:proofErr w:type="spellStart"/>
            <w:r w:rsidRPr="00A956B3">
              <w:rPr>
                <w:rFonts w:ascii="Times New Roman" w:hAnsi="Times New Roman" w:cs="Times New Roman"/>
                <w:bCs/>
                <w:color w:val="000000" w:themeColor="text1"/>
                <w:sz w:val="20"/>
                <w:szCs w:val="20"/>
                <w:lang w:val="en-CA"/>
              </w:rPr>
              <w:t>glmnet</w:t>
            </w:r>
            <w:proofErr w:type="spellEnd"/>
            <w:r w:rsidRPr="00A956B3">
              <w:rPr>
                <w:rFonts w:ascii="Times New Roman" w:hAnsi="Times New Roman" w:cs="Times New Roman"/>
                <w:bCs/>
                <w:color w:val="000000" w:themeColor="text1"/>
                <w:sz w:val="20"/>
                <w:szCs w:val="20"/>
                <w:lang w:val="en-CA"/>
              </w:rPr>
              <w:t xml:space="preserve"> package in R</w:t>
            </w:r>
          </w:p>
        </w:tc>
        <w:tc>
          <w:tcPr>
            <w:tcW w:w="1559" w:type="dxa"/>
          </w:tcPr>
          <w:p w14:paraId="075D1101" w14:textId="77777777" w:rsidR="00F20834" w:rsidRPr="00A956B3" w:rsidRDefault="00F20834" w:rsidP="00861F82">
            <w:pPr>
              <w:contextualSpacing/>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0.0083</w:t>
            </w:r>
          </w:p>
        </w:tc>
      </w:tr>
    </w:tbl>
    <w:p w14:paraId="013A93F9" w14:textId="77777777" w:rsidR="00F20834" w:rsidRPr="00A956B3" w:rsidRDefault="00F20834" w:rsidP="00F20834">
      <w:pPr>
        <w:contextualSpacing/>
        <w:jc w:val="both"/>
        <w:rPr>
          <w:rFonts w:ascii="Times New Roman" w:hAnsi="Times New Roman" w:cs="Times New Roman"/>
          <w:color w:val="000000" w:themeColor="text1"/>
        </w:rPr>
      </w:pPr>
      <w:r w:rsidRPr="00A956B3">
        <w:rPr>
          <w:rFonts w:ascii="Times New Roman" w:hAnsi="Times New Roman" w:cs="Times New Roman"/>
          <w:bCs/>
          <w:color w:val="000000" w:themeColor="text1"/>
          <w:sz w:val="20"/>
          <w:szCs w:val="20"/>
        </w:rPr>
        <w:t xml:space="preserve">Note: </w:t>
      </w:r>
      <w:proofErr w:type="spellStart"/>
      <w:r w:rsidRPr="00A956B3">
        <w:rPr>
          <w:rFonts w:ascii="Times New Roman" w:hAnsi="Times New Roman" w:cs="Times New Roman"/>
          <w:bCs/>
          <w:color w:val="000000" w:themeColor="text1"/>
          <w:sz w:val="20"/>
          <w:szCs w:val="20"/>
          <w:vertAlign w:val="superscript"/>
        </w:rPr>
        <w:t>a</w:t>
      </w:r>
      <w:r w:rsidRPr="00A956B3">
        <w:rPr>
          <w:rFonts w:ascii="Times New Roman" w:hAnsi="Times New Roman" w:cs="Times New Roman"/>
          <w:bCs/>
          <w:color w:val="000000" w:themeColor="text1"/>
          <w:sz w:val="20"/>
          <w:szCs w:val="20"/>
        </w:rPr>
        <w:t>Full</w:t>
      </w:r>
      <w:proofErr w:type="spellEnd"/>
      <w:r w:rsidRPr="00A956B3">
        <w:rPr>
          <w:rFonts w:ascii="Times New Roman" w:hAnsi="Times New Roman" w:cs="Times New Roman"/>
          <w:bCs/>
          <w:color w:val="000000" w:themeColor="text1"/>
          <w:sz w:val="20"/>
          <w:szCs w:val="20"/>
        </w:rPr>
        <w:t xml:space="preserve"> non-parametric machine learning algorithm and using all 15 candidate predictors. </w:t>
      </w:r>
      <w:proofErr w:type="spellStart"/>
      <w:r w:rsidRPr="00A956B3">
        <w:rPr>
          <w:rFonts w:ascii="Times New Roman" w:hAnsi="Times New Roman" w:cs="Times New Roman"/>
          <w:bCs/>
          <w:color w:val="000000" w:themeColor="text1"/>
          <w:sz w:val="20"/>
          <w:szCs w:val="20"/>
          <w:vertAlign w:val="superscript"/>
        </w:rPr>
        <w:t>b</w:t>
      </w:r>
      <w:r w:rsidRPr="00A956B3">
        <w:rPr>
          <w:rFonts w:ascii="Times New Roman" w:hAnsi="Times New Roman" w:cs="Times New Roman"/>
          <w:bCs/>
          <w:color w:val="000000" w:themeColor="text1"/>
          <w:sz w:val="20"/>
          <w:szCs w:val="20"/>
        </w:rPr>
        <w:t>Reduced</w:t>
      </w:r>
      <w:proofErr w:type="spellEnd"/>
      <w:r w:rsidRPr="00A956B3">
        <w:rPr>
          <w:rFonts w:ascii="Times New Roman" w:hAnsi="Times New Roman" w:cs="Times New Roman"/>
          <w:bCs/>
          <w:color w:val="000000" w:themeColor="text1"/>
          <w:sz w:val="20"/>
          <w:szCs w:val="20"/>
        </w:rPr>
        <w:t xml:space="preserve"> regression model using only the top four best predictors from the random forest model.</w:t>
      </w:r>
    </w:p>
    <w:p w14:paraId="010B8F08" w14:textId="17775EFD" w:rsidR="000A2353" w:rsidRPr="00A956B3" w:rsidRDefault="000A2353">
      <w:pPr>
        <w:rPr>
          <w:rFonts w:ascii="Times New Roman" w:hAnsi="Times New Roman" w:cs="Times New Roman"/>
          <w:color w:val="000000" w:themeColor="text1"/>
        </w:rPr>
      </w:pPr>
    </w:p>
    <w:p w14:paraId="792FD74B" w14:textId="77777777" w:rsidR="000A2353" w:rsidRPr="00A956B3" w:rsidRDefault="000A2353">
      <w:pPr>
        <w:rPr>
          <w:rFonts w:ascii="Times New Roman" w:hAnsi="Times New Roman" w:cs="Times New Roman"/>
          <w:color w:val="000000" w:themeColor="text1"/>
        </w:rPr>
        <w:sectPr w:rsidR="000A2353" w:rsidRPr="00A956B3">
          <w:pgSz w:w="12240" w:h="15840"/>
          <w:pgMar w:top="1440" w:right="1440" w:bottom="1440" w:left="1440" w:header="708" w:footer="708" w:gutter="0"/>
          <w:cols w:space="708"/>
          <w:docGrid w:linePitch="360"/>
        </w:sectPr>
      </w:pPr>
    </w:p>
    <w:p w14:paraId="0163B7D8" w14:textId="77777777" w:rsidR="000A2353" w:rsidRPr="00A956B3" w:rsidRDefault="000A2353" w:rsidP="000A2353">
      <w:pPr>
        <w:jc w:val="both"/>
        <w:rPr>
          <w:rFonts w:ascii="Times New Roman" w:hAnsi="Times New Roman" w:cs="Times New Roman"/>
          <w:b/>
          <w:color w:val="000000" w:themeColor="text1"/>
          <w:sz w:val="20"/>
          <w:szCs w:val="20"/>
        </w:rPr>
      </w:pPr>
      <w:r w:rsidRPr="00A956B3">
        <w:rPr>
          <w:rFonts w:ascii="Times New Roman" w:hAnsi="Times New Roman" w:cs="Times New Roman"/>
          <w:b/>
          <w:color w:val="000000" w:themeColor="text1"/>
        </w:rPr>
        <w:lastRenderedPageBreak/>
        <w:t>Supplementary Table 3.</w:t>
      </w:r>
      <w:r w:rsidRPr="00A956B3">
        <w:rPr>
          <w:rFonts w:ascii="Times New Roman" w:hAnsi="Times New Roman" w:cs="Times New Roman"/>
          <w:bCs/>
          <w:color w:val="000000" w:themeColor="text1"/>
        </w:rPr>
        <w:t xml:space="preserve"> Characteristics of the study participants from the Gen3G (development and internal validation) and Project Viva (external validation) cohorts stratified by prediabetes/T2D development status</w:t>
      </w:r>
    </w:p>
    <w:tbl>
      <w:tblPr>
        <w:tblStyle w:val="PlainTable2"/>
        <w:tblpPr w:leftFromText="180" w:rightFromText="180" w:horzAnchor="margin" w:tblpY="620"/>
        <w:tblW w:w="12974" w:type="dxa"/>
        <w:tblLayout w:type="fixed"/>
        <w:tblLook w:val="04A0" w:firstRow="1" w:lastRow="0" w:firstColumn="1" w:lastColumn="0" w:noHBand="0" w:noVBand="1"/>
      </w:tblPr>
      <w:tblGrid>
        <w:gridCol w:w="642"/>
        <w:gridCol w:w="1748"/>
        <w:gridCol w:w="1474"/>
        <w:gridCol w:w="1475"/>
        <w:gridCol w:w="675"/>
        <w:gridCol w:w="1474"/>
        <w:gridCol w:w="1475"/>
        <w:gridCol w:w="675"/>
        <w:gridCol w:w="1328"/>
        <w:gridCol w:w="1329"/>
        <w:gridCol w:w="679"/>
      </w:tblGrid>
      <w:tr w:rsidR="00A956B3" w:rsidRPr="00A956B3" w14:paraId="63276C4B" w14:textId="77777777" w:rsidTr="00CE4906">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390" w:type="dxa"/>
            <w:gridSpan w:val="2"/>
            <w:vMerge w:val="restart"/>
            <w:vAlign w:val="center"/>
          </w:tcPr>
          <w:p w14:paraId="699090C3" w14:textId="77777777" w:rsidR="000A2353" w:rsidRPr="00A956B3" w:rsidRDefault="000A2353" w:rsidP="00CE4906">
            <w:pPr>
              <w:contextualSpacing/>
              <w:jc w:val="center"/>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Characteristic</w:t>
            </w:r>
          </w:p>
        </w:tc>
        <w:tc>
          <w:tcPr>
            <w:tcW w:w="2949" w:type="dxa"/>
            <w:gridSpan w:val="2"/>
            <w:vMerge w:val="restart"/>
            <w:vAlign w:val="center"/>
          </w:tcPr>
          <w:p w14:paraId="6A0E8AFD" w14:textId="77777777" w:rsidR="000A2353" w:rsidRPr="00A956B3" w:rsidRDefault="000A2353" w:rsidP="00CE4906">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Gen3G</w:t>
            </w:r>
          </w:p>
          <w:p w14:paraId="4AF704C5" w14:textId="77777777" w:rsidR="000A2353" w:rsidRPr="00A956B3" w:rsidRDefault="000A2353" w:rsidP="00CE4906">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N (%), med [IQR]</w:t>
            </w:r>
          </w:p>
        </w:tc>
        <w:tc>
          <w:tcPr>
            <w:tcW w:w="675" w:type="dxa"/>
            <w:vMerge w:val="restart"/>
            <w:vAlign w:val="center"/>
          </w:tcPr>
          <w:p w14:paraId="017ED2E3" w14:textId="77777777" w:rsidR="000A2353" w:rsidRPr="00A956B3" w:rsidRDefault="000A2353" w:rsidP="00CE4906">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p-value*</w:t>
            </w:r>
          </w:p>
        </w:tc>
        <w:tc>
          <w:tcPr>
            <w:tcW w:w="6960" w:type="dxa"/>
            <w:gridSpan w:val="6"/>
            <w:vAlign w:val="center"/>
          </w:tcPr>
          <w:p w14:paraId="796CEF5B" w14:textId="77777777" w:rsidR="000A2353" w:rsidRPr="00A956B3" w:rsidRDefault="000A2353" w:rsidP="00CE4906">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6"/>
                <w:szCs w:val="16"/>
                <w:lang w:val="en-CA"/>
              </w:rPr>
            </w:pPr>
            <w:r w:rsidRPr="00A956B3">
              <w:rPr>
                <w:rFonts w:ascii="Times New Roman" w:hAnsi="Times New Roman" w:cs="Times New Roman"/>
                <w:color w:val="000000" w:themeColor="text1"/>
                <w:sz w:val="16"/>
                <w:szCs w:val="16"/>
                <w:lang w:val="en-CA"/>
              </w:rPr>
              <w:t xml:space="preserve">Project Viva </w:t>
            </w:r>
          </w:p>
        </w:tc>
      </w:tr>
      <w:tr w:rsidR="00A956B3" w:rsidRPr="00A956B3" w14:paraId="6487828F" w14:textId="77777777" w:rsidTr="00CE490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90" w:type="dxa"/>
            <w:gridSpan w:val="2"/>
            <w:vMerge/>
            <w:vAlign w:val="center"/>
          </w:tcPr>
          <w:p w14:paraId="7A7276BF" w14:textId="77777777" w:rsidR="000A2353" w:rsidRPr="00A956B3" w:rsidRDefault="000A2353" w:rsidP="00CE4906">
            <w:pPr>
              <w:contextualSpacing/>
              <w:jc w:val="center"/>
              <w:rPr>
                <w:rFonts w:ascii="Times New Roman" w:hAnsi="Times New Roman" w:cs="Times New Roman"/>
                <w:color w:val="000000" w:themeColor="text1"/>
                <w:sz w:val="16"/>
                <w:szCs w:val="16"/>
                <w:lang w:val="en-CA"/>
              </w:rPr>
            </w:pPr>
          </w:p>
        </w:tc>
        <w:tc>
          <w:tcPr>
            <w:tcW w:w="2949" w:type="dxa"/>
            <w:gridSpan w:val="2"/>
            <w:vMerge/>
            <w:vAlign w:val="center"/>
          </w:tcPr>
          <w:p w14:paraId="1442871C"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p>
        </w:tc>
        <w:tc>
          <w:tcPr>
            <w:tcW w:w="675" w:type="dxa"/>
            <w:vMerge/>
            <w:vAlign w:val="center"/>
          </w:tcPr>
          <w:p w14:paraId="5745EB40"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p>
        </w:tc>
        <w:tc>
          <w:tcPr>
            <w:tcW w:w="2949" w:type="dxa"/>
            <w:gridSpan w:val="2"/>
            <w:vAlign w:val="center"/>
          </w:tcPr>
          <w:p w14:paraId="305EEB4A" w14:textId="53AE476A" w:rsidR="000A2353" w:rsidRPr="00A956B3" w:rsidRDefault="00CB6522"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3-year follow-up visit</w:t>
            </w:r>
          </w:p>
          <w:p w14:paraId="44754515"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N (%), med [IQR]</w:t>
            </w:r>
          </w:p>
        </w:tc>
        <w:tc>
          <w:tcPr>
            <w:tcW w:w="675" w:type="dxa"/>
            <w:vMerge w:val="restart"/>
            <w:vAlign w:val="center"/>
          </w:tcPr>
          <w:p w14:paraId="61E8103E"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p-value*</w:t>
            </w:r>
          </w:p>
        </w:tc>
        <w:tc>
          <w:tcPr>
            <w:tcW w:w="2657" w:type="dxa"/>
            <w:gridSpan w:val="2"/>
            <w:vAlign w:val="center"/>
          </w:tcPr>
          <w:p w14:paraId="0F4BB7AA" w14:textId="2A0F5413" w:rsidR="00CB6522" w:rsidRPr="00A956B3" w:rsidRDefault="00CB6522" w:rsidP="00CB65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17-year follow-up visit</w:t>
            </w:r>
          </w:p>
          <w:p w14:paraId="5FE6D56B"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N (%), med [IQR]</w:t>
            </w:r>
          </w:p>
        </w:tc>
        <w:tc>
          <w:tcPr>
            <w:tcW w:w="679" w:type="dxa"/>
            <w:vMerge w:val="restart"/>
            <w:vAlign w:val="center"/>
          </w:tcPr>
          <w:p w14:paraId="35965D56"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p-value*</w:t>
            </w:r>
          </w:p>
        </w:tc>
      </w:tr>
      <w:tr w:rsidR="00A956B3" w:rsidRPr="00A956B3" w14:paraId="298FC57A" w14:textId="77777777" w:rsidTr="00CE4906">
        <w:trPr>
          <w:trHeight w:val="199"/>
        </w:trPr>
        <w:tc>
          <w:tcPr>
            <w:cnfStyle w:val="001000000000" w:firstRow="0" w:lastRow="0" w:firstColumn="1" w:lastColumn="0" w:oddVBand="0" w:evenVBand="0" w:oddHBand="0" w:evenHBand="0" w:firstRowFirstColumn="0" w:firstRowLastColumn="0" w:lastRowFirstColumn="0" w:lastRowLastColumn="0"/>
            <w:tcW w:w="2390" w:type="dxa"/>
            <w:gridSpan w:val="2"/>
            <w:vMerge/>
            <w:vAlign w:val="center"/>
          </w:tcPr>
          <w:p w14:paraId="3DA88B61" w14:textId="77777777" w:rsidR="000A2353" w:rsidRPr="00A956B3" w:rsidRDefault="000A2353" w:rsidP="00CE4906">
            <w:pPr>
              <w:contextualSpacing/>
              <w:jc w:val="center"/>
              <w:rPr>
                <w:rFonts w:ascii="Times New Roman" w:hAnsi="Times New Roman" w:cs="Times New Roman"/>
                <w:color w:val="000000" w:themeColor="text1"/>
                <w:sz w:val="16"/>
                <w:szCs w:val="16"/>
                <w:lang w:val="en-CA"/>
              </w:rPr>
            </w:pPr>
          </w:p>
        </w:tc>
        <w:tc>
          <w:tcPr>
            <w:tcW w:w="1474" w:type="dxa"/>
            <w:vAlign w:val="center"/>
          </w:tcPr>
          <w:p w14:paraId="05F7E381"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 xml:space="preserve">No prediabetes/T2D (347) </w:t>
            </w:r>
          </w:p>
        </w:tc>
        <w:tc>
          <w:tcPr>
            <w:tcW w:w="1475" w:type="dxa"/>
            <w:vAlign w:val="center"/>
          </w:tcPr>
          <w:p w14:paraId="11DF887C"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Prediabetes/T2D (56)</w:t>
            </w:r>
          </w:p>
        </w:tc>
        <w:tc>
          <w:tcPr>
            <w:tcW w:w="675" w:type="dxa"/>
            <w:vMerge/>
            <w:vAlign w:val="center"/>
          </w:tcPr>
          <w:p w14:paraId="4783AE80"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p>
        </w:tc>
        <w:tc>
          <w:tcPr>
            <w:tcW w:w="1474" w:type="dxa"/>
            <w:vAlign w:val="center"/>
          </w:tcPr>
          <w:p w14:paraId="21CA39D8"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No prediabetes/T2D (542)</w:t>
            </w:r>
          </w:p>
        </w:tc>
        <w:tc>
          <w:tcPr>
            <w:tcW w:w="1475" w:type="dxa"/>
            <w:vAlign w:val="center"/>
          </w:tcPr>
          <w:p w14:paraId="6619E909"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Prediabetes/T2D (20)</w:t>
            </w:r>
          </w:p>
        </w:tc>
        <w:tc>
          <w:tcPr>
            <w:tcW w:w="675" w:type="dxa"/>
            <w:vMerge/>
            <w:vAlign w:val="center"/>
          </w:tcPr>
          <w:p w14:paraId="0B0DE8BF"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p>
        </w:tc>
        <w:tc>
          <w:tcPr>
            <w:tcW w:w="1328" w:type="dxa"/>
            <w:vAlign w:val="center"/>
          </w:tcPr>
          <w:p w14:paraId="2FA69F22"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No prediabetes/T2D (417)</w:t>
            </w:r>
          </w:p>
        </w:tc>
        <w:tc>
          <w:tcPr>
            <w:tcW w:w="1329" w:type="dxa"/>
            <w:vAlign w:val="center"/>
          </w:tcPr>
          <w:p w14:paraId="2633BA96"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Prediabetes/T2D (124)</w:t>
            </w:r>
          </w:p>
        </w:tc>
        <w:tc>
          <w:tcPr>
            <w:tcW w:w="679" w:type="dxa"/>
            <w:vMerge/>
            <w:vAlign w:val="center"/>
          </w:tcPr>
          <w:p w14:paraId="2989E12A"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p>
        </w:tc>
      </w:tr>
      <w:tr w:rsidR="00A956B3" w:rsidRPr="00A956B3" w14:paraId="524E8545" w14:textId="77777777" w:rsidTr="00CE490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974" w:type="dxa"/>
            <w:gridSpan w:val="11"/>
            <w:vAlign w:val="center"/>
          </w:tcPr>
          <w:p w14:paraId="0B979C29" w14:textId="77777777" w:rsidR="000A2353" w:rsidRPr="00A956B3" w:rsidRDefault="000A2353" w:rsidP="00CE4906">
            <w:pPr>
              <w:contextualSpacing/>
              <w:rPr>
                <w:rFonts w:ascii="Times New Roman" w:hAnsi="Times New Roman" w:cs="Times New Roman"/>
                <w:i/>
                <w:iCs/>
                <w:color w:val="000000" w:themeColor="text1"/>
                <w:sz w:val="16"/>
                <w:szCs w:val="16"/>
                <w:lang w:val="en-CA"/>
              </w:rPr>
            </w:pPr>
            <w:r w:rsidRPr="00A956B3">
              <w:rPr>
                <w:rFonts w:ascii="Times New Roman" w:hAnsi="Times New Roman" w:cs="Times New Roman"/>
                <w:i/>
                <w:iCs/>
                <w:color w:val="000000" w:themeColor="text1"/>
                <w:sz w:val="16"/>
                <w:szCs w:val="16"/>
                <w:lang w:val="en-CA"/>
              </w:rPr>
              <w:t>Demographic variables</w:t>
            </w:r>
          </w:p>
        </w:tc>
      </w:tr>
      <w:tr w:rsidR="00A956B3" w:rsidRPr="00A956B3" w14:paraId="09E6A20C" w14:textId="77777777" w:rsidTr="00CE4906">
        <w:trPr>
          <w:trHeight w:val="149"/>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295B80A2" w14:textId="7A77AD29" w:rsidR="000A2353" w:rsidRPr="00A956B3" w:rsidRDefault="000A2353" w:rsidP="00CE4906">
            <w:pPr>
              <w:contextualSpacing/>
              <w:rPr>
                <w:rFonts w:ascii="Times New Roman" w:hAnsi="Times New Roman" w:cs="Times New Roman"/>
                <w:color w:val="000000" w:themeColor="text1"/>
                <w:sz w:val="16"/>
                <w:szCs w:val="16"/>
                <w:highlight w:val="yellow"/>
                <w:lang w:val="en-CA"/>
              </w:rPr>
            </w:pPr>
            <w:r w:rsidRPr="00A956B3">
              <w:rPr>
                <w:rFonts w:ascii="Times New Roman" w:hAnsi="Times New Roman" w:cs="Times New Roman"/>
                <w:color w:val="000000" w:themeColor="text1"/>
                <w:sz w:val="16"/>
                <w:szCs w:val="16"/>
                <w:lang w:val="en-CA"/>
              </w:rPr>
              <w:t>Ethnicity (</w:t>
            </w:r>
            <w:r w:rsidR="00793636" w:rsidRPr="00A956B3">
              <w:rPr>
                <w:rFonts w:ascii="Times New Roman" w:hAnsi="Times New Roman" w:cs="Times New Roman"/>
                <w:color w:val="000000" w:themeColor="text1"/>
                <w:sz w:val="16"/>
                <w:szCs w:val="16"/>
                <w:lang w:val="en-CA"/>
              </w:rPr>
              <w:t>Non-Hispanic White</w:t>
            </w:r>
            <w:r w:rsidRPr="00A956B3">
              <w:rPr>
                <w:rFonts w:ascii="Times New Roman" w:hAnsi="Times New Roman" w:cs="Times New Roman"/>
                <w:color w:val="000000" w:themeColor="text1"/>
                <w:sz w:val="16"/>
                <w:szCs w:val="16"/>
                <w:lang w:val="en-CA"/>
              </w:rPr>
              <w:t>)</w:t>
            </w:r>
          </w:p>
        </w:tc>
        <w:tc>
          <w:tcPr>
            <w:tcW w:w="1474" w:type="dxa"/>
            <w:vAlign w:val="center"/>
          </w:tcPr>
          <w:p w14:paraId="36629527"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333 (96)</w:t>
            </w:r>
          </w:p>
        </w:tc>
        <w:tc>
          <w:tcPr>
            <w:tcW w:w="1475" w:type="dxa"/>
            <w:vAlign w:val="center"/>
          </w:tcPr>
          <w:p w14:paraId="7F00CBE3"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54 (96)</w:t>
            </w:r>
          </w:p>
        </w:tc>
        <w:tc>
          <w:tcPr>
            <w:tcW w:w="675" w:type="dxa"/>
            <w:vAlign w:val="center"/>
          </w:tcPr>
          <w:p w14:paraId="5C9AB1AF"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1.000</w:t>
            </w:r>
          </w:p>
        </w:tc>
        <w:tc>
          <w:tcPr>
            <w:tcW w:w="1474" w:type="dxa"/>
            <w:vAlign w:val="center"/>
          </w:tcPr>
          <w:p w14:paraId="359F67E8"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389 (71)</w:t>
            </w:r>
          </w:p>
        </w:tc>
        <w:tc>
          <w:tcPr>
            <w:tcW w:w="1475" w:type="dxa"/>
            <w:vAlign w:val="center"/>
          </w:tcPr>
          <w:p w14:paraId="3F62073F"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7 (35)</w:t>
            </w:r>
          </w:p>
        </w:tc>
        <w:tc>
          <w:tcPr>
            <w:tcW w:w="675" w:type="dxa"/>
            <w:vAlign w:val="center"/>
          </w:tcPr>
          <w:p w14:paraId="2EBCDF2B"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0.001</w:t>
            </w:r>
          </w:p>
        </w:tc>
        <w:tc>
          <w:tcPr>
            <w:tcW w:w="1328" w:type="dxa"/>
            <w:vAlign w:val="center"/>
          </w:tcPr>
          <w:p w14:paraId="1ECA41F3"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305 (73)</w:t>
            </w:r>
          </w:p>
        </w:tc>
        <w:tc>
          <w:tcPr>
            <w:tcW w:w="1329" w:type="dxa"/>
            <w:vAlign w:val="center"/>
          </w:tcPr>
          <w:p w14:paraId="5050CC23"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59 (48)</w:t>
            </w:r>
          </w:p>
        </w:tc>
        <w:tc>
          <w:tcPr>
            <w:tcW w:w="679" w:type="dxa"/>
            <w:vAlign w:val="center"/>
          </w:tcPr>
          <w:p w14:paraId="46B431C8"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b/>
                <w:bCs/>
                <w:color w:val="000000" w:themeColor="text1"/>
                <w:sz w:val="16"/>
                <w:szCs w:val="16"/>
                <w:lang w:val="en-CA"/>
              </w:rPr>
              <w:t>&lt;0.001</w:t>
            </w:r>
          </w:p>
        </w:tc>
      </w:tr>
      <w:tr w:rsidR="00A956B3" w:rsidRPr="00A956B3" w14:paraId="59EC0CCA" w14:textId="77777777" w:rsidTr="00CE4906">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6FE35869" w14:textId="77777777" w:rsidR="000A2353" w:rsidRPr="00A956B3" w:rsidRDefault="000A2353" w:rsidP="00CE4906">
            <w:pPr>
              <w:contextualSpacing/>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Age at first trimester (years)</w:t>
            </w:r>
          </w:p>
        </w:tc>
        <w:tc>
          <w:tcPr>
            <w:tcW w:w="1474" w:type="dxa"/>
            <w:vAlign w:val="center"/>
          </w:tcPr>
          <w:p w14:paraId="7FC39ADE"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28.9 [26.2; 31.9]</w:t>
            </w:r>
          </w:p>
        </w:tc>
        <w:tc>
          <w:tcPr>
            <w:tcW w:w="1475" w:type="dxa"/>
            <w:vAlign w:val="center"/>
          </w:tcPr>
          <w:p w14:paraId="0E19380E"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30.6 [28.1; 32.8]</w:t>
            </w:r>
          </w:p>
        </w:tc>
        <w:tc>
          <w:tcPr>
            <w:tcW w:w="675" w:type="dxa"/>
            <w:vAlign w:val="center"/>
          </w:tcPr>
          <w:p w14:paraId="788818DF" w14:textId="57A86FD9"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0.01</w:t>
            </w:r>
          </w:p>
        </w:tc>
        <w:tc>
          <w:tcPr>
            <w:tcW w:w="1474" w:type="dxa"/>
            <w:vAlign w:val="center"/>
          </w:tcPr>
          <w:p w14:paraId="182F0E29"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34.4 [30.8; 36.9]</w:t>
            </w:r>
          </w:p>
        </w:tc>
        <w:tc>
          <w:tcPr>
            <w:tcW w:w="1475" w:type="dxa"/>
            <w:vAlign w:val="center"/>
          </w:tcPr>
          <w:p w14:paraId="603F0B24"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35.7 [32.3; 39.4]</w:t>
            </w:r>
          </w:p>
        </w:tc>
        <w:tc>
          <w:tcPr>
            <w:tcW w:w="675" w:type="dxa"/>
            <w:vAlign w:val="center"/>
          </w:tcPr>
          <w:p w14:paraId="6D9B5285" w14:textId="07D0B4CB"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0.0</w:t>
            </w:r>
            <w:r w:rsidR="00A96A0B" w:rsidRPr="00A956B3">
              <w:rPr>
                <w:rFonts w:ascii="Times New Roman" w:hAnsi="Times New Roman" w:cs="Times New Roman"/>
                <w:color w:val="000000" w:themeColor="text1"/>
                <w:sz w:val="16"/>
                <w:szCs w:val="16"/>
                <w:lang w:val="en-CA"/>
              </w:rPr>
              <w:t>8</w:t>
            </w:r>
          </w:p>
        </w:tc>
        <w:tc>
          <w:tcPr>
            <w:tcW w:w="1328" w:type="dxa"/>
            <w:vAlign w:val="center"/>
          </w:tcPr>
          <w:p w14:paraId="7AB9AE7A"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 xml:space="preserve">32.6 [29.7; 35.9] </w:t>
            </w:r>
          </w:p>
        </w:tc>
        <w:tc>
          <w:tcPr>
            <w:tcW w:w="1329" w:type="dxa"/>
            <w:vAlign w:val="center"/>
          </w:tcPr>
          <w:p w14:paraId="40676965"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33.0 [29.6; 36.6]</w:t>
            </w:r>
          </w:p>
        </w:tc>
        <w:tc>
          <w:tcPr>
            <w:tcW w:w="679" w:type="dxa"/>
            <w:vAlign w:val="center"/>
          </w:tcPr>
          <w:p w14:paraId="5A4310E5" w14:textId="2A6BE668"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w:t>
            </w:r>
            <w:r w:rsidR="00A96A0B" w:rsidRPr="00A956B3">
              <w:rPr>
                <w:rFonts w:ascii="Times New Roman" w:hAnsi="Times New Roman" w:cs="Times New Roman"/>
                <w:color w:val="000000" w:themeColor="text1"/>
                <w:sz w:val="16"/>
                <w:szCs w:val="16"/>
                <w:lang w:val="en-CA"/>
              </w:rPr>
              <w:t>60</w:t>
            </w:r>
          </w:p>
        </w:tc>
      </w:tr>
      <w:tr w:rsidR="00A956B3" w:rsidRPr="00A956B3" w14:paraId="7A830BE6" w14:textId="77777777" w:rsidTr="00CE4906">
        <w:trPr>
          <w:trHeight w:val="175"/>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4FB374ED" w14:textId="77777777" w:rsidR="000A2353" w:rsidRPr="00A956B3" w:rsidRDefault="000A2353" w:rsidP="00CE4906">
            <w:pPr>
              <w:contextualSpacing/>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Active smoker at first trimester</w:t>
            </w:r>
          </w:p>
        </w:tc>
        <w:tc>
          <w:tcPr>
            <w:tcW w:w="1474" w:type="dxa"/>
            <w:vAlign w:val="center"/>
          </w:tcPr>
          <w:p w14:paraId="3299963E"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24 (7)</w:t>
            </w:r>
          </w:p>
        </w:tc>
        <w:tc>
          <w:tcPr>
            <w:tcW w:w="1475" w:type="dxa"/>
            <w:vAlign w:val="center"/>
          </w:tcPr>
          <w:p w14:paraId="4925A2D0"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7 (13)</w:t>
            </w:r>
          </w:p>
        </w:tc>
        <w:tc>
          <w:tcPr>
            <w:tcW w:w="675" w:type="dxa"/>
            <w:vAlign w:val="center"/>
          </w:tcPr>
          <w:p w14:paraId="43E3DAAE" w14:textId="080AEEE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0.17</w:t>
            </w:r>
          </w:p>
        </w:tc>
        <w:tc>
          <w:tcPr>
            <w:tcW w:w="1474" w:type="dxa"/>
            <w:vAlign w:val="center"/>
          </w:tcPr>
          <w:p w14:paraId="17492C3D"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57 (11)</w:t>
            </w:r>
          </w:p>
        </w:tc>
        <w:tc>
          <w:tcPr>
            <w:tcW w:w="1475" w:type="dxa"/>
            <w:vAlign w:val="center"/>
          </w:tcPr>
          <w:p w14:paraId="6D32F0A1"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 (0)</w:t>
            </w:r>
          </w:p>
        </w:tc>
        <w:tc>
          <w:tcPr>
            <w:tcW w:w="675" w:type="dxa"/>
            <w:vAlign w:val="center"/>
          </w:tcPr>
          <w:p w14:paraId="564653D6" w14:textId="6518F550"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0.2</w:t>
            </w:r>
            <w:r w:rsidR="00A96A0B" w:rsidRPr="00A956B3">
              <w:rPr>
                <w:rFonts w:ascii="Times New Roman" w:hAnsi="Times New Roman" w:cs="Times New Roman"/>
                <w:color w:val="000000" w:themeColor="text1"/>
                <w:sz w:val="16"/>
                <w:szCs w:val="16"/>
                <w:lang w:val="en-CA"/>
              </w:rPr>
              <w:t>5</w:t>
            </w:r>
          </w:p>
        </w:tc>
        <w:tc>
          <w:tcPr>
            <w:tcW w:w="1328" w:type="dxa"/>
            <w:vAlign w:val="center"/>
          </w:tcPr>
          <w:p w14:paraId="630B229D"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35 (8)</w:t>
            </w:r>
          </w:p>
        </w:tc>
        <w:tc>
          <w:tcPr>
            <w:tcW w:w="1329" w:type="dxa"/>
            <w:vAlign w:val="center"/>
          </w:tcPr>
          <w:p w14:paraId="3D3BD420"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17 (14)</w:t>
            </w:r>
          </w:p>
        </w:tc>
        <w:tc>
          <w:tcPr>
            <w:tcW w:w="679" w:type="dxa"/>
            <w:vAlign w:val="center"/>
          </w:tcPr>
          <w:p w14:paraId="3B45A977" w14:textId="0872FBC0"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0.11</w:t>
            </w:r>
          </w:p>
        </w:tc>
      </w:tr>
      <w:tr w:rsidR="00A956B3" w:rsidRPr="00A956B3" w14:paraId="7E52B436" w14:textId="77777777" w:rsidTr="00CE4906">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106C7650" w14:textId="77777777" w:rsidR="000A2353" w:rsidRPr="00A956B3" w:rsidRDefault="000A2353" w:rsidP="00CE4906">
            <w:pPr>
              <w:contextualSpacing/>
              <w:rPr>
                <w:rFonts w:ascii="Times New Roman" w:hAnsi="Times New Roman" w:cs="Times New Roman"/>
                <w:color w:val="000000" w:themeColor="text1"/>
                <w:sz w:val="16"/>
                <w:szCs w:val="16"/>
                <w:highlight w:val="yellow"/>
                <w:lang w:val="en-CA"/>
              </w:rPr>
            </w:pPr>
            <w:r w:rsidRPr="00A956B3">
              <w:rPr>
                <w:rFonts w:ascii="Times New Roman" w:hAnsi="Times New Roman" w:cs="Times New Roman"/>
                <w:color w:val="000000" w:themeColor="text1"/>
                <w:sz w:val="16"/>
                <w:szCs w:val="16"/>
                <w:lang w:val="en-CA"/>
              </w:rPr>
              <w:t>Educational level (University and more)</w:t>
            </w:r>
          </w:p>
        </w:tc>
        <w:tc>
          <w:tcPr>
            <w:tcW w:w="1474" w:type="dxa"/>
            <w:vAlign w:val="center"/>
          </w:tcPr>
          <w:p w14:paraId="2C038300"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165 (48)</w:t>
            </w:r>
          </w:p>
        </w:tc>
        <w:tc>
          <w:tcPr>
            <w:tcW w:w="1475" w:type="dxa"/>
            <w:vAlign w:val="center"/>
          </w:tcPr>
          <w:p w14:paraId="1DC569B9"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23 (41)</w:t>
            </w:r>
          </w:p>
        </w:tc>
        <w:tc>
          <w:tcPr>
            <w:tcW w:w="675" w:type="dxa"/>
            <w:vAlign w:val="center"/>
          </w:tcPr>
          <w:p w14:paraId="3975A610" w14:textId="557E4A5F"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0.4</w:t>
            </w:r>
            <w:r w:rsidR="00A96A0B" w:rsidRPr="00A956B3">
              <w:rPr>
                <w:rFonts w:ascii="Times New Roman" w:hAnsi="Times New Roman" w:cs="Times New Roman"/>
                <w:color w:val="000000" w:themeColor="text1"/>
                <w:sz w:val="16"/>
                <w:szCs w:val="16"/>
                <w:lang w:val="en-CA"/>
              </w:rPr>
              <w:t>5</w:t>
            </w:r>
          </w:p>
        </w:tc>
        <w:tc>
          <w:tcPr>
            <w:tcW w:w="1474" w:type="dxa"/>
            <w:vAlign w:val="center"/>
          </w:tcPr>
          <w:p w14:paraId="71709511"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365 (67)</w:t>
            </w:r>
          </w:p>
        </w:tc>
        <w:tc>
          <w:tcPr>
            <w:tcW w:w="1475" w:type="dxa"/>
            <w:vAlign w:val="center"/>
          </w:tcPr>
          <w:p w14:paraId="0713A48A"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13 (65)</w:t>
            </w:r>
          </w:p>
        </w:tc>
        <w:tc>
          <w:tcPr>
            <w:tcW w:w="675" w:type="dxa"/>
            <w:vAlign w:val="center"/>
          </w:tcPr>
          <w:p w14:paraId="179C0340" w14:textId="0987F6DA"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1.00</w:t>
            </w:r>
          </w:p>
        </w:tc>
        <w:tc>
          <w:tcPr>
            <w:tcW w:w="1328" w:type="dxa"/>
            <w:vAlign w:val="center"/>
          </w:tcPr>
          <w:p w14:paraId="57355BCE"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309 (74)</w:t>
            </w:r>
          </w:p>
        </w:tc>
        <w:tc>
          <w:tcPr>
            <w:tcW w:w="1329" w:type="dxa"/>
            <w:vAlign w:val="center"/>
          </w:tcPr>
          <w:p w14:paraId="350FD876"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81 (65)</w:t>
            </w:r>
          </w:p>
        </w:tc>
        <w:tc>
          <w:tcPr>
            <w:tcW w:w="679" w:type="dxa"/>
            <w:vAlign w:val="center"/>
          </w:tcPr>
          <w:p w14:paraId="3BEFEC8D" w14:textId="3E30B1AB"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0.07</w:t>
            </w:r>
          </w:p>
        </w:tc>
      </w:tr>
      <w:tr w:rsidR="00A956B3" w:rsidRPr="00A956B3" w14:paraId="19D0E69C" w14:textId="77777777" w:rsidTr="00CE4906">
        <w:trPr>
          <w:trHeight w:val="71"/>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45D87766" w14:textId="77777777" w:rsidR="000A2353" w:rsidRPr="00A956B3" w:rsidRDefault="000A2353" w:rsidP="00CE4906">
            <w:pPr>
              <w:contextualSpacing/>
              <w:rPr>
                <w:rFonts w:ascii="Times New Roman" w:hAnsi="Times New Roman" w:cs="Times New Roman"/>
                <w:i/>
                <w:iCs/>
                <w:color w:val="000000" w:themeColor="text1"/>
                <w:sz w:val="16"/>
                <w:szCs w:val="16"/>
                <w:lang w:val="en-CA"/>
              </w:rPr>
            </w:pPr>
            <w:r w:rsidRPr="00A956B3">
              <w:rPr>
                <w:rFonts w:ascii="Times New Roman" w:hAnsi="Times New Roman" w:cs="Times New Roman"/>
                <w:i/>
                <w:iCs/>
                <w:color w:val="000000" w:themeColor="text1"/>
                <w:sz w:val="16"/>
                <w:szCs w:val="16"/>
                <w:lang w:val="en-CA"/>
              </w:rPr>
              <w:t>Medical history</w:t>
            </w:r>
          </w:p>
        </w:tc>
        <w:tc>
          <w:tcPr>
            <w:tcW w:w="1474" w:type="dxa"/>
            <w:vAlign w:val="center"/>
          </w:tcPr>
          <w:p w14:paraId="1C696098" w14:textId="77777777" w:rsidR="000A2353" w:rsidRPr="00A956B3" w:rsidRDefault="000A2353" w:rsidP="00CE490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16"/>
                <w:szCs w:val="16"/>
                <w:lang w:val="en-CA"/>
              </w:rPr>
            </w:pPr>
          </w:p>
        </w:tc>
        <w:tc>
          <w:tcPr>
            <w:tcW w:w="1475" w:type="dxa"/>
            <w:vAlign w:val="center"/>
          </w:tcPr>
          <w:p w14:paraId="11AB6736" w14:textId="77777777" w:rsidR="000A2353" w:rsidRPr="00A956B3" w:rsidRDefault="000A2353" w:rsidP="00CE490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16"/>
                <w:szCs w:val="16"/>
                <w:lang w:val="en-CA"/>
              </w:rPr>
            </w:pPr>
          </w:p>
        </w:tc>
        <w:tc>
          <w:tcPr>
            <w:tcW w:w="675" w:type="dxa"/>
            <w:vAlign w:val="center"/>
          </w:tcPr>
          <w:p w14:paraId="77A33ABC" w14:textId="77777777" w:rsidR="000A2353" w:rsidRPr="00A956B3" w:rsidRDefault="000A2353" w:rsidP="00CE490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16"/>
                <w:szCs w:val="16"/>
                <w:lang w:val="en-CA"/>
              </w:rPr>
            </w:pPr>
          </w:p>
        </w:tc>
        <w:tc>
          <w:tcPr>
            <w:tcW w:w="1474" w:type="dxa"/>
            <w:vAlign w:val="center"/>
          </w:tcPr>
          <w:p w14:paraId="4C11405F" w14:textId="77777777" w:rsidR="000A2353" w:rsidRPr="00A956B3" w:rsidRDefault="000A2353" w:rsidP="00CE490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16"/>
                <w:szCs w:val="16"/>
                <w:lang w:val="en-CA"/>
              </w:rPr>
            </w:pPr>
          </w:p>
        </w:tc>
        <w:tc>
          <w:tcPr>
            <w:tcW w:w="1475" w:type="dxa"/>
            <w:vAlign w:val="center"/>
          </w:tcPr>
          <w:p w14:paraId="4CDF62F0" w14:textId="77777777" w:rsidR="000A2353" w:rsidRPr="00A956B3" w:rsidRDefault="000A2353" w:rsidP="00CE490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16"/>
                <w:szCs w:val="16"/>
                <w:lang w:val="en-CA"/>
              </w:rPr>
            </w:pPr>
          </w:p>
        </w:tc>
        <w:tc>
          <w:tcPr>
            <w:tcW w:w="675" w:type="dxa"/>
            <w:vAlign w:val="center"/>
          </w:tcPr>
          <w:p w14:paraId="30E376A4" w14:textId="77777777" w:rsidR="000A2353" w:rsidRPr="00A956B3" w:rsidRDefault="000A2353" w:rsidP="00CE490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16"/>
                <w:szCs w:val="16"/>
                <w:lang w:val="en-CA"/>
              </w:rPr>
            </w:pPr>
          </w:p>
        </w:tc>
        <w:tc>
          <w:tcPr>
            <w:tcW w:w="1328" w:type="dxa"/>
            <w:vAlign w:val="center"/>
          </w:tcPr>
          <w:p w14:paraId="214B492C" w14:textId="77777777" w:rsidR="000A2353" w:rsidRPr="00A956B3" w:rsidRDefault="000A2353" w:rsidP="00CE490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16"/>
                <w:szCs w:val="16"/>
                <w:lang w:val="en-CA"/>
              </w:rPr>
            </w:pPr>
          </w:p>
        </w:tc>
        <w:tc>
          <w:tcPr>
            <w:tcW w:w="1329" w:type="dxa"/>
            <w:vAlign w:val="center"/>
          </w:tcPr>
          <w:p w14:paraId="6042DD6C" w14:textId="77777777" w:rsidR="000A2353" w:rsidRPr="00A956B3" w:rsidRDefault="000A2353" w:rsidP="00CE490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16"/>
                <w:szCs w:val="16"/>
                <w:lang w:val="en-CA"/>
              </w:rPr>
            </w:pPr>
          </w:p>
        </w:tc>
        <w:tc>
          <w:tcPr>
            <w:tcW w:w="679" w:type="dxa"/>
            <w:vAlign w:val="center"/>
          </w:tcPr>
          <w:p w14:paraId="00355A2B" w14:textId="77777777" w:rsidR="000A2353" w:rsidRPr="00A956B3" w:rsidRDefault="000A2353" w:rsidP="00CE490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16"/>
                <w:szCs w:val="16"/>
                <w:lang w:val="en-CA"/>
              </w:rPr>
            </w:pPr>
          </w:p>
        </w:tc>
      </w:tr>
      <w:tr w:rsidR="00A956B3" w:rsidRPr="00A956B3" w14:paraId="5D6653DC" w14:textId="77777777" w:rsidTr="00CE4906">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7E2BB0FB" w14:textId="77777777" w:rsidR="000A2353" w:rsidRPr="00A956B3" w:rsidRDefault="000A2353" w:rsidP="00CE4906">
            <w:pPr>
              <w:contextualSpacing/>
              <w:rPr>
                <w:rFonts w:ascii="Times New Roman" w:hAnsi="Times New Roman" w:cs="Times New Roman"/>
                <w:color w:val="000000" w:themeColor="text1"/>
                <w:sz w:val="16"/>
                <w:szCs w:val="16"/>
                <w:highlight w:val="yellow"/>
                <w:lang w:val="en-CA"/>
              </w:rPr>
            </w:pPr>
            <w:r w:rsidRPr="00A956B3">
              <w:rPr>
                <w:rFonts w:ascii="Times New Roman" w:hAnsi="Times New Roman" w:cs="Times New Roman"/>
                <w:color w:val="000000" w:themeColor="text1"/>
                <w:sz w:val="16"/>
                <w:szCs w:val="16"/>
                <w:lang w:val="en-CA"/>
              </w:rPr>
              <w:t xml:space="preserve">Familial history of type 2 diabetes </w:t>
            </w:r>
          </w:p>
        </w:tc>
        <w:tc>
          <w:tcPr>
            <w:tcW w:w="1474" w:type="dxa"/>
            <w:vAlign w:val="center"/>
          </w:tcPr>
          <w:p w14:paraId="6D31923C"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64 (18)</w:t>
            </w:r>
          </w:p>
        </w:tc>
        <w:tc>
          <w:tcPr>
            <w:tcW w:w="1475" w:type="dxa"/>
            <w:vAlign w:val="center"/>
          </w:tcPr>
          <w:p w14:paraId="21C4005C"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17 (30)</w:t>
            </w:r>
          </w:p>
        </w:tc>
        <w:tc>
          <w:tcPr>
            <w:tcW w:w="675" w:type="dxa"/>
            <w:vAlign w:val="center"/>
          </w:tcPr>
          <w:p w14:paraId="774E86EF" w14:textId="3C93D152"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0.0</w:t>
            </w:r>
            <w:r w:rsidR="00A96A0B" w:rsidRPr="00A956B3">
              <w:rPr>
                <w:rFonts w:ascii="Times New Roman" w:hAnsi="Times New Roman" w:cs="Times New Roman"/>
                <w:color w:val="000000" w:themeColor="text1"/>
                <w:sz w:val="16"/>
                <w:szCs w:val="16"/>
                <w:lang w:val="en-CA"/>
              </w:rPr>
              <w:t>6</w:t>
            </w:r>
          </w:p>
        </w:tc>
        <w:tc>
          <w:tcPr>
            <w:tcW w:w="1474" w:type="dxa"/>
            <w:vAlign w:val="center"/>
          </w:tcPr>
          <w:p w14:paraId="1A9B83E6"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117 (22)</w:t>
            </w:r>
          </w:p>
        </w:tc>
        <w:tc>
          <w:tcPr>
            <w:tcW w:w="1475" w:type="dxa"/>
            <w:vAlign w:val="center"/>
          </w:tcPr>
          <w:p w14:paraId="5B1FD8CF"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9 (45)</w:t>
            </w:r>
          </w:p>
        </w:tc>
        <w:tc>
          <w:tcPr>
            <w:tcW w:w="675" w:type="dxa"/>
            <w:vAlign w:val="center"/>
          </w:tcPr>
          <w:p w14:paraId="6FCD5743" w14:textId="73D7C42D"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w:t>
            </w:r>
            <w:r w:rsidR="00AC6C6A" w:rsidRPr="00A956B3">
              <w:rPr>
                <w:rFonts w:ascii="Times New Roman" w:hAnsi="Times New Roman" w:cs="Times New Roman"/>
                <w:b/>
                <w:bCs/>
                <w:color w:val="000000" w:themeColor="text1"/>
                <w:sz w:val="16"/>
                <w:szCs w:val="16"/>
                <w:lang w:val="en-CA"/>
              </w:rPr>
              <w:t>3</w:t>
            </w:r>
          </w:p>
        </w:tc>
        <w:tc>
          <w:tcPr>
            <w:tcW w:w="1328" w:type="dxa"/>
            <w:vAlign w:val="center"/>
          </w:tcPr>
          <w:p w14:paraId="33998BEB"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74 (18)</w:t>
            </w:r>
          </w:p>
        </w:tc>
        <w:tc>
          <w:tcPr>
            <w:tcW w:w="1329" w:type="dxa"/>
            <w:vAlign w:val="center"/>
          </w:tcPr>
          <w:p w14:paraId="24998379"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29 (23)</w:t>
            </w:r>
          </w:p>
        </w:tc>
        <w:tc>
          <w:tcPr>
            <w:tcW w:w="679" w:type="dxa"/>
            <w:vAlign w:val="center"/>
          </w:tcPr>
          <w:p w14:paraId="30558F47" w14:textId="6D1CBA72"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0.20</w:t>
            </w:r>
          </w:p>
        </w:tc>
      </w:tr>
      <w:tr w:rsidR="00A956B3" w:rsidRPr="00A956B3" w14:paraId="42E506EF" w14:textId="77777777" w:rsidTr="00CE4906">
        <w:trPr>
          <w:trHeight w:val="71"/>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39ABFA2F" w14:textId="77777777" w:rsidR="000A2353" w:rsidRPr="00A956B3" w:rsidRDefault="000A2353" w:rsidP="00CE4906">
            <w:pPr>
              <w:contextualSpacing/>
              <w:rPr>
                <w:rFonts w:ascii="Times New Roman" w:hAnsi="Times New Roman" w:cs="Times New Roman"/>
                <w:color w:val="000000" w:themeColor="text1"/>
                <w:sz w:val="16"/>
                <w:szCs w:val="16"/>
                <w:highlight w:val="yellow"/>
                <w:lang w:val="en-CA"/>
              </w:rPr>
            </w:pPr>
            <w:r w:rsidRPr="00A956B3">
              <w:rPr>
                <w:rFonts w:ascii="Times New Roman" w:hAnsi="Times New Roman" w:cs="Times New Roman"/>
                <w:color w:val="000000" w:themeColor="text1"/>
                <w:sz w:val="16"/>
                <w:szCs w:val="16"/>
                <w:lang w:val="en-CA"/>
              </w:rPr>
              <w:t>Previous diagnosis of PCOS</w:t>
            </w:r>
          </w:p>
        </w:tc>
        <w:tc>
          <w:tcPr>
            <w:tcW w:w="1474" w:type="dxa"/>
            <w:vAlign w:val="center"/>
          </w:tcPr>
          <w:p w14:paraId="15A9C00F"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6 (2)</w:t>
            </w:r>
          </w:p>
        </w:tc>
        <w:tc>
          <w:tcPr>
            <w:tcW w:w="1475" w:type="dxa"/>
            <w:vAlign w:val="center"/>
          </w:tcPr>
          <w:p w14:paraId="2C39B0E7"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 (4)</w:t>
            </w:r>
          </w:p>
        </w:tc>
        <w:tc>
          <w:tcPr>
            <w:tcW w:w="675" w:type="dxa"/>
            <w:vAlign w:val="center"/>
          </w:tcPr>
          <w:p w14:paraId="3C446343" w14:textId="5D477E23"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0.3</w:t>
            </w:r>
            <w:r w:rsidR="00A96A0B" w:rsidRPr="00A956B3">
              <w:rPr>
                <w:rFonts w:ascii="Times New Roman" w:hAnsi="Times New Roman" w:cs="Times New Roman"/>
                <w:color w:val="000000" w:themeColor="text1"/>
                <w:sz w:val="16"/>
                <w:szCs w:val="16"/>
                <w:lang w:val="en-CA"/>
              </w:rPr>
              <w:t>1</w:t>
            </w:r>
          </w:p>
        </w:tc>
        <w:tc>
          <w:tcPr>
            <w:tcW w:w="1474" w:type="dxa"/>
            <w:vAlign w:val="center"/>
          </w:tcPr>
          <w:p w14:paraId="26A0D6E9"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17 (3)</w:t>
            </w:r>
          </w:p>
        </w:tc>
        <w:tc>
          <w:tcPr>
            <w:tcW w:w="1475" w:type="dxa"/>
            <w:vAlign w:val="center"/>
          </w:tcPr>
          <w:p w14:paraId="03616CC2"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 (5)</w:t>
            </w:r>
          </w:p>
        </w:tc>
        <w:tc>
          <w:tcPr>
            <w:tcW w:w="675" w:type="dxa"/>
            <w:vAlign w:val="center"/>
          </w:tcPr>
          <w:p w14:paraId="4B960639" w14:textId="40034EDB"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0.4</w:t>
            </w:r>
            <w:r w:rsidR="00A96A0B" w:rsidRPr="00A956B3">
              <w:rPr>
                <w:rFonts w:ascii="Times New Roman" w:hAnsi="Times New Roman" w:cs="Times New Roman"/>
                <w:color w:val="000000" w:themeColor="text1"/>
                <w:sz w:val="16"/>
                <w:szCs w:val="16"/>
                <w:lang w:val="en-CA"/>
              </w:rPr>
              <w:t>5</w:t>
            </w:r>
          </w:p>
        </w:tc>
        <w:tc>
          <w:tcPr>
            <w:tcW w:w="1328" w:type="dxa"/>
            <w:vAlign w:val="center"/>
          </w:tcPr>
          <w:p w14:paraId="557997F1"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15 (4)</w:t>
            </w:r>
          </w:p>
        </w:tc>
        <w:tc>
          <w:tcPr>
            <w:tcW w:w="1329" w:type="dxa"/>
            <w:vAlign w:val="center"/>
          </w:tcPr>
          <w:p w14:paraId="34C6CD39"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14 (11)</w:t>
            </w:r>
          </w:p>
        </w:tc>
        <w:tc>
          <w:tcPr>
            <w:tcW w:w="679" w:type="dxa"/>
            <w:vAlign w:val="center"/>
          </w:tcPr>
          <w:p w14:paraId="49BBC0EC"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0.002</w:t>
            </w:r>
          </w:p>
        </w:tc>
      </w:tr>
      <w:tr w:rsidR="00A956B3" w:rsidRPr="00A956B3" w14:paraId="6D1CB2A2" w14:textId="77777777" w:rsidTr="00CE490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6747D98F" w14:textId="77777777" w:rsidR="000A2353" w:rsidRPr="00A956B3" w:rsidRDefault="000A2353" w:rsidP="00CE4906">
            <w:pPr>
              <w:contextualSpacing/>
              <w:rPr>
                <w:rFonts w:ascii="Times New Roman" w:hAnsi="Times New Roman" w:cs="Times New Roman"/>
                <w:color w:val="000000" w:themeColor="text1"/>
                <w:sz w:val="16"/>
                <w:szCs w:val="16"/>
                <w:highlight w:val="yellow"/>
                <w:lang w:val="en-CA"/>
              </w:rPr>
            </w:pPr>
            <w:r w:rsidRPr="00A956B3">
              <w:rPr>
                <w:rFonts w:ascii="Times New Roman" w:hAnsi="Times New Roman" w:cs="Times New Roman"/>
                <w:color w:val="000000" w:themeColor="text1"/>
                <w:sz w:val="16"/>
                <w:szCs w:val="16"/>
                <w:lang w:val="en-CA"/>
              </w:rPr>
              <w:t>Previous diagnosis of GDM or previous macrosomia</w:t>
            </w:r>
          </w:p>
        </w:tc>
        <w:tc>
          <w:tcPr>
            <w:tcW w:w="1474" w:type="dxa"/>
            <w:vAlign w:val="center"/>
          </w:tcPr>
          <w:p w14:paraId="4A7241E1"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37 (11)</w:t>
            </w:r>
          </w:p>
        </w:tc>
        <w:tc>
          <w:tcPr>
            <w:tcW w:w="1475" w:type="dxa"/>
            <w:vAlign w:val="center"/>
          </w:tcPr>
          <w:p w14:paraId="1C56230A"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12 (21)</w:t>
            </w:r>
          </w:p>
        </w:tc>
        <w:tc>
          <w:tcPr>
            <w:tcW w:w="675" w:type="dxa"/>
            <w:vAlign w:val="center"/>
          </w:tcPr>
          <w:p w14:paraId="2F8B095B" w14:textId="378DE53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w:t>
            </w:r>
            <w:r w:rsidR="00AC6C6A" w:rsidRPr="00A956B3">
              <w:rPr>
                <w:rFonts w:ascii="Times New Roman" w:hAnsi="Times New Roman" w:cs="Times New Roman"/>
                <w:b/>
                <w:bCs/>
                <w:color w:val="000000" w:themeColor="text1"/>
                <w:sz w:val="16"/>
                <w:szCs w:val="16"/>
                <w:lang w:val="en-CA"/>
              </w:rPr>
              <w:t>4</w:t>
            </w:r>
          </w:p>
        </w:tc>
        <w:tc>
          <w:tcPr>
            <w:tcW w:w="1474" w:type="dxa"/>
            <w:vAlign w:val="center"/>
          </w:tcPr>
          <w:p w14:paraId="03F2AFEB"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6 (1)</w:t>
            </w:r>
          </w:p>
        </w:tc>
        <w:tc>
          <w:tcPr>
            <w:tcW w:w="1475" w:type="dxa"/>
            <w:vAlign w:val="center"/>
          </w:tcPr>
          <w:p w14:paraId="10538545"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 (5)</w:t>
            </w:r>
          </w:p>
        </w:tc>
        <w:tc>
          <w:tcPr>
            <w:tcW w:w="675" w:type="dxa"/>
            <w:vAlign w:val="center"/>
          </w:tcPr>
          <w:p w14:paraId="6F2C52B3" w14:textId="48FFCD98"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0.2</w:t>
            </w:r>
            <w:r w:rsidR="00A96A0B" w:rsidRPr="00A956B3">
              <w:rPr>
                <w:rFonts w:ascii="Times New Roman" w:hAnsi="Times New Roman" w:cs="Times New Roman"/>
                <w:color w:val="000000" w:themeColor="text1"/>
                <w:sz w:val="16"/>
                <w:szCs w:val="16"/>
                <w:lang w:val="en-CA"/>
              </w:rPr>
              <w:t>3</w:t>
            </w:r>
          </w:p>
        </w:tc>
        <w:tc>
          <w:tcPr>
            <w:tcW w:w="1328" w:type="dxa"/>
            <w:vAlign w:val="center"/>
          </w:tcPr>
          <w:p w14:paraId="126D846E"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 (&lt;1)</w:t>
            </w:r>
          </w:p>
        </w:tc>
        <w:tc>
          <w:tcPr>
            <w:tcW w:w="1329" w:type="dxa"/>
            <w:vAlign w:val="center"/>
          </w:tcPr>
          <w:p w14:paraId="0E7E3CEA"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 (2)</w:t>
            </w:r>
          </w:p>
        </w:tc>
        <w:tc>
          <w:tcPr>
            <w:tcW w:w="679" w:type="dxa"/>
            <w:vAlign w:val="center"/>
          </w:tcPr>
          <w:p w14:paraId="1BF3A564" w14:textId="599F33FD"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w:t>
            </w:r>
            <w:r w:rsidR="00AC6C6A" w:rsidRPr="00A956B3">
              <w:rPr>
                <w:rFonts w:ascii="Times New Roman" w:hAnsi="Times New Roman" w:cs="Times New Roman"/>
                <w:b/>
                <w:bCs/>
                <w:color w:val="000000" w:themeColor="text1"/>
                <w:sz w:val="16"/>
                <w:szCs w:val="16"/>
                <w:lang w:val="en-CA"/>
              </w:rPr>
              <w:t>4</w:t>
            </w:r>
          </w:p>
        </w:tc>
      </w:tr>
      <w:tr w:rsidR="00A956B3" w:rsidRPr="00A956B3" w14:paraId="292F5698" w14:textId="77777777" w:rsidTr="00CE4906">
        <w:trPr>
          <w:trHeight w:val="184"/>
        </w:trPr>
        <w:tc>
          <w:tcPr>
            <w:cnfStyle w:val="001000000000" w:firstRow="0" w:lastRow="0" w:firstColumn="1" w:lastColumn="0" w:oddVBand="0" w:evenVBand="0" w:oddHBand="0" w:evenHBand="0" w:firstRowFirstColumn="0" w:firstRowLastColumn="0" w:lastRowFirstColumn="0" w:lastRowLastColumn="0"/>
            <w:tcW w:w="12974" w:type="dxa"/>
            <w:gridSpan w:val="11"/>
            <w:vAlign w:val="center"/>
          </w:tcPr>
          <w:p w14:paraId="00FDF1BB" w14:textId="77777777" w:rsidR="000A2353" w:rsidRPr="00A956B3" w:rsidRDefault="000A2353" w:rsidP="00CE4906">
            <w:pPr>
              <w:contextualSpacing/>
              <w:rPr>
                <w:rFonts w:ascii="Times New Roman" w:hAnsi="Times New Roman" w:cs="Times New Roman"/>
                <w:i/>
                <w:iCs/>
                <w:color w:val="000000" w:themeColor="text1"/>
                <w:sz w:val="16"/>
                <w:szCs w:val="16"/>
                <w:lang w:val="en-CA"/>
              </w:rPr>
            </w:pPr>
            <w:r w:rsidRPr="00A956B3">
              <w:rPr>
                <w:rFonts w:ascii="Times New Roman" w:hAnsi="Times New Roman" w:cs="Times New Roman"/>
                <w:i/>
                <w:iCs/>
                <w:color w:val="000000" w:themeColor="text1"/>
                <w:sz w:val="16"/>
                <w:szCs w:val="16"/>
                <w:lang w:val="en-CA"/>
              </w:rPr>
              <w:t>Pre-gestational variables</w:t>
            </w:r>
          </w:p>
        </w:tc>
      </w:tr>
      <w:tr w:rsidR="00A956B3" w:rsidRPr="00A956B3" w14:paraId="24ED531C" w14:textId="77777777" w:rsidTr="00CE4906">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1819DFE3" w14:textId="77777777" w:rsidR="000A2353" w:rsidRPr="00A956B3" w:rsidRDefault="000A2353" w:rsidP="00CE4906">
            <w:pPr>
              <w:contextualSpacing/>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Pre-gestational BMI</w:t>
            </w:r>
          </w:p>
        </w:tc>
        <w:tc>
          <w:tcPr>
            <w:tcW w:w="1474" w:type="dxa"/>
            <w:vAlign w:val="center"/>
          </w:tcPr>
          <w:p w14:paraId="33AEBE33"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23.0 [20.8; 26.4]</w:t>
            </w:r>
          </w:p>
        </w:tc>
        <w:tc>
          <w:tcPr>
            <w:tcW w:w="1475" w:type="dxa"/>
            <w:vAlign w:val="center"/>
          </w:tcPr>
          <w:p w14:paraId="51C38B99"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26.8 [22.9; 32.7]</w:t>
            </w:r>
          </w:p>
        </w:tc>
        <w:tc>
          <w:tcPr>
            <w:tcW w:w="675" w:type="dxa"/>
            <w:vAlign w:val="center"/>
          </w:tcPr>
          <w:p w14:paraId="55CF3F57"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&lt;0.001</w:t>
            </w:r>
          </w:p>
        </w:tc>
        <w:tc>
          <w:tcPr>
            <w:tcW w:w="1474" w:type="dxa"/>
            <w:vAlign w:val="center"/>
          </w:tcPr>
          <w:p w14:paraId="0ABDCB2B"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23.8 [21.3; 27.0]</w:t>
            </w:r>
          </w:p>
        </w:tc>
        <w:tc>
          <w:tcPr>
            <w:tcW w:w="1475" w:type="dxa"/>
            <w:vAlign w:val="center"/>
          </w:tcPr>
          <w:p w14:paraId="2E27ECF1"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29.1 [24.3; 37.6]</w:t>
            </w:r>
          </w:p>
        </w:tc>
        <w:tc>
          <w:tcPr>
            <w:tcW w:w="675" w:type="dxa"/>
            <w:vAlign w:val="center"/>
          </w:tcPr>
          <w:p w14:paraId="4CB9957E"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0.003</w:t>
            </w:r>
          </w:p>
        </w:tc>
        <w:tc>
          <w:tcPr>
            <w:tcW w:w="1328" w:type="dxa"/>
            <w:vAlign w:val="center"/>
          </w:tcPr>
          <w:p w14:paraId="06A8E89B"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22.9 [20.8; 25.5]</w:t>
            </w:r>
          </w:p>
        </w:tc>
        <w:tc>
          <w:tcPr>
            <w:tcW w:w="1329" w:type="dxa"/>
            <w:vAlign w:val="center"/>
          </w:tcPr>
          <w:p w14:paraId="18F03004"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27.0 [22.8; 30.7]</w:t>
            </w:r>
          </w:p>
        </w:tc>
        <w:tc>
          <w:tcPr>
            <w:tcW w:w="679" w:type="dxa"/>
            <w:vAlign w:val="center"/>
          </w:tcPr>
          <w:p w14:paraId="516EDBA6"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b/>
                <w:bCs/>
                <w:color w:val="000000" w:themeColor="text1"/>
                <w:sz w:val="16"/>
                <w:szCs w:val="16"/>
                <w:lang w:val="en-CA"/>
              </w:rPr>
              <w:t>&lt;0.001</w:t>
            </w:r>
          </w:p>
        </w:tc>
      </w:tr>
      <w:tr w:rsidR="00A956B3" w:rsidRPr="00A956B3" w14:paraId="15B521FF" w14:textId="77777777" w:rsidTr="00CE4906">
        <w:trPr>
          <w:trHeight w:val="184"/>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3F9A30EA" w14:textId="77777777" w:rsidR="000A2353" w:rsidRPr="00A956B3" w:rsidRDefault="000A2353" w:rsidP="00CE4906">
            <w:pPr>
              <w:contextualSpacing/>
              <w:rPr>
                <w:rFonts w:ascii="Times New Roman" w:hAnsi="Times New Roman" w:cs="Times New Roman"/>
                <w:color w:val="000000" w:themeColor="text1"/>
                <w:sz w:val="16"/>
                <w:szCs w:val="16"/>
                <w:highlight w:val="yellow"/>
                <w:lang w:val="en-CA"/>
              </w:rPr>
            </w:pPr>
            <w:r w:rsidRPr="00A956B3">
              <w:rPr>
                <w:rFonts w:ascii="Times New Roman" w:hAnsi="Times New Roman" w:cs="Times New Roman"/>
                <w:color w:val="000000" w:themeColor="text1"/>
                <w:sz w:val="16"/>
                <w:szCs w:val="16"/>
                <w:lang w:val="en-CA"/>
              </w:rPr>
              <w:t>Nulliparous</w:t>
            </w:r>
          </w:p>
        </w:tc>
        <w:tc>
          <w:tcPr>
            <w:tcW w:w="1474" w:type="dxa"/>
            <w:vAlign w:val="center"/>
          </w:tcPr>
          <w:p w14:paraId="19534F63"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165 (48)</w:t>
            </w:r>
          </w:p>
        </w:tc>
        <w:tc>
          <w:tcPr>
            <w:tcW w:w="1475" w:type="dxa"/>
            <w:vAlign w:val="center"/>
          </w:tcPr>
          <w:p w14:paraId="2C193C4B"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23 (41)</w:t>
            </w:r>
          </w:p>
        </w:tc>
        <w:tc>
          <w:tcPr>
            <w:tcW w:w="675" w:type="dxa"/>
            <w:vAlign w:val="center"/>
          </w:tcPr>
          <w:p w14:paraId="5F2ACCFB" w14:textId="198DB0A0"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0.4</w:t>
            </w:r>
            <w:r w:rsidR="00A96A0B" w:rsidRPr="00A956B3">
              <w:rPr>
                <w:rFonts w:ascii="Times New Roman" w:hAnsi="Times New Roman" w:cs="Times New Roman"/>
                <w:color w:val="000000" w:themeColor="text1"/>
                <w:sz w:val="16"/>
                <w:szCs w:val="16"/>
                <w:lang w:val="en-CA"/>
              </w:rPr>
              <w:t>5</w:t>
            </w:r>
          </w:p>
        </w:tc>
        <w:tc>
          <w:tcPr>
            <w:tcW w:w="1474" w:type="dxa"/>
            <w:vAlign w:val="center"/>
          </w:tcPr>
          <w:p w14:paraId="08069AD2"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159 (29)</w:t>
            </w:r>
          </w:p>
        </w:tc>
        <w:tc>
          <w:tcPr>
            <w:tcW w:w="1475" w:type="dxa"/>
            <w:vAlign w:val="center"/>
          </w:tcPr>
          <w:p w14:paraId="006E1168"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4 (20)</w:t>
            </w:r>
          </w:p>
        </w:tc>
        <w:tc>
          <w:tcPr>
            <w:tcW w:w="675" w:type="dxa"/>
            <w:vAlign w:val="center"/>
          </w:tcPr>
          <w:p w14:paraId="199E6F37" w14:textId="187F2599"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0.51</w:t>
            </w:r>
          </w:p>
        </w:tc>
        <w:tc>
          <w:tcPr>
            <w:tcW w:w="1328" w:type="dxa"/>
            <w:vAlign w:val="center"/>
          </w:tcPr>
          <w:p w14:paraId="6E1D5FCE"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203 (49)</w:t>
            </w:r>
          </w:p>
        </w:tc>
        <w:tc>
          <w:tcPr>
            <w:tcW w:w="1329" w:type="dxa"/>
            <w:vAlign w:val="center"/>
          </w:tcPr>
          <w:p w14:paraId="77F14A78"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51 (41)</w:t>
            </w:r>
          </w:p>
        </w:tc>
        <w:tc>
          <w:tcPr>
            <w:tcW w:w="679" w:type="dxa"/>
            <w:vAlign w:val="center"/>
          </w:tcPr>
          <w:p w14:paraId="7EC2E416" w14:textId="5129DC6A"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0.1</w:t>
            </w:r>
            <w:r w:rsidR="00A96A0B" w:rsidRPr="00A956B3">
              <w:rPr>
                <w:rFonts w:ascii="Times New Roman" w:hAnsi="Times New Roman" w:cs="Times New Roman"/>
                <w:color w:val="000000" w:themeColor="text1"/>
                <w:sz w:val="16"/>
                <w:szCs w:val="16"/>
                <w:lang w:val="en-CA"/>
              </w:rPr>
              <w:t>7</w:t>
            </w:r>
          </w:p>
        </w:tc>
      </w:tr>
      <w:tr w:rsidR="00A956B3" w:rsidRPr="00A956B3" w14:paraId="6FBA8B60" w14:textId="77777777" w:rsidTr="00CE4906">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2974" w:type="dxa"/>
            <w:gridSpan w:val="11"/>
            <w:vAlign w:val="center"/>
          </w:tcPr>
          <w:p w14:paraId="60E5ECCE" w14:textId="77777777" w:rsidR="000A2353" w:rsidRPr="00A956B3" w:rsidRDefault="000A2353" w:rsidP="00CE4906">
            <w:pPr>
              <w:contextualSpacing/>
              <w:rPr>
                <w:rFonts w:ascii="Times New Roman" w:hAnsi="Times New Roman" w:cs="Times New Roman"/>
                <w:i/>
                <w:iCs/>
                <w:color w:val="000000" w:themeColor="text1"/>
                <w:sz w:val="16"/>
                <w:szCs w:val="16"/>
                <w:lang w:val="en-CA"/>
              </w:rPr>
            </w:pPr>
            <w:r w:rsidRPr="00A956B3">
              <w:rPr>
                <w:rFonts w:ascii="Times New Roman" w:hAnsi="Times New Roman" w:cs="Times New Roman"/>
                <w:i/>
                <w:iCs/>
                <w:color w:val="000000" w:themeColor="text1"/>
                <w:sz w:val="16"/>
                <w:szCs w:val="16"/>
                <w:lang w:val="en-CA"/>
              </w:rPr>
              <w:t>Pregnancy variables</w:t>
            </w:r>
          </w:p>
        </w:tc>
      </w:tr>
      <w:tr w:rsidR="00A956B3" w:rsidRPr="00A956B3" w14:paraId="713082F6" w14:textId="77777777" w:rsidTr="00CE4906">
        <w:trPr>
          <w:trHeight w:val="175"/>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6281DB55" w14:textId="791C0300" w:rsidR="000A2353" w:rsidRPr="00A956B3" w:rsidRDefault="00D525AC" w:rsidP="00CE4906">
            <w:pPr>
              <w:contextualSpacing/>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Chronic hypertension or g</w:t>
            </w:r>
            <w:r w:rsidR="000A2353" w:rsidRPr="00A956B3">
              <w:rPr>
                <w:rFonts w:ascii="Times New Roman" w:hAnsi="Times New Roman" w:cs="Times New Roman"/>
                <w:color w:val="000000" w:themeColor="text1"/>
                <w:sz w:val="16"/>
                <w:szCs w:val="16"/>
                <w:lang w:val="en-CA"/>
              </w:rPr>
              <w:t xml:space="preserve">estational hypertension </w:t>
            </w:r>
          </w:p>
        </w:tc>
        <w:tc>
          <w:tcPr>
            <w:tcW w:w="1474" w:type="dxa"/>
            <w:vAlign w:val="center"/>
          </w:tcPr>
          <w:p w14:paraId="2AC836A7"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13 (4)</w:t>
            </w:r>
          </w:p>
        </w:tc>
        <w:tc>
          <w:tcPr>
            <w:tcW w:w="1475" w:type="dxa"/>
            <w:vAlign w:val="center"/>
          </w:tcPr>
          <w:p w14:paraId="5DE57849"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7 (13)</w:t>
            </w:r>
          </w:p>
        </w:tc>
        <w:tc>
          <w:tcPr>
            <w:tcW w:w="675" w:type="dxa"/>
            <w:vAlign w:val="center"/>
          </w:tcPr>
          <w:p w14:paraId="47447DA2" w14:textId="4B9A55EA"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0.01</w:t>
            </w:r>
          </w:p>
        </w:tc>
        <w:tc>
          <w:tcPr>
            <w:tcW w:w="1474" w:type="dxa"/>
            <w:vAlign w:val="center"/>
          </w:tcPr>
          <w:p w14:paraId="29948605"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41 (8)</w:t>
            </w:r>
          </w:p>
        </w:tc>
        <w:tc>
          <w:tcPr>
            <w:tcW w:w="1475" w:type="dxa"/>
            <w:vAlign w:val="center"/>
          </w:tcPr>
          <w:p w14:paraId="41E6434F"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 (15)</w:t>
            </w:r>
          </w:p>
        </w:tc>
        <w:tc>
          <w:tcPr>
            <w:tcW w:w="675" w:type="dxa"/>
            <w:vAlign w:val="center"/>
          </w:tcPr>
          <w:p w14:paraId="39B11134" w14:textId="60D22F34"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0.20</w:t>
            </w:r>
          </w:p>
        </w:tc>
        <w:tc>
          <w:tcPr>
            <w:tcW w:w="1328" w:type="dxa"/>
            <w:vAlign w:val="center"/>
          </w:tcPr>
          <w:p w14:paraId="58EDDA1F"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21 (5)</w:t>
            </w:r>
          </w:p>
        </w:tc>
        <w:tc>
          <w:tcPr>
            <w:tcW w:w="1329" w:type="dxa"/>
            <w:vAlign w:val="center"/>
          </w:tcPr>
          <w:p w14:paraId="37D5B61F"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14 (11)</w:t>
            </w:r>
          </w:p>
        </w:tc>
        <w:tc>
          <w:tcPr>
            <w:tcW w:w="679" w:type="dxa"/>
            <w:vAlign w:val="center"/>
          </w:tcPr>
          <w:p w14:paraId="1CB89B74" w14:textId="7ADEC626"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0.02</w:t>
            </w:r>
          </w:p>
        </w:tc>
      </w:tr>
      <w:tr w:rsidR="00A956B3" w:rsidRPr="00A956B3" w14:paraId="008F2029" w14:textId="77777777" w:rsidTr="00CE4906">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6D1CFEB1" w14:textId="77777777" w:rsidR="000A2353" w:rsidRPr="00A956B3" w:rsidRDefault="000A2353" w:rsidP="00CE4906">
            <w:pPr>
              <w:contextualSpacing/>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 xml:space="preserve">Preeclampsia </w:t>
            </w:r>
          </w:p>
        </w:tc>
        <w:tc>
          <w:tcPr>
            <w:tcW w:w="1474" w:type="dxa"/>
            <w:vAlign w:val="center"/>
          </w:tcPr>
          <w:p w14:paraId="0C63B8BA"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12 (3)</w:t>
            </w:r>
          </w:p>
        </w:tc>
        <w:tc>
          <w:tcPr>
            <w:tcW w:w="1475" w:type="dxa"/>
            <w:vAlign w:val="center"/>
          </w:tcPr>
          <w:p w14:paraId="68B264C0"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 (0)</w:t>
            </w:r>
          </w:p>
        </w:tc>
        <w:tc>
          <w:tcPr>
            <w:tcW w:w="675" w:type="dxa"/>
            <w:vAlign w:val="center"/>
          </w:tcPr>
          <w:p w14:paraId="1ED007E6" w14:textId="5789E911"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0.3</w:t>
            </w:r>
            <w:r w:rsidR="00A96A0B" w:rsidRPr="00A956B3">
              <w:rPr>
                <w:rFonts w:ascii="Times New Roman" w:hAnsi="Times New Roman" w:cs="Times New Roman"/>
                <w:color w:val="000000" w:themeColor="text1"/>
                <w:sz w:val="16"/>
                <w:szCs w:val="16"/>
                <w:lang w:val="en-CA"/>
              </w:rPr>
              <w:t>9</w:t>
            </w:r>
          </w:p>
        </w:tc>
        <w:tc>
          <w:tcPr>
            <w:tcW w:w="1474" w:type="dxa"/>
            <w:vAlign w:val="center"/>
          </w:tcPr>
          <w:p w14:paraId="2DCBB67B"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19 (4)</w:t>
            </w:r>
          </w:p>
        </w:tc>
        <w:tc>
          <w:tcPr>
            <w:tcW w:w="1475" w:type="dxa"/>
            <w:vAlign w:val="center"/>
          </w:tcPr>
          <w:p w14:paraId="7B2461CD"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 (0)</w:t>
            </w:r>
          </w:p>
        </w:tc>
        <w:tc>
          <w:tcPr>
            <w:tcW w:w="675" w:type="dxa"/>
            <w:vAlign w:val="center"/>
          </w:tcPr>
          <w:p w14:paraId="3DC8DC80" w14:textId="7A69C8CF"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1.00</w:t>
            </w:r>
          </w:p>
        </w:tc>
        <w:tc>
          <w:tcPr>
            <w:tcW w:w="1328" w:type="dxa"/>
            <w:vAlign w:val="center"/>
          </w:tcPr>
          <w:p w14:paraId="5DBFEB0C"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7 (2)</w:t>
            </w:r>
          </w:p>
        </w:tc>
        <w:tc>
          <w:tcPr>
            <w:tcW w:w="1329" w:type="dxa"/>
            <w:vAlign w:val="center"/>
          </w:tcPr>
          <w:p w14:paraId="26A90F51"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9 (7)</w:t>
            </w:r>
          </w:p>
        </w:tc>
        <w:tc>
          <w:tcPr>
            <w:tcW w:w="679" w:type="dxa"/>
            <w:vAlign w:val="center"/>
          </w:tcPr>
          <w:p w14:paraId="3EBD55BE"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0.004</w:t>
            </w:r>
          </w:p>
        </w:tc>
      </w:tr>
      <w:tr w:rsidR="00A956B3" w:rsidRPr="00A956B3" w14:paraId="329E6E7F" w14:textId="77777777" w:rsidTr="00CE4906">
        <w:trPr>
          <w:trHeight w:val="431"/>
        </w:trPr>
        <w:tc>
          <w:tcPr>
            <w:cnfStyle w:val="001000000000" w:firstRow="0" w:lastRow="0" w:firstColumn="1" w:lastColumn="0" w:oddVBand="0" w:evenVBand="0" w:oddHBand="0" w:evenHBand="0" w:firstRowFirstColumn="0" w:firstRowLastColumn="0" w:lastRowFirstColumn="0" w:lastRowLastColumn="0"/>
            <w:tcW w:w="642" w:type="dxa"/>
            <w:vMerge w:val="restart"/>
            <w:vAlign w:val="center"/>
          </w:tcPr>
          <w:p w14:paraId="0DD178F9" w14:textId="77777777" w:rsidR="000A2353" w:rsidRPr="00A956B3" w:rsidRDefault="000A2353" w:rsidP="00CE4906">
            <w:pPr>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GDM categories</w:t>
            </w:r>
          </w:p>
        </w:tc>
        <w:tc>
          <w:tcPr>
            <w:tcW w:w="1748" w:type="dxa"/>
            <w:vAlign w:val="center"/>
          </w:tcPr>
          <w:p w14:paraId="381AA527" w14:textId="77777777" w:rsidR="000A2353" w:rsidRPr="00A956B3" w:rsidRDefault="000A2353" w:rsidP="00CE49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Level 0: no GDM (Gen3G)/Normal glycemia (Project Viva)</w:t>
            </w:r>
          </w:p>
        </w:tc>
        <w:tc>
          <w:tcPr>
            <w:tcW w:w="1474" w:type="dxa"/>
            <w:vAlign w:val="center"/>
          </w:tcPr>
          <w:p w14:paraId="713E8D16"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320 (92)</w:t>
            </w:r>
          </w:p>
        </w:tc>
        <w:tc>
          <w:tcPr>
            <w:tcW w:w="1475" w:type="dxa"/>
            <w:vAlign w:val="center"/>
          </w:tcPr>
          <w:p w14:paraId="07B78B44"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35 (63)</w:t>
            </w:r>
          </w:p>
        </w:tc>
        <w:tc>
          <w:tcPr>
            <w:tcW w:w="675" w:type="dxa"/>
            <w:vMerge w:val="restart"/>
            <w:vAlign w:val="center"/>
          </w:tcPr>
          <w:p w14:paraId="2766765D"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&lt;0.001</w:t>
            </w:r>
          </w:p>
        </w:tc>
        <w:tc>
          <w:tcPr>
            <w:tcW w:w="1474" w:type="dxa"/>
            <w:vAlign w:val="center"/>
          </w:tcPr>
          <w:p w14:paraId="20D78C47"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450 (83)</w:t>
            </w:r>
          </w:p>
        </w:tc>
        <w:tc>
          <w:tcPr>
            <w:tcW w:w="1475" w:type="dxa"/>
            <w:vAlign w:val="center"/>
          </w:tcPr>
          <w:p w14:paraId="082D4601"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13 (65)</w:t>
            </w:r>
          </w:p>
        </w:tc>
        <w:tc>
          <w:tcPr>
            <w:tcW w:w="675" w:type="dxa"/>
            <w:vMerge w:val="restart"/>
            <w:vAlign w:val="center"/>
          </w:tcPr>
          <w:p w14:paraId="4BE34F68" w14:textId="74E61839"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0.0</w:t>
            </w:r>
            <w:r w:rsidR="00A96A0B" w:rsidRPr="00A956B3">
              <w:rPr>
                <w:rFonts w:ascii="Times New Roman" w:hAnsi="Times New Roman" w:cs="Times New Roman"/>
                <w:color w:val="000000" w:themeColor="text1"/>
                <w:sz w:val="16"/>
                <w:szCs w:val="16"/>
                <w:lang w:val="en-CA"/>
              </w:rPr>
              <w:t>8</w:t>
            </w:r>
          </w:p>
        </w:tc>
        <w:tc>
          <w:tcPr>
            <w:tcW w:w="1328" w:type="dxa"/>
            <w:vAlign w:val="center"/>
          </w:tcPr>
          <w:p w14:paraId="6A6A27B7"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365 (88)</w:t>
            </w:r>
          </w:p>
        </w:tc>
        <w:tc>
          <w:tcPr>
            <w:tcW w:w="1329" w:type="dxa"/>
            <w:vAlign w:val="center"/>
          </w:tcPr>
          <w:p w14:paraId="058276A5"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92 (74)</w:t>
            </w:r>
          </w:p>
        </w:tc>
        <w:tc>
          <w:tcPr>
            <w:tcW w:w="679" w:type="dxa"/>
            <w:vMerge w:val="restart"/>
            <w:vAlign w:val="center"/>
          </w:tcPr>
          <w:p w14:paraId="790E3F47"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b/>
                <w:bCs/>
                <w:color w:val="000000" w:themeColor="text1"/>
                <w:sz w:val="16"/>
                <w:szCs w:val="16"/>
                <w:lang w:val="en-CA"/>
              </w:rPr>
              <w:t>&lt;0.001</w:t>
            </w:r>
          </w:p>
        </w:tc>
      </w:tr>
      <w:tr w:rsidR="00A956B3" w:rsidRPr="00A956B3" w14:paraId="4579716E" w14:textId="77777777" w:rsidTr="00CE4906">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642" w:type="dxa"/>
            <w:vMerge/>
            <w:vAlign w:val="center"/>
          </w:tcPr>
          <w:p w14:paraId="0301C09A" w14:textId="77777777" w:rsidR="000A2353" w:rsidRPr="00A956B3" w:rsidRDefault="000A2353" w:rsidP="00CE4906">
            <w:pPr>
              <w:contextualSpacing/>
              <w:rPr>
                <w:rFonts w:ascii="Times New Roman" w:hAnsi="Times New Roman" w:cs="Times New Roman"/>
                <w:color w:val="000000" w:themeColor="text1"/>
                <w:sz w:val="16"/>
                <w:szCs w:val="16"/>
                <w:lang w:val="en-CA"/>
              </w:rPr>
            </w:pPr>
          </w:p>
        </w:tc>
        <w:tc>
          <w:tcPr>
            <w:tcW w:w="1748" w:type="dxa"/>
            <w:vAlign w:val="center"/>
          </w:tcPr>
          <w:p w14:paraId="75468BD7" w14:textId="77777777" w:rsidR="000A2353" w:rsidRPr="00A956B3" w:rsidRDefault="000A2353" w:rsidP="00CE49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 xml:space="preserve">Level 1: </w:t>
            </w:r>
            <w:r w:rsidRPr="00A956B3">
              <w:rPr>
                <w:rFonts w:ascii="Times New Roman" w:hAnsi="Times New Roman" w:cs="Times New Roman"/>
                <w:bCs/>
                <w:color w:val="000000" w:themeColor="text1"/>
                <w:sz w:val="16"/>
                <w:szCs w:val="16"/>
                <w:lang w:val="en-CA"/>
              </w:rPr>
              <w:t xml:space="preserve"> not early </w:t>
            </w:r>
            <w:r w:rsidRPr="00A956B3">
              <w:rPr>
                <w:rFonts w:ascii="Times New Roman" w:hAnsi="Times New Roman" w:cs="Times New Roman"/>
                <w:color w:val="000000" w:themeColor="text1"/>
                <w:sz w:val="16"/>
                <w:szCs w:val="16"/>
                <w:lang w:val="en-CA"/>
              </w:rPr>
              <w:t>GDM without insulin treatment (Gen3G)/Isolated hyperglycemia (Project Viva)</w:t>
            </w:r>
          </w:p>
        </w:tc>
        <w:tc>
          <w:tcPr>
            <w:tcW w:w="1474" w:type="dxa"/>
            <w:vAlign w:val="center"/>
          </w:tcPr>
          <w:p w14:paraId="2E6FA448"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19 (5)</w:t>
            </w:r>
          </w:p>
        </w:tc>
        <w:tc>
          <w:tcPr>
            <w:tcW w:w="1475" w:type="dxa"/>
            <w:vAlign w:val="center"/>
          </w:tcPr>
          <w:p w14:paraId="0BFE1B3A"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6 (11)</w:t>
            </w:r>
          </w:p>
        </w:tc>
        <w:tc>
          <w:tcPr>
            <w:tcW w:w="675" w:type="dxa"/>
            <w:vMerge/>
            <w:vAlign w:val="center"/>
          </w:tcPr>
          <w:p w14:paraId="2E6734F9"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p>
        </w:tc>
        <w:tc>
          <w:tcPr>
            <w:tcW w:w="1474" w:type="dxa"/>
            <w:vAlign w:val="center"/>
          </w:tcPr>
          <w:p w14:paraId="4867F113"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50 (9)</w:t>
            </w:r>
          </w:p>
        </w:tc>
        <w:tc>
          <w:tcPr>
            <w:tcW w:w="1475" w:type="dxa"/>
            <w:vAlign w:val="center"/>
          </w:tcPr>
          <w:p w14:paraId="56983DB8"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4 (20)</w:t>
            </w:r>
          </w:p>
        </w:tc>
        <w:tc>
          <w:tcPr>
            <w:tcW w:w="675" w:type="dxa"/>
            <w:vMerge/>
            <w:vAlign w:val="center"/>
          </w:tcPr>
          <w:p w14:paraId="29849130"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p>
        </w:tc>
        <w:tc>
          <w:tcPr>
            <w:tcW w:w="1328" w:type="dxa"/>
            <w:vAlign w:val="center"/>
          </w:tcPr>
          <w:p w14:paraId="5DC2B401"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32 (8)</w:t>
            </w:r>
          </w:p>
        </w:tc>
        <w:tc>
          <w:tcPr>
            <w:tcW w:w="1329" w:type="dxa"/>
            <w:vAlign w:val="center"/>
          </w:tcPr>
          <w:p w14:paraId="118074D7"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13 (11)</w:t>
            </w:r>
          </w:p>
        </w:tc>
        <w:tc>
          <w:tcPr>
            <w:tcW w:w="679" w:type="dxa"/>
            <w:vMerge/>
            <w:vAlign w:val="center"/>
          </w:tcPr>
          <w:p w14:paraId="080F13DB"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p>
        </w:tc>
      </w:tr>
      <w:tr w:rsidR="00A956B3" w:rsidRPr="00A956B3" w14:paraId="0EA3289D" w14:textId="77777777" w:rsidTr="00CE4906">
        <w:trPr>
          <w:trHeight w:val="175"/>
        </w:trPr>
        <w:tc>
          <w:tcPr>
            <w:cnfStyle w:val="001000000000" w:firstRow="0" w:lastRow="0" w:firstColumn="1" w:lastColumn="0" w:oddVBand="0" w:evenVBand="0" w:oddHBand="0" w:evenHBand="0" w:firstRowFirstColumn="0" w:firstRowLastColumn="0" w:lastRowFirstColumn="0" w:lastRowLastColumn="0"/>
            <w:tcW w:w="642" w:type="dxa"/>
            <w:vMerge/>
            <w:vAlign w:val="center"/>
          </w:tcPr>
          <w:p w14:paraId="5F015DA1" w14:textId="77777777" w:rsidR="000A2353" w:rsidRPr="00A956B3" w:rsidRDefault="000A2353" w:rsidP="00CE4906">
            <w:pPr>
              <w:rPr>
                <w:rFonts w:ascii="Times New Roman" w:hAnsi="Times New Roman" w:cs="Times New Roman"/>
                <w:color w:val="000000" w:themeColor="text1"/>
                <w:sz w:val="16"/>
                <w:szCs w:val="16"/>
                <w:lang w:val="en-CA"/>
              </w:rPr>
            </w:pPr>
          </w:p>
        </w:tc>
        <w:tc>
          <w:tcPr>
            <w:tcW w:w="1748" w:type="dxa"/>
            <w:vAlign w:val="center"/>
          </w:tcPr>
          <w:p w14:paraId="5271CD11" w14:textId="77777777" w:rsidR="000A2353" w:rsidRPr="00A956B3" w:rsidRDefault="000A2353" w:rsidP="00CE4906">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 xml:space="preserve">Level 2: </w:t>
            </w:r>
            <w:r w:rsidRPr="00A956B3">
              <w:rPr>
                <w:rFonts w:ascii="Times New Roman" w:hAnsi="Times New Roman" w:cs="Times New Roman"/>
                <w:bCs/>
                <w:color w:val="000000" w:themeColor="text1"/>
                <w:sz w:val="16"/>
                <w:szCs w:val="16"/>
                <w:lang w:val="en-CA"/>
              </w:rPr>
              <w:t xml:space="preserve"> not early </w:t>
            </w:r>
            <w:r w:rsidRPr="00A956B3">
              <w:rPr>
                <w:rFonts w:ascii="Times New Roman" w:hAnsi="Times New Roman" w:cs="Times New Roman"/>
                <w:color w:val="000000" w:themeColor="text1"/>
                <w:sz w:val="16"/>
                <w:szCs w:val="16"/>
                <w:lang w:val="en-CA"/>
              </w:rPr>
              <w:t>GDM treated with insulin (Gen3G)/I</w:t>
            </w:r>
            <w:r w:rsidRPr="00A956B3">
              <w:rPr>
                <w:rFonts w:ascii="Times New Roman" w:hAnsi="Times New Roman" w:cs="Times New Roman"/>
                <w:bCs/>
                <w:color w:val="000000" w:themeColor="text1"/>
                <w:sz w:val="16"/>
                <w:szCs w:val="16"/>
                <w:lang w:val="en-CA"/>
              </w:rPr>
              <w:t>ntermediate glucose intolerance (Project Viva)</w:t>
            </w:r>
          </w:p>
        </w:tc>
        <w:tc>
          <w:tcPr>
            <w:tcW w:w="1474" w:type="dxa"/>
            <w:vAlign w:val="center"/>
          </w:tcPr>
          <w:p w14:paraId="72D4EE5F"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7 (2)</w:t>
            </w:r>
          </w:p>
          <w:p w14:paraId="6DC9B39C"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p>
        </w:tc>
        <w:tc>
          <w:tcPr>
            <w:tcW w:w="1475" w:type="dxa"/>
            <w:vAlign w:val="center"/>
          </w:tcPr>
          <w:p w14:paraId="6DFC66AC"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7 (13)</w:t>
            </w:r>
          </w:p>
        </w:tc>
        <w:tc>
          <w:tcPr>
            <w:tcW w:w="675" w:type="dxa"/>
            <w:vMerge/>
            <w:vAlign w:val="center"/>
          </w:tcPr>
          <w:p w14:paraId="06FBD032"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p>
        </w:tc>
        <w:tc>
          <w:tcPr>
            <w:tcW w:w="1474" w:type="dxa"/>
            <w:vAlign w:val="center"/>
          </w:tcPr>
          <w:p w14:paraId="056EBD73"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22 (4)</w:t>
            </w:r>
          </w:p>
        </w:tc>
        <w:tc>
          <w:tcPr>
            <w:tcW w:w="1475" w:type="dxa"/>
            <w:vAlign w:val="center"/>
          </w:tcPr>
          <w:p w14:paraId="0466897F"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 (5)</w:t>
            </w:r>
          </w:p>
        </w:tc>
        <w:tc>
          <w:tcPr>
            <w:tcW w:w="675" w:type="dxa"/>
            <w:vMerge/>
            <w:vAlign w:val="center"/>
          </w:tcPr>
          <w:p w14:paraId="6CB580C3"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p>
        </w:tc>
        <w:tc>
          <w:tcPr>
            <w:tcW w:w="1328" w:type="dxa"/>
            <w:vAlign w:val="center"/>
          </w:tcPr>
          <w:p w14:paraId="0A199874"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16 (4)</w:t>
            </w:r>
          </w:p>
        </w:tc>
        <w:tc>
          <w:tcPr>
            <w:tcW w:w="1329" w:type="dxa"/>
            <w:vAlign w:val="center"/>
          </w:tcPr>
          <w:p w14:paraId="12FA44EE" w14:textId="77777777" w:rsidR="000A2353" w:rsidRPr="00A956B3" w:rsidRDefault="000A2353"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4 (3)</w:t>
            </w:r>
          </w:p>
        </w:tc>
        <w:tc>
          <w:tcPr>
            <w:tcW w:w="679" w:type="dxa"/>
            <w:vMerge/>
            <w:vAlign w:val="center"/>
          </w:tcPr>
          <w:p w14:paraId="26330713"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p>
        </w:tc>
      </w:tr>
      <w:tr w:rsidR="00A956B3" w:rsidRPr="00A956B3" w14:paraId="16AB941F" w14:textId="77777777" w:rsidTr="00CE4906">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642" w:type="dxa"/>
            <w:vMerge/>
            <w:vAlign w:val="center"/>
          </w:tcPr>
          <w:p w14:paraId="2459D82B" w14:textId="77777777" w:rsidR="000A2353" w:rsidRPr="00A956B3" w:rsidRDefault="000A2353" w:rsidP="00CE4906">
            <w:pPr>
              <w:contextualSpacing/>
              <w:rPr>
                <w:rFonts w:ascii="Times New Roman" w:hAnsi="Times New Roman" w:cs="Times New Roman"/>
                <w:color w:val="000000" w:themeColor="text1"/>
                <w:sz w:val="16"/>
                <w:szCs w:val="16"/>
                <w:lang w:val="en-CA"/>
              </w:rPr>
            </w:pPr>
          </w:p>
        </w:tc>
        <w:tc>
          <w:tcPr>
            <w:tcW w:w="1748" w:type="dxa"/>
            <w:vAlign w:val="center"/>
          </w:tcPr>
          <w:p w14:paraId="25C6A7E3" w14:textId="77777777" w:rsidR="000A2353" w:rsidRPr="00A956B3" w:rsidRDefault="000A2353" w:rsidP="00CE4906">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Level 3: Early GDM (Gen3G)/GDM (Project Viva)</w:t>
            </w:r>
          </w:p>
        </w:tc>
        <w:tc>
          <w:tcPr>
            <w:tcW w:w="1474" w:type="dxa"/>
            <w:vAlign w:val="center"/>
          </w:tcPr>
          <w:p w14:paraId="51238721"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 (&lt;1)</w:t>
            </w:r>
          </w:p>
        </w:tc>
        <w:tc>
          <w:tcPr>
            <w:tcW w:w="1475" w:type="dxa"/>
            <w:vAlign w:val="center"/>
          </w:tcPr>
          <w:p w14:paraId="5B03EAC2"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8 (14)</w:t>
            </w:r>
          </w:p>
        </w:tc>
        <w:tc>
          <w:tcPr>
            <w:tcW w:w="675" w:type="dxa"/>
            <w:vMerge/>
            <w:vAlign w:val="center"/>
          </w:tcPr>
          <w:p w14:paraId="4051F249"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p>
        </w:tc>
        <w:tc>
          <w:tcPr>
            <w:tcW w:w="1474" w:type="dxa"/>
            <w:vAlign w:val="center"/>
          </w:tcPr>
          <w:p w14:paraId="22C8C43F"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20 (4)</w:t>
            </w:r>
          </w:p>
        </w:tc>
        <w:tc>
          <w:tcPr>
            <w:tcW w:w="1475" w:type="dxa"/>
            <w:vAlign w:val="center"/>
          </w:tcPr>
          <w:p w14:paraId="0B1D63AE"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2 (10)</w:t>
            </w:r>
          </w:p>
        </w:tc>
        <w:tc>
          <w:tcPr>
            <w:tcW w:w="675" w:type="dxa"/>
            <w:vMerge/>
            <w:vAlign w:val="center"/>
          </w:tcPr>
          <w:p w14:paraId="0185C5EF"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p>
        </w:tc>
        <w:tc>
          <w:tcPr>
            <w:tcW w:w="1328" w:type="dxa"/>
            <w:vAlign w:val="center"/>
          </w:tcPr>
          <w:p w14:paraId="04070C63"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4 (1)</w:t>
            </w:r>
          </w:p>
        </w:tc>
        <w:tc>
          <w:tcPr>
            <w:tcW w:w="1329" w:type="dxa"/>
            <w:vAlign w:val="center"/>
          </w:tcPr>
          <w:p w14:paraId="1D72EC0A" w14:textId="77777777" w:rsidR="000A2353" w:rsidRPr="00A956B3" w:rsidRDefault="000A235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15 (12)</w:t>
            </w:r>
          </w:p>
        </w:tc>
        <w:tc>
          <w:tcPr>
            <w:tcW w:w="679" w:type="dxa"/>
            <w:vMerge/>
            <w:vAlign w:val="center"/>
          </w:tcPr>
          <w:p w14:paraId="5CD5F1D6" w14:textId="77777777" w:rsidR="000A2353" w:rsidRPr="00A956B3"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p>
        </w:tc>
      </w:tr>
      <w:tr w:rsidR="00A956B3" w:rsidRPr="00A956B3" w14:paraId="07C7B9E6" w14:textId="77777777" w:rsidTr="00CE4906">
        <w:trPr>
          <w:trHeight w:val="184"/>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6CE4639C" w14:textId="56A44C27" w:rsidR="000A2353" w:rsidRPr="00A956B3" w:rsidRDefault="00631F70" w:rsidP="00CE4906">
            <w:pPr>
              <w:contextualSpacing/>
              <w:rPr>
                <w:rFonts w:ascii="Times New Roman" w:hAnsi="Times New Roman" w:cs="Times New Roman"/>
                <w:color w:val="000000" w:themeColor="text1"/>
                <w:sz w:val="16"/>
                <w:szCs w:val="16"/>
                <w:lang w:val="en-CA"/>
              </w:rPr>
            </w:pPr>
            <w:r>
              <w:rPr>
                <w:rFonts w:ascii="Times New Roman" w:hAnsi="Times New Roman" w:cs="Times New Roman"/>
                <w:color w:val="000000" w:themeColor="text1"/>
                <w:sz w:val="16"/>
                <w:szCs w:val="16"/>
                <w:lang w:val="en-CA"/>
              </w:rPr>
              <w:t>G</w:t>
            </w:r>
            <w:r w:rsidR="000A2353" w:rsidRPr="00A956B3">
              <w:rPr>
                <w:rFonts w:ascii="Times New Roman" w:hAnsi="Times New Roman" w:cs="Times New Roman"/>
                <w:color w:val="000000" w:themeColor="text1"/>
                <w:sz w:val="16"/>
                <w:szCs w:val="16"/>
                <w:lang w:val="en-CA"/>
              </w:rPr>
              <w:t>estational weight gain (</w:t>
            </w:r>
            <w:r w:rsidR="00796958" w:rsidRPr="00A956B3">
              <w:rPr>
                <w:rFonts w:ascii="Times New Roman" w:hAnsi="Times New Roman" w:cs="Times New Roman"/>
                <w:color w:val="000000" w:themeColor="text1"/>
                <w:sz w:val="16"/>
                <w:szCs w:val="16"/>
                <w:lang w:val="en-CA"/>
              </w:rPr>
              <w:t>kg</w:t>
            </w:r>
            <w:r w:rsidR="000A2353" w:rsidRPr="00A956B3">
              <w:rPr>
                <w:rFonts w:ascii="Times New Roman" w:hAnsi="Times New Roman" w:cs="Times New Roman"/>
                <w:color w:val="000000" w:themeColor="text1"/>
                <w:sz w:val="16"/>
                <w:szCs w:val="16"/>
                <w:lang w:val="en-CA"/>
              </w:rPr>
              <w:t>)</w:t>
            </w:r>
          </w:p>
        </w:tc>
        <w:tc>
          <w:tcPr>
            <w:tcW w:w="1474" w:type="dxa"/>
            <w:vAlign w:val="center"/>
          </w:tcPr>
          <w:p w14:paraId="10CE454C" w14:textId="777E7205" w:rsidR="000A2353" w:rsidRPr="00A956B3" w:rsidRDefault="003C3B73" w:rsidP="003C3B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A956B3">
              <w:rPr>
                <w:rStyle w:val="Strong"/>
                <w:rFonts w:ascii="Times New Roman" w:hAnsi="Times New Roman" w:cs="Times New Roman"/>
                <w:b w:val="0"/>
                <w:bCs w:val="0"/>
                <w:color w:val="000000" w:themeColor="text1"/>
                <w:sz w:val="16"/>
                <w:szCs w:val="16"/>
              </w:rPr>
              <w:t>3.3 [0.4; 7.0]</w:t>
            </w:r>
          </w:p>
        </w:tc>
        <w:tc>
          <w:tcPr>
            <w:tcW w:w="1475" w:type="dxa"/>
            <w:vAlign w:val="center"/>
          </w:tcPr>
          <w:p w14:paraId="54451E32" w14:textId="7FEB3D85" w:rsidR="000A2353" w:rsidRPr="00A956B3" w:rsidRDefault="003C3B73" w:rsidP="003C3B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A956B3">
              <w:rPr>
                <w:rStyle w:val="Strong"/>
                <w:rFonts w:ascii="Times New Roman" w:hAnsi="Times New Roman" w:cs="Times New Roman"/>
                <w:b w:val="0"/>
                <w:bCs w:val="0"/>
                <w:color w:val="000000" w:themeColor="text1"/>
                <w:sz w:val="16"/>
                <w:szCs w:val="16"/>
              </w:rPr>
              <w:t>2.3 [0.2; 7.4]</w:t>
            </w:r>
          </w:p>
        </w:tc>
        <w:tc>
          <w:tcPr>
            <w:tcW w:w="675" w:type="dxa"/>
            <w:vAlign w:val="center"/>
          </w:tcPr>
          <w:p w14:paraId="7AA436BB" w14:textId="14C81ED2"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0.4</w:t>
            </w:r>
            <w:r w:rsidR="00A96A0B" w:rsidRPr="00A956B3">
              <w:rPr>
                <w:rFonts w:ascii="Times New Roman" w:hAnsi="Times New Roman" w:cs="Times New Roman"/>
                <w:color w:val="000000" w:themeColor="text1"/>
                <w:sz w:val="16"/>
                <w:szCs w:val="16"/>
                <w:lang w:val="en-CA"/>
              </w:rPr>
              <w:t>6</w:t>
            </w:r>
          </w:p>
        </w:tc>
        <w:tc>
          <w:tcPr>
            <w:tcW w:w="1474" w:type="dxa"/>
            <w:vAlign w:val="center"/>
          </w:tcPr>
          <w:p w14:paraId="08D4AA95" w14:textId="367DA135" w:rsidR="000A2353" w:rsidRPr="00A956B3" w:rsidRDefault="003C3B73" w:rsidP="003C3B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Style w:val="Strong"/>
                <w:rFonts w:ascii="Times New Roman" w:hAnsi="Times New Roman" w:cs="Times New Roman"/>
                <w:b w:val="0"/>
                <w:bCs w:val="0"/>
                <w:color w:val="000000" w:themeColor="text1"/>
                <w:sz w:val="16"/>
                <w:szCs w:val="16"/>
              </w:rPr>
              <w:t>4.1 [1.2; 7.7]</w:t>
            </w:r>
          </w:p>
        </w:tc>
        <w:tc>
          <w:tcPr>
            <w:tcW w:w="1475" w:type="dxa"/>
            <w:vAlign w:val="center"/>
          </w:tcPr>
          <w:p w14:paraId="61A0D956" w14:textId="6E7A81E2" w:rsidR="000A2353" w:rsidRPr="00A956B3" w:rsidRDefault="003C3B73" w:rsidP="003C3B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A956B3">
              <w:rPr>
                <w:rStyle w:val="Strong"/>
                <w:rFonts w:ascii="Times New Roman" w:hAnsi="Times New Roman" w:cs="Times New Roman"/>
                <w:b w:val="0"/>
                <w:bCs w:val="0"/>
                <w:color w:val="000000" w:themeColor="text1"/>
                <w:sz w:val="16"/>
                <w:szCs w:val="16"/>
              </w:rPr>
              <w:t>2.4 [-2.4; 4.9]</w:t>
            </w:r>
          </w:p>
        </w:tc>
        <w:tc>
          <w:tcPr>
            <w:tcW w:w="675" w:type="dxa"/>
            <w:vAlign w:val="center"/>
          </w:tcPr>
          <w:p w14:paraId="72BEB5D2" w14:textId="4F649F55"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w:t>
            </w:r>
            <w:r w:rsidR="00AC6C6A" w:rsidRPr="00A956B3">
              <w:rPr>
                <w:rFonts w:ascii="Times New Roman" w:hAnsi="Times New Roman" w:cs="Times New Roman"/>
                <w:b/>
                <w:bCs/>
                <w:color w:val="000000" w:themeColor="text1"/>
                <w:sz w:val="16"/>
                <w:szCs w:val="16"/>
                <w:lang w:val="en-CA"/>
              </w:rPr>
              <w:t>2</w:t>
            </w:r>
          </w:p>
        </w:tc>
        <w:tc>
          <w:tcPr>
            <w:tcW w:w="1328" w:type="dxa"/>
            <w:vAlign w:val="center"/>
          </w:tcPr>
          <w:p w14:paraId="1952239D" w14:textId="413D79E8" w:rsidR="000A2353" w:rsidRPr="00A956B3" w:rsidRDefault="003C3B73" w:rsidP="003C3B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A956B3">
              <w:rPr>
                <w:rStyle w:val="Strong"/>
                <w:rFonts w:ascii="Times New Roman" w:hAnsi="Times New Roman" w:cs="Times New Roman"/>
                <w:b w:val="0"/>
                <w:bCs w:val="0"/>
                <w:color w:val="000000" w:themeColor="text1"/>
                <w:sz w:val="16"/>
                <w:szCs w:val="16"/>
              </w:rPr>
              <w:t>4.6 [0.9; 8.2]</w:t>
            </w:r>
          </w:p>
        </w:tc>
        <w:tc>
          <w:tcPr>
            <w:tcW w:w="1329" w:type="dxa"/>
            <w:vAlign w:val="center"/>
          </w:tcPr>
          <w:p w14:paraId="7F2D0E48" w14:textId="76AC0B61" w:rsidR="000A2353" w:rsidRPr="00A956B3" w:rsidRDefault="003C3B73" w:rsidP="003C3B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A956B3">
              <w:rPr>
                <w:rStyle w:val="Strong"/>
                <w:rFonts w:ascii="Times New Roman" w:hAnsi="Times New Roman" w:cs="Times New Roman"/>
                <w:b w:val="0"/>
                <w:bCs w:val="0"/>
                <w:color w:val="000000" w:themeColor="text1"/>
                <w:sz w:val="16"/>
                <w:szCs w:val="16"/>
              </w:rPr>
              <w:t>4.0 [1.7; 8.2]</w:t>
            </w:r>
          </w:p>
        </w:tc>
        <w:tc>
          <w:tcPr>
            <w:tcW w:w="679" w:type="dxa"/>
            <w:vAlign w:val="center"/>
          </w:tcPr>
          <w:p w14:paraId="7E89CE99" w14:textId="53E6A1B3"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0.</w:t>
            </w:r>
            <w:r w:rsidR="00A96A0B" w:rsidRPr="00A956B3">
              <w:rPr>
                <w:rFonts w:ascii="Times New Roman" w:hAnsi="Times New Roman" w:cs="Times New Roman"/>
                <w:color w:val="000000" w:themeColor="text1"/>
                <w:sz w:val="16"/>
                <w:szCs w:val="16"/>
                <w:lang w:val="en-CA"/>
              </w:rPr>
              <w:t>90</w:t>
            </w:r>
          </w:p>
        </w:tc>
      </w:tr>
      <w:tr w:rsidR="00A956B3" w:rsidRPr="00A956B3" w14:paraId="10E3F0FF" w14:textId="77777777" w:rsidTr="00CE4906">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12974" w:type="dxa"/>
            <w:gridSpan w:val="11"/>
            <w:vAlign w:val="center"/>
          </w:tcPr>
          <w:p w14:paraId="143358D7" w14:textId="77777777" w:rsidR="000A2353" w:rsidRPr="00A956B3" w:rsidRDefault="000A2353" w:rsidP="00CE4906">
            <w:pPr>
              <w:contextualSpacing/>
              <w:rPr>
                <w:rFonts w:ascii="Times New Roman" w:hAnsi="Times New Roman" w:cs="Times New Roman"/>
                <w:i/>
                <w:iCs/>
                <w:color w:val="000000" w:themeColor="text1"/>
                <w:sz w:val="16"/>
                <w:szCs w:val="16"/>
                <w:lang w:val="en-CA"/>
              </w:rPr>
            </w:pPr>
            <w:r w:rsidRPr="00A956B3">
              <w:rPr>
                <w:rFonts w:ascii="Times New Roman" w:hAnsi="Times New Roman" w:cs="Times New Roman"/>
                <w:i/>
                <w:iCs/>
                <w:color w:val="000000" w:themeColor="text1"/>
                <w:sz w:val="16"/>
                <w:szCs w:val="16"/>
                <w:lang w:val="en-CA"/>
              </w:rPr>
              <w:lastRenderedPageBreak/>
              <w:t>Adverse pregnancy outcomes</w:t>
            </w:r>
          </w:p>
        </w:tc>
      </w:tr>
      <w:tr w:rsidR="00A956B3" w:rsidRPr="00A956B3" w14:paraId="3419E921" w14:textId="77777777" w:rsidTr="00CE4906">
        <w:trPr>
          <w:trHeight w:val="184"/>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13A125A8" w14:textId="77777777" w:rsidR="000A2353" w:rsidRPr="00A956B3" w:rsidRDefault="000A2353" w:rsidP="00CE4906">
            <w:pPr>
              <w:contextualSpacing/>
              <w:rPr>
                <w:rFonts w:ascii="Times New Roman" w:hAnsi="Times New Roman" w:cs="Times New Roman"/>
                <w:color w:val="000000" w:themeColor="text1"/>
                <w:sz w:val="16"/>
                <w:szCs w:val="16"/>
                <w:highlight w:val="yellow"/>
                <w:lang w:val="en-CA"/>
              </w:rPr>
            </w:pPr>
            <w:r w:rsidRPr="00A956B3">
              <w:rPr>
                <w:rFonts w:ascii="Times New Roman" w:hAnsi="Times New Roman" w:cs="Times New Roman"/>
                <w:color w:val="000000" w:themeColor="text1"/>
                <w:sz w:val="16"/>
                <w:szCs w:val="16"/>
                <w:lang w:val="en-CA"/>
              </w:rPr>
              <w:t xml:space="preserve">Prematurity </w:t>
            </w:r>
          </w:p>
        </w:tc>
        <w:tc>
          <w:tcPr>
            <w:tcW w:w="1474" w:type="dxa"/>
            <w:vAlign w:val="center"/>
          </w:tcPr>
          <w:p w14:paraId="282E484B"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9 (3)</w:t>
            </w:r>
          </w:p>
        </w:tc>
        <w:tc>
          <w:tcPr>
            <w:tcW w:w="1475" w:type="dxa"/>
            <w:vAlign w:val="center"/>
          </w:tcPr>
          <w:p w14:paraId="129829CF"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6 (11)</w:t>
            </w:r>
          </w:p>
        </w:tc>
        <w:tc>
          <w:tcPr>
            <w:tcW w:w="675" w:type="dxa"/>
            <w:vAlign w:val="center"/>
          </w:tcPr>
          <w:p w14:paraId="7288A564" w14:textId="62415FB6"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0.01</w:t>
            </w:r>
          </w:p>
        </w:tc>
        <w:tc>
          <w:tcPr>
            <w:tcW w:w="1474" w:type="dxa"/>
            <w:vAlign w:val="center"/>
          </w:tcPr>
          <w:p w14:paraId="7F3DDA32"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37 (7)</w:t>
            </w:r>
          </w:p>
        </w:tc>
        <w:tc>
          <w:tcPr>
            <w:tcW w:w="1475" w:type="dxa"/>
            <w:vAlign w:val="center"/>
          </w:tcPr>
          <w:p w14:paraId="02E8AD86"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 (5)</w:t>
            </w:r>
          </w:p>
        </w:tc>
        <w:tc>
          <w:tcPr>
            <w:tcW w:w="675" w:type="dxa"/>
            <w:vAlign w:val="center"/>
          </w:tcPr>
          <w:p w14:paraId="33559CD0"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1.00</w:t>
            </w:r>
          </w:p>
        </w:tc>
        <w:tc>
          <w:tcPr>
            <w:tcW w:w="1328" w:type="dxa"/>
            <w:vAlign w:val="center"/>
          </w:tcPr>
          <w:p w14:paraId="766D94B4"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19 (5)</w:t>
            </w:r>
          </w:p>
        </w:tc>
        <w:tc>
          <w:tcPr>
            <w:tcW w:w="1329" w:type="dxa"/>
            <w:vAlign w:val="center"/>
          </w:tcPr>
          <w:p w14:paraId="64EEB69F" w14:textId="77777777"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CA"/>
              </w:rPr>
            </w:pPr>
            <w:r w:rsidRPr="00A956B3">
              <w:rPr>
                <w:rFonts w:ascii="Times New Roman" w:hAnsi="Times New Roman" w:cs="Times New Roman"/>
                <w:color w:val="000000" w:themeColor="text1"/>
                <w:sz w:val="16"/>
                <w:szCs w:val="16"/>
                <w:lang w:val="en-CA"/>
              </w:rPr>
              <w:t>13 (11)</w:t>
            </w:r>
          </w:p>
        </w:tc>
        <w:tc>
          <w:tcPr>
            <w:tcW w:w="679" w:type="dxa"/>
            <w:vAlign w:val="center"/>
          </w:tcPr>
          <w:p w14:paraId="34E0EE12" w14:textId="0101AF2C" w:rsidR="000A2353" w:rsidRPr="00A956B3" w:rsidRDefault="000A2353" w:rsidP="00CE490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6"/>
                <w:szCs w:val="16"/>
                <w:lang w:val="en-CA"/>
              </w:rPr>
            </w:pPr>
            <w:r w:rsidRPr="00A956B3">
              <w:rPr>
                <w:rFonts w:ascii="Times New Roman" w:hAnsi="Times New Roman" w:cs="Times New Roman"/>
                <w:b/>
                <w:bCs/>
                <w:color w:val="000000" w:themeColor="text1"/>
                <w:sz w:val="16"/>
                <w:szCs w:val="16"/>
                <w:lang w:val="en-CA"/>
              </w:rPr>
              <w:t>0.0</w:t>
            </w:r>
            <w:r w:rsidR="00AC6C6A" w:rsidRPr="00A956B3">
              <w:rPr>
                <w:rFonts w:ascii="Times New Roman" w:hAnsi="Times New Roman" w:cs="Times New Roman"/>
                <w:b/>
                <w:bCs/>
                <w:color w:val="000000" w:themeColor="text1"/>
                <w:sz w:val="16"/>
                <w:szCs w:val="16"/>
                <w:lang w:val="en-CA"/>
              </w:rPr>
              <w:t>3</w:t>
            </w:r>
          </w:p>
        </w:tc>
      </w:tr>
      <w:tr w:rsidR="00A956B3" w:rsidRPr="00A31A80" w14:paraId="3EE63530" w14:textId="77777777" w:rsidTr="00CE490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390" w:type="dxa"/>
            <w:gridSpan w:val="2"/>
            <w:vAlign w:val="center"/>
          </w:tcPr>
          <w:p w14:paraId="6111607E" w14:textId="77777777" w:rsidR="000A2353" w:rsidRPr="00A31A80" w:rsidRDefault="000A2353" w:rsidP="00CE4906">
            <w:pPr>
              <w:contextualSpacing/>
              <w:rPr>
                <w:rFonts w:ascii="Times New Roman" w:hAnsi="Times New Roman" w:cs="Times New Roman"/>
                <w:color w:val="000000" w:themeColor="text1"/>
                <w:sz w:val="16"/>
                <w:szCs w:val="16"/>
                <w:highlight w:val="yellow"/>
                <w:lang w:val="en-CA"/>
              </w:rPr>
            </w:pPr>
            <w:r w:rsidRPr="00A31A80">
              <w:rPr>
                <w:rFonts w:ascii="Times New Roman" w:hAnsi="Times New Roman" w:cs="Times New Roman"/>
                <w:color w:val="000000" w:themeColor="text1"/>
                <w:sz w:val="16"/>
                <w:szCs w:val="16"/>
                <w:lang w:val="en-CA"/>
              </w:rPr>
              <w:t>Macrosomia</w:t>
            </w:r>
          </w:p>
        </w:tc>
        <w:tc>
          <w:tcPr>
            <w:tcW w:w="1474" w:type="dxa"/>
            <w:vAlign w:val="center"/>
          </w:tcPr>
          <w:p w14:paraId="72AFA2E1" w14:textId="77777777" w:rsidR="000A2353" w:rsidRPr="00A31A80"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31A80">
              <w:rPr>
                <w:rFonts w:ascii="Times New Roman" w:hAnsi="Times New Roman" w:cs="Times New Roman"/>
                <w:color w:val="000000" w:themeColor="text1"/>
                <w:sz w:val="16"/>
                <w:szCs w:val="16"/>
                <w:lang w:val="en-CA"/>
              </w:rPr>
              <w:t>41 (12)</w:t>
            </w:r>
          </w:p>
        </w:tc>
        <w:tc>
          <w:tcPr>
            <w:tcW w:w="1475" w:type="dxa"/>
            <w:vAlign w:val="center"/>
          </w:tcPr>
          <w:p w14:paraId="57087B29" w14:textId="77777777" w:rsidR="000A2353" w:rsidRPr="00A31A80"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31A80">
              <w:rPr>
                <w:rFonts w:ascii="Times New Roman" w:hAnsi="Times New Roman" w:cs="Times New Roman"/>
                <w:color w:val="000000" w:themeColor="text1"/>
                <w:sz w:val="16"/>
                <w:szCs w:val="16"/>
                <w:lang w:val="en-CA"/>
              </w:rPr>
              <w:t>6 (11)</w:t>
            </w:r>
          </w:p>
        </w:tc>
        <w:tc>
          <w:tcPr>
            <w:tcW w:w="675" w:type="dxa"/>
            <w:vAlign w:val="center"/>
          </w:tcPr>
          <w:p w14:paraId="7B69C39C" w14:textId="241F25B8" w:rsidR="000A2353" w:rsidRPr="00A31A80"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31A80">
              <w:rPr>
                <w:rFonts w:ascii="Times New Roman" w:hAnsi="Times New Roman" w:cs="Times New Roman"/>
                <w:color w:val="000000" w:themeColor="text1"/>
                <w:sz w:val="16"/>
                <w:szCs w:val="16"/>
                <w:lang w:val="en-CA"/>
              </w:rPr>
              <w:t>0.9</w:t>
            </w:r>
            <w:r w:rsidR="00A96A0B" w:rsidRPr="00A31A80">
              <w:rPr>
                <w:rFonts w:ascii="Times New Roman" w:hAnsi="Times New Roman" w:cs="Times New Roman"/>
                <w:color w:val="000000" w:themeColor="text1"/>
                <w:sz w:val="16"/>
                <w:szCs w:val="16"/>
                <w:lang w:val="en-CA"/>
              </w:rPr>
              <w:t>9</w:t>
            </w:r>
          </w:p>
        </w:tc>
        <w:tc>
          <w:tcPr>
            <w:tcW w:w="1474" w:type="dxa"/>
            <w:vAlign w:val="center"/>
          </w:tcPr>
          <w:p w14:paraId="23823135" w14:textId="77777777" w:rsidR="000A2353" w:rsidRPr="00A31A80"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31A80">
              <w:rPr>
                <w:rFonts w:ascii="Times New Roman" w:hAnsi="Times New Roman" w:cs="Times New Roman"/>
                <w:color w:val="000000" w:themeColor="text1"/>
                <w:sz w:val="16"/>
                <w:szCs w:val="16"/>
                <w:lang w:val="en-CA"/>
              </w:rPr>
              <w:t>100 (19)</w:t>
            </w:r>
          </w:p>
        </w:tc>
        <w:tc>
          <w:tcPr>
            <w:tcW w:w="1475" w:type="dxa"/>
            <w:vAlign w:val="center"/>
          </w:tcPr>
          <w:p w14:paraId="54A689B5" w14:textId="77777777" w:rsidR="000A2353" w:rsidRPr="00A31A80"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31A80">
              <w:rPr>
                <w:rFonts w:ascii="Times New Roman" w:hAnsi="Times New Roman" w:cs="Times New Roman"/>
                <w:color w:val="000000" w:themeColor="text1"/>
                <w:sz w:val="16"/>
                <w:szCs w:val="16"/>
                <w:lang w:val="en-CA"/>
              </w:rPr>
              <w:t>2 (10)</w:t>
            </w:r>
          </w:p>
        </w:tc>
        <w:tc>
          <w:tcPr>
            <w:tcW w:w="675" w:type="dxa"/>
            <w:vAlign w:val="center"/>
          </w:tcPr>
          <w:p w14:paraId="13FDBB39" w14:textId="3A3C2F6E" w:rsidR="000A2353" w:rsidRPr="00A31A80"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31A80">
              <w:rPr>
                <w:rFonts w:ascii="Times New Roman" w:hAnsi="Times New Roman" w:cs="Times New Roman"/>
                <w:color w:val="000000" w:themeColor="text1"/>
                <w:sz w:val="16"/>
                <w:szCs w:val="16"/>
                <w:lang w:val="en-CA"/>
              </w:rPr>
              <w:t>0.55</w:t>
            </w:r>
          </w:p>
        </w:tc>
        <w:tc>
          <w:tcPr>
            <w:tcW w:w="1328" w:type="dxa"/>
            <w:vAlign w:val="center"/>
          </w:tcPr>
          <w:p w14:paraId="080444B7" w14:textId="77777777" w:rsidR="000A2353" w:rsidRPr="00A31A80"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31A80">
              <w:rPr>
                <w:rFonts w:ascii="Times New Roman" w:hAnsi="Times New Roman" w:cs="Times New Roman"/>
                <w:color w:val="000000" w:themeColor="text1"/>
                <w:sz w:val="16"/>
                <w:szCs w:val="16"/>
                <w:lang w:val="en-CA"/>
              </w:rPr>
              <w:t>77 (19)</w:t>
            </w:r>
          </w:p>
        </w:tc>
        <w:tc>
          <w:tcPr>
            <w:tcW w:w="1329" w:type="dxa"/>
            <w:vAlign w:val="center"/>
          </w:tcPr>
          <w:p w14:paraId="26CCCD24" w14:textId="77777777" w:rsidR="000A2353" w:rsidRPr="00A31A80"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31A80">
              <w:rPr>
                <w:rFonts w:ascii="Times New Roman" w:hAnsi="Times New Roman" w:cs="Times New Roman"/>
                <w:color w:val="000000" w:themeColor="text1"/>
                <w:sz w:val="16"/>
                <w:szCs w:val="16"/>
                <w:lang w:val="en-CA"/>
              </w:rPr>
              <w:t>19 (15)</w:t>
            </w:r>
          </w:p>
        </w:tc>
        <w:tc>
          <w:tcPr>
            <w:tcW w:w="679" w:type="dxa"/>
            <w:vAlign w:val="center"/>
          </w:tcPr>
          <w:p w14:paraId="19E69B72" w14:textId="51D63FD2" w:rsidR="000A2353" w:rsidRPr="00A31A80" w:rsidRDefault="000A2353" w:rsidP="00CE490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CA"/>
              </w:rPr>
            </w:pPr>
            <w:r w:rsidRPr="00A31A80">
              <w:rPr>
                <w:rFonts w:ascii="Times New Roman" w:hAnsi="Times New Roman" w:cs="Times New Roman"/>
                <w:color w:val="000000" w:themeColor="text1"/>
                <w:sz w:val="16"/>
                <w:szCs w:val="16"/>
                <w:lang w:val="en-CA"/>
              </w:rPr>
              <w:t>0.50</w:t>
            </w:r>
          </w:p>
        </w:tc>
      </w:tr>
    </w:tbl>
    <w:p w14:paraId="209344F0" w14:textId="11134E58" w:rsidR="000A2353" w:rsidRPr="00A31A80" w:rsidRDefault="000A2353" w:rsidP="000A2353">
      <w:pPr>
        <w:jc w:val="both"/>
        <w:rPr>
          <w:rFonts w:ascii="Times New Roman" w:hAnsi="Times New Roman" w:cs="Times New Roman"/>
          <w:bCs/>
          <w:color w:val="000000" w:themeColor="text1"/>
          <w:sz w:val="20"/>
          <w:szCs w:val="20"/>
        </w:rPr>
      </w:pPr>
      <w:r w:rsidRPr="00A31A80">
        <w:rPr>
          <w:rFonts w:ascii="Times New Roman" w:hAnsi="Times New Roman" w:cs="Times New Roman"/>
          <w:bCs/>
          <w:color w:val="000000" w:themeColor="text1"/>
          <w:sz w:val="20"/>
          <w:szCs w:val="20"/>
        </w:rPr>
        <w:t xml:space="preserve">Note: *Wilcoxon-Mann-Whitney test for continuous variables and Chi-square or Fisher’s exact test for categorical variables. </w:t>
      </w:r>
      <w:r w:rsidR="00A31A80" w:rsidRPr="00A31A80">
        <w:rPr>
          <w:rFonts w:ascii="Times New Roman" w:hAnsi="Times New Roman" w:cs="Times New Roman"/>
          <w:color w:val="000000"/>
          <w:sz w:val="20"/>
          <w:szCs w:val="20"/>
          <w:lang w:val="en-US"/>
        </w:rPr>
        <w:t xml:space="preserve">Significant results with </w:t>
      </w:r>
      <w:r w:rsidR="00A31A80" w:rsidRPr="00A31A80">
        <w:rPr>
          <w:rFonts w:ascii="Times New Roman" w:hAnsi="Times New Roman" w:cs="Times New Roman"/>
          <w:i/>
          <w:iCs/>
          <w:color w:val="000000"/>
          <w:sz w:val="20"/>
          <w:szCs w:val="20"/>
          <w:lang w:val="en-US"/>
        </w:rPr>
        <w:t>p</w:t>
      </w:r>
      <w:r w:rsidR="00A31A80" w:rsidRPr="00A31A80">
        <w:rPr>
          <w:rFonts w:ascii="Times New Roman" w:hAnsi="Times New Roman" w:cs="Times New Roman"/>
          <w:color w:val="000000"/>
          <w:sz w:val="20"/>
          <w:szCs w:val="20"/>
          <w:lang w:val="en-US"/>
        </w:rPr>
        <w:t xml:space="preserve">-value &gt; 0.05 are in bold. </w:t>
      </w:r>
      <w:r w:rsidRPr="00A31A80">
        <w:rPr>
          <w:rFonts w:ascii="Times New Roman" w:hAnsi="Times New Roman" w:cs="Times New Roman"/>
          <w:bCs/>
          <w:color w:val="000000" w:themeColor="text1"/>
          <w:sz w:val="20"/>
          <w:szCs w:val="20"/>
        </w:rPr>
        <w:t>Abbreviations: BMI, body mass index; GDM, gestational diabetes mellitus; Gen3G, Genetics of Glucose regulation in Gestation and Growth; PCOS, polycystic ovary syndrome.</w:t>
      </w:r>
    </w:p>
    <w:p w14:paraId="4CC85E23" w14:textId="77777777" w:rsidR="000A2353" w:rsidRPr="00A956B3" w:rsidRDefault="000A2353" w:rsidP="000A2353">
      <w:pPr>
        <w:rPr>
          <w:rFonts w:ascii="Times New Roman" w:hAnsi="Times New Roman" w:cs="Times New Roman"/>
          <w:color w:val="000000" w:themeColor="text1"/>
          <w:sz w:val="20"/>
          <w:szCs w:val="20"/>
        </w:rPr>
      </w:pPr>
    </w:p>
    <w:p w14:paraId="4FCFA13C" w14:textId="77777777" w:rsidR="000A2353" w:rsidRPr="00A956B3" w:rsidRDefault="000A2353">
      <w:pPr>
        <w:rPr>
          <w:rFonts w:ascii="Times New Roman" w:hAnsi="Times New Roman" w:cs="Times New Roman"/>
          <w:color w:val="000000" w:themeColor="text1"/>
        </w:rPr>
        <w:sectPr w:rsidR="000A2353" w:rsidRPr="00A956B3" w:rsidSect="000A2353">
          <w:pgSz w:w="15840" w:h="12240" w:orient="landscape"/>
          <w:pgMar w:top="1440" w:right="1440" w:bottom="1440" w:left="1440" w:header="708" w:footer="708" w:gutter="0"/>
          <w:cols w:space="708"/>
          <w:docGrid w:linePitch="360"/>
        </w:sectPr>
      </w:pPr>
    </w:p>
    <w:p w14:paraId="3755D98C" w14:textId="77777777" w:rsidR="007E5BBF" w:rsidRPr="00A956B3" w:rsidRDefault="007E5BBF" w:rsidP="007E5BBF">
      <w:pPr>
        <w:spacing w:line="480" w:lineRule="auto"/>
        <w:ind w:firstLine="708"/>
        <w:jc w:val="both"/>
        <w:rPr>
          <w:rFonts w:ascii="Times New Roman" w:eastAsiaTheme="minorEastAsia" w:hAnsi="Times New Roman" w:cs="Times New Roman"/>
          <w:color w:val="000000" w:themeColor="text1"/>
        </w:rPr>
      </w:pPr>
    </w:p>
    <w:p w14:paraId="73878F9F" w14:textId="4A4E1D94" w:rsidR="007E5BBF" w:rsidRPr="00A956B3" w:rsidRDefault="007E5BBF" w:rsidP="007E5BBF">
      <w:pPr>
        <w:jc w:val="both"/>
        <w:rPr>
          <w:rFonts w:ascii="Times New Roman" w:hAnsi="Times New Roman" w:cs="Times New Roman"/>
          <w:bCs/>
          <w:color w:val="000000" w:themeColor="text1"/>
        </w:rPr>
      </w:pPr>
      <w:r w:rsidRPr="00A956B3">
        <w:rPr>
          <w:rFonts w:ascii="Times New Roman" w:hAnsi="Times New Roman" w:cs="Times New Roman"/>
          <w:b/>
          <w:color w:val="000000" w:themeColor="text1"/>
        </w:rPr>
        <w:t xml:space="preserve">Supplementary Table 4. </w:t>
      </w:r>
      <w:r w:rsidRPr="00A956B3">
        <w:rPr>
          <w:rFonts w:ascii="Times New Roman" w:hAnsi="Times New Roman" w:cs="Times New Roman"/>
          <w:bCs/>
          <w:color w:val="000000" w:themeColor="text1"/>
        </w:rPr>
        <w:t xml:space="preserve">Performance of all models developed for predicting prediabetes/T2D development at </w:t>
      </w:r>
      <w:r w:rsidR="00F72C40" w:rsidRPr="00A956B3">
        <w:rPr>
          <w:rFonts w:ascii="Times New Roman" w:hAnsi="Times New Roman" w:cs="Times New Roman"/>
          <w:bCs/>
          <w:color w:val="000000" w:themeColor="text1"/>
        </w:rPr>
        <w:t>five</w:t>
      </w:r>
      <w:r w:rsidRPr="00A956B3">
        <w:rPr>
          <w:rFonts w:ascii="Times New Roman" w:hAnsi="Times New Roman" w:cs="Times New Roman"/>
          <w:bCs/>
          <w:color w:val="000000" w:themeColor="text1"/>
        </w:rPr>
        <w:t xml:space="preserve"> years after delivery in Gen3G (internal and developmental) using cross-validation, and at </w:t>
      </w:r>
      <w:r w:rsidR="00F72C40" w:rsidRPr="00A956B3">
        <w:rPr>
          <w:rFonts w:ascii="Times New Roman" w:hAnsi="Times New Roman" w:cs="Times New Roman"/>
          <w:bCs/>
          <w:color w:val="000000" w:themeColor="text1"/>
        </w:rPr>
        <w:t>three</w:t>
      </w:r>
      <w:r w:rsidRPr="00A956B3">
        <w:rPr>
          <w:rFonts w:ascii="Times New Roman" w:hAnsi="Times New Roman" w:cs="Times New Roman"/>
          <w:bCs/>
          <w:color w:val="000000" w:themeColor="text1"/>
        </w:rPr>
        <w:t xml:space="preserve"> years and </w:t>
      </w:r>
      <w:r w:rsidR="00F72C40" w:rsidRPr="00A956B3">
        <w:rPr>
          <w:rFonts w:ascii="Times New Roman" w:hAnsi="Times New Roman" w:cs="Times New Roman"/>
          <w:bCs/>
          <w:color w:val="000000" w:themeColor="text1"/>
        </w:rPr>
        <w:t>seventeen</w:t>
      </w:r>
      <w:r w:rsidRPr="00A956B3">
        <w:rPr>
          <w:rFonts w:ascii="Times New Roman" w:hAnsi="Times New Roman" w:cs="Times New Roman"/>
          <w:bCs/>
          <w:color w:val="000000" w:themeColor="text1"/>
        </w:rPr>
        <w:t xml:space="preserve"> years after delivery in Project Viva (external validation)</w:t>
      </w:r>
    </w:p>
    <w:tbl>
      <w:tblPr>
        <w:tblStyle w:val="PlainTable2"/>
        <w:tblW w:w="0" w:type="auto"/>
        <w:tblLook w:val="04A0" w:firstRow="1" w:lastRow="0" w:firstColumn="1" w:lastColumn="0" w:noHBand="0" w:noVBand="1"/>
      </w:tblPr>
      <w:tblGrid>
        <w:gridCol w:w="2087"/>
        <w:gridCol w:w="919"/>
        <w:gridCol w:w="771"/>
        <w:gridCol w:w="769"/>
        <w:gridCol w:w="919"/>
        <w:gridCol w:w="747"/>
        <w:gridCol w:w="741"/>
        <w:gridCol w:w="919"/>
        <w:gridCol w:w="747"/>
        <w:gridCol w:w="576"/>
      </w:tblGrid>
      <w:tr w:rsidR="00A956B3" w:rsidRPr="00A956B3" w14:paraId="3924EE35" w14:textId="77777777" w:rsidTr="00B57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dxa"/>
            <w:vMerge w:val="restart"/>
            <w:vAlign w:val="center"/>
          </w:tcPr>
          <w:p w14:paraId="329DB6B5" w14:textId="77777777" w:rsidR="00C075E3" w:rsidRPr="00A956B3" w:rsidRDefault="00C075E3" w:rsidP="00CE4906">
            <w:pPr>
              <w:jc w:val="both"/>
              <w:rPr>
                <w:rFonts w:ascii="Times New Roman" w:hAnsi="Times New Roman" w:cs="Times New Roman"/>
                <w:bCs w:val="0"/>
                <w:color w:val="000000" w:themeColor="text1"/>
                <w:sz w:val="20"/>
                <w:szCs w:val="20"/>
              </w:rPr>
            </w:pPr>
            <w:r w:rsidRPr="00A956B3">
              <w:rPr>
                <w:rFonts w:ascii="Times New Roman" w:hAnsi="Times New Roman" w:cs="Times New Roman"/>
                <w:bCs w:val="0"/>
                <w:color w:val="000000" w:themeColor="text1"/>
                <w:sz w:val="20"/>
                <w:szCs w:val="20"/>
              </w:rPr>
              <w:t>Model</w:t>
            </w:r>
          </w:p>
        </w:tc>
        <w:tc>
          <w:tcPr>
            <w:tcW w:w="2459" w:type="dxa"/>
            <w:gridSpan w:val="3"/>
            <w:vMerge w:val="restart"/>
            <w:vAlign w:val="center"/>
          </w:tcPr>
          <w:p w14:paraId="6776FF9D" w14:textId="77777777" w:rsidR="00C075E3" w:rsidRPr="00A956B3" w:rsidRDefault="00C075E3" w:rsidP="00CE49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0"/>
                <w:szCs w:val="20"/>
              </w:rPr>
            </w:pPr>
            <w:r w:rsidRPr="00A956B3">
              <w:rPr>
                <w:rFonts w:ascii="Times New Roman" w:hAnsi="Times New Roman" w:cs="Times New Roman"/>
                <w:bCs w:val="0"/>
                <w:color w:val="000000" w:themeColor="text1"/>
                <w:sz w:val="20"/>
                <w:szCs w:val="20"/>
              </w:rPr>
              <w:t>Gen3G</w:t>
            </w:r>
          </w:p>
        </w:tc>
        <w:tc>
          <w:tcPr>
            <w:tcW w:w="4649" w:type="dxa"/>
            <w:gridSpan w:val="6"/>
            <w:vAlign w:val="center"/>
          </w:tcPr>
          <w:p w14:paraId="5B391D46" w14:textId="77777777" w:rsidR="00C075E3" w:rsidRPr="00A956B3" w:rsidRDefault="00C075E3" w:rsidP="00CE49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0"/>
                <w:szCs w:val="20"/>
              </w:rPr>
            </w:pPr>
            <w:r w:rsidRPr="00A956B3">
              <w:rPr>
                <w:rFonts w:ascii="Times New Roman" w:hAnsi="Times New Roman" w:cs="Times New Roman"/>
                <w:bCs w:val="0"/>
                <w:color w:val="000000" w:themeColor="text1"/>
                <w:sz w:val="20"/>
                <w:szCs w:val="20"/>
              </w:rPr>
              <w:t xml:space="preserve">Project </w:t>
            </w:r>
            <w:proofErr w:type="spellStart"/>
            <w:r w:rsidRPr="00A956B3">
              <w:rPr>
                <w:rFonts w:ascii="Times New Roman" w:hAnsi="Times New Roman" w:cs="Times New Roman"/>
                <w:bCs w:val="0"/>
                <w:color w:val="000000" w:themeColor="text1"/>
                <w:sz w:val="20"/>
                <w:szCs w:val="20"/>
              </w:rPr>
              <w:t>Viva</w:t>
            </w:r>
            <w:proofErr w:type="spellEnd"/>
          </w:p>
        </w:tc>
      </w:tr>
      <w:tr w:rsidR="00A956B3" w:rsidRPr="00A956B3" w14:paraId="6764DD7B" w14:textId="77777777" w:rsidTr="00B57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dxa"/>
            <w:vMerge/>
            <w:vAlign w:val="center"/>
          </w:tcPr>
          <w:p w14:paraId="58D330AF" w14:textId="77777777" w:rsidR="00C075E3" w:rsidRPr="00A956B3" w:rsidRDefault="00C075E3" w:rsidP="00CE4906">
            <w:pPr>
              <w:jc w:val="both"/>
              <w:rPr>
                <w:rFonts w:ascii="Times New Roman" w:hAnsi="Times New Roman" w:cs="Times New Roman"/>
                <w:bCs w:val="0"/>
                <w:color w:val="000000" w:themeColor="text1"/>
                <w:sz w:val="20"/>
                <w:szCs w:val="20"/>
              </w:rPr>
            </w:pPr>
          </w:p>
        </w:tc>
        <w:tc>
          <w:tcPr>
            <w:tcW w:w="2459" w:type="dxa"/>
            <w:gridSpan w:val="3"/>
            <w:vMerge/>
            <w:vAlign w:val="center"/>
          </w:tcPr>
          <w:p w14:paraId="38FF83B7" w14:textId="77777777" w:rsidR="00C075E3" w:rsidRPr="00A956B3" w:rsidRDefault="00C075E3"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p>
        </w:tc>
        <w:tc>
          <w:tcPr>
            <w:tcW w:w="2407" w:type="dxa"/>
            <w:gridSpan w:val="3"/>
            <w:vAlign w:val="center"/>
          </w:tcPr>
          <w:p w14:paraId="3D6CCAAA" w14:textId="5A6CD68B" w:rsidR="00C075E3" w:rsidRPr="00A956B3" w:rsidRDefault="00CB6522" w:rsidP="00CB65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CA"/>
              </w:rPr>
            </w:pPr>
            <w:r w:rsidRPr="00A956B3">
              <w:rPr>
                <w:rFonts w:ascii="Times New Roman" w:hAnsi="Times New Roman" w:cs="Times New Roman"/>
                <w:b/>
                <w:bCs/>
                <w:color w:val="000000" w:themeColor="text1"/>
                <w:sz w:val="20"/>
                <w:szCs w:val="20"/>
                <w:lang w:val="en-CA"/>
              </w:rPr>
              <w:t>17-year follow-up visit</w:t>
            </w:r>
          </w:p>
        </w:tc>
        <w:tc>
          <w:tcPr>
            <w:tcW w:w="2242" w:type="dxa"/>
            <w:gridSpan w:val="3"/>
            <w:vAlign w:val="center"/>
          </w:tcPr>
          <w:p w14:paraId="11A7A4AB" w14:textId="2C396D7A" w:rsidR="00C075E3" w:rsidRPr="00A956B3" w:rsidRDefault="00CB6522" w:rsidP="00CB65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CA"/>
              </w:rPr>
            </w:pPr>
            <w:r w:rsidRPr="00A956B3">
              <w:rPr>
                <w:rFonts w:ascii="Times New Roman" w:hAnsi="Times New Roman" w:cs="Times New Roman"/>
                <w:b/>
                <w:bCs/>
                <w:color w:val="000000" w:themeColor="text1"/>
                <w:sz w:val="20"/>
                <w:szCs w:val="20"/>
                <w:lang w:val="en-CA"/>
              </w:rPr>
              <w:t>3-year follow-up visit</w:t>
            </w:r>
          </w:p>
        </w:tc>
      </w:tr>
      <w:tr w:rsidR="00A956B3" w:rsidRPr="00A956B3" w14:paraId="77F3B1E8" w14:textId="77777777" w:rsidTr="00B579FB">
        <w:tc>
          <w:tcPr>
            <w:cnfStyle w:val="001000000000" w:firstRow="0" w:lastRow="0" w:firstColumn="1" w:lastColumn="0" w:oddVBand="0" w:evenVBand="0" w:oddHBand="0" w:evenHBand="0" w:firstRowFirstColumn="0" w:firstRowLastColumn="0" w:lastRowFirstColumn="0" w:lastRowLastColumn="0"/>
            <w:tcW w:w="2087" w:type="dxa"/>
            <w:vMerge/>
            <w:vAlign w:val="center"/>
          </w:tcPr>
          <w:p w14:paraId="23919BB7" w14:textId="58F664FC" w:rsidR="00C075E3" w:rsidRPr="00A956B3" w:rsidRDefault="00C075E3" w:rsidP="006F37D2">
            <w:pPr>
              <w:jc w:val="both"/>
              <w:rPr>
                <w:rFonts w:ascii="Times New Roman" w:hAnsi="Times New Roman" w:cs="Times New Roman"/>
                <w:bCs w:val="0"/>
                <w:color w:val="000000" w:themeColor="text1"/>
                <w:sz w:val="20"/>
                <w:szCs w:val="20"/>
              </w:rPr>
            </w:pPr>
          </w:p>
        </w:tc>
        <w:tc>
          <w:tcPr>
            <w:tcW w:w="919" w:type="dxa"/>
            <w:vAlign w:val="center"/>
          </w:tcPr>
          <w:p w14:paraId="240F81C4" w14:textId="1B454043" w:rsidR="00C075E3" w:rsidRPr="00A956B3" w:rsidRDefault="00C075E3" w:rsidP="006F37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proofErr w:type="spellStart"/>
            <w:r w:rsidRPr="00A956B3">
              <w:rPr>
                <w:rFonts w:ascii="Times New Roman" w:hAnsi="Times New Roman" w:cs="Times New Roman"/>
                <w:color w:val="000000" w:themeColor="text1"/>
                <w:sz w:val="16"/>
                <w:szCs w:val="16"/>
              </w:rPr>
              <w:t>Scaled_BS</w:t>
            </w:r>
            <w:proofErr w:type="spellEnd"/>
          </w:p>
        </w:tc>
        <w:tc>
          <w:tcPr>
            <w:tcW w:w="771" w:type="dxa"/>
            <w:vAlign w:val="center"/>
          </w:tcPr>
          <w:p w14:paraId="01F1FE38" w14:textId="4ABF084E" w:rsidR="00C075E3" w:rsidRPr="00A956B3" w:rsidRDefault="00C075E3" w:rsidP="006F37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color w:val="000000" w:themeColor="text1"/>
                <w:sz w:val="16"/>
                <w:szCs w:val="16"/>
              </w:rPr>
              <w:t>AUC-ROC</w:t>
            </w:r>
          </w:p>
        </w:tc>
        <w:tc>
          <w:tcPr>
            <w:tcW w:w="769" w:type="dxa"/>
            <w:vAlign w:val="center"/>
          </w:tcPr>
          <w:p w14:paraId="3BB25ECB" w14:textId="1DAE7A7F" w:rsidR="00C075E3" w:rsidRPr="00A956B3" w:rsidRDefault="00C075E3" w:rsidP="006F37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color w:val="000000" w:themeColor="text1"/>
                <w:sz w:val="16"/>
                <w:szCs w:val="16"/>
              </w:rPr>
              <w:t>PR-AUC</w:t>
            </w:r>
          </w:p>
        </w:tc>
        <w:tc>
          <w:tcPr>
            <w:tcW w:w="919" w:type="dxa"/>
            <w:vAlign w:val="center"/>
          </w:tcPr>
          <w:p w14:paraId="44EB7148" w14:textId="3AAAAA9F" w:rsidR="00C075E3" w:rsidRPr="00A956B3" w:rsidRDefault="00C075E3" w:rsidP="006F37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roofErr w:type="spellStart"/>
            <w:r w:rsidRPr="00A956B3">
              <w:rPr>
                <w:rFonts w:ascii="Times New Roman" w:hAnsi="Times New Roman" w:cs="Times New Roman"/>
                <w:color w:val="000000" w:themeColor="text1"/>
                <w:sz w:val="16"/>
                <w:szCs w:val="16"/>
              </w:rPr>
              <w:t>Scaled_BS</w:t>
            </w:r>
            <w:proofErr w:type="spellEnd"/>
          </w:p>
        </w:tc>
        <w:tc>
          <w:tcPr>
            <w:tcW w:w="747" w:type="dxa"/>
            <w:vAlign w:val="center"/>
          </w:tcPr>
          <w:p w14:paraId="1765B857" w14:textId="3E2F3443" w:rsidR="00C075E3" w:rsidRPr="00A956B3" w:rsidRDefault="00C075E3" w:rsidP="006F37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AUC-ROC</w:t>
            </w:r>
          </w:p>
        </w:tc>
        <w:tc>
          <w:tcPr>
            <w:tcW w:w="741" w:type="dxa"/>
            <w:vAlign w:val="center"/>
          </w:tcPr>
          <w:p w14:paraId="345DABA3" w14:textId="775AF5C8" w:rsidR="00C075E3" w:rsidRPr="00A956B3" w:rsidRDefault="00C075E3" w:rsidP="006F37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PR-AUC</w:t>
            </w:r>
          </w:p>
        </w:tc>
        <w:tc>
          <w:tcPr>
            <w:tcW w:w="919" w:type="dxa"/>
            <w:vAlign w:val="center"/>
          </w:tcPr>
          <w:p w14:paraId="088E5161" w14:textId="79FC9873" w:rsidR="00C075E3" w:rsidRPr="00A956B3" w:rsidRDefault="00C075E3" w:rsidP="006F37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roofErr w:type="spellStart"/>
            <w:r w:rsidRPr="00A956B3">
              <w:rPr>
                <w:rFonts w:ascii="Times New Roman" w:hAnsi="Times New Roman" w:cs="Times New Roman"/>
                <w:color w:val="000000" w:themeColor="text1"/>
                <w:sz w:val="16"/>
                <w:szCs w:val="16"/>
              </w:rPr>
              <w:t>Scaled_BS</w:t>
            </w:r>
            <w:proofErr w:type="spellEnd"/>
          </w:p>
        </w:tc>
        <w:tc>
          <w:tcPr>
            <w:tcW w:w="747" w:type="dxa"/>
            <w:vAlign w:val="center"/>
          </w:tcPr>
          <w:p w14:paraId="56D49C73" w14:textId="1EDCC61A" w:rsidR="00C075E3" w:rsidRPr="00A956B3" w:rsidRDefault="00C075E3" w:rsidP="006F37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AUC-ROC</w:t>
            </w:r>
          </w:p>
        </w:tc>
        <w:tc>
          <w:tcPr>
            <w:tcW w:w="576" w:type="dxa"/>
            <w:vAlign w:val="center"/>
          </w:tcPr>
          <w:p w14:paraId="3582DA0B" w14:textId="5B18F439" w:rsidR="00C075E3" w:rsidRPr="00A956B3" w:rsidRDefault="00C075E3" w:rsidP="006F37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PR-AUC</w:t>
            </w:r>
          </w:p>
        </w:tc>
      </w:tr>
      <w:tr w:rsidR="00A956B3" w:rsidRPr="00A956B3" w14:paraId="7CD29DAF" w14:textId="77777777" w:rsidTr="00B57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dxa"/>
            <w:vAlign w:val="center"/>
          </w:tcPr>
          <w:p w14:paraId="0C21219A" w14:textId="228292D8" w:rsidR="00B579FB" w:rsidRPr="00A956B3" w:rsidRDefault="00B579FB" w:rsidP="006F37D2">
            <w:pPr>
              <w:jc w:val="both"/>
              <w:rPr>
                <w:rFonts w:ascii="Times New Roman" w:hAnsi="Times New Roman" w:cs="Times New Roman"/>
                <w:color w:val="000000" w:themeColor="text1"/>
                <w:sz w:val="20"/>
                <w:szCs w:val="20"/>
              </w:rPr>
            </w:pPr>
            <w:r w:rsidRPr="00A956B3">
              <w:rPr>
                <w:rFonts w:ascii="Times New Roman" w:hAnsi="Times New Roman" w:cs="Times New Roman"/>
                <w:bCs w:val="0"/>
                <w:color w:val="000000" w:themeColor="text1"/>
                <w:sz w:val="20"/>
                <w:szCs w:val="20"/>
              </w:rPr>
              <w:t>G4DP index</w:t>
            </w:r>
          </w:p>
        </w:tc>
        <w:tc>
          <w:tcPr>
            <w:tcW w:w="919" w:type="dxa"/>
            <w:vAlign w:val="center"/>
          </w:tcPr>
          <w:p w14:paraId="6E12C28C" w14:textId="77777777" w:rsidR="00B579FB" w:rsidRPr="00A956B3" w:rsidRDefault="00B579FB" w:rsidP="006F37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rPr>
            </w:pPr>
          </w:p>
        </w:tc>
        <w:tc>
          <w:tcPr>
            <w:tcW w:w="771" w:type="dxa"/>
            <w:vAlign w:val="center"/>
          </w:tcPr>
          <w:p w14:paraId="60BE5823" w14:textId="77777777" w:rsidR="00B579FB" w:rsidRPr="00A956B3" w:rsidRDefault="00B579FB" w:rsidP="006F37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rPr>
            </w:pPr>
          </w:p>
        </w:tc>
        <w:tc>
          <w:tcPr>
            <w:tcW w:w="769" w:type="dxa"/>
            <w:vAlign w:val="center"/>
          </w:tcPr>
          <w:p w14:paraId="01482A7C" w14:textId="77777777" w:rsidR="00B579FB" w:rsidRPr="00A956B3" w:rsidRDefault="00B579FB" w:rsidP="006F37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rPr>
            </w:pPr>
          </w:p>
        </w:tc>
        <w:tc>
          <w:tcPr>
            <w:tcW w:w="919" w:type="dxa"/>
            <w:vAlign w:val="center"/>
          </w:tcPr>
          <w:p w14:paraId="48927C83" w14:textId="5B469737" w:rsidR="00B579FB" w:rsidRPr="00A956B3" w:rsidRDefault="00B579FB" w:rsidP="006F37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0.084</w:t>
            </w:r>
          </w:p>
        </w:tc>
        <w:tc>
          <w:tcPr>
            <w:tcW w:w="747" w:type="dxa"/>
            <w:vAlign w:val="center"/>
          </w:tcPr>
          <w:p w14:paraId="36BF808A" w14:textId="492B543F" w:rsidR="00B579FB" w:rsidRPr="00A956B3" w:rsidRDefault="00B579FB" w:rsidP="006F37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0.682</w:t>
            </w:r>
          </w:p>
        </w:tc>
        <w:tc>
          <w:tcPr>
            <w:tcW w:w="741" w:type="dxa"/>
            <w:vAlign w:val="center"/>
          </w:tcPr>
          <w:p w14:paraId="6BB2EFFE" w14:textId="5C77908D" w:rsidR="00B579FB" w:rsidRPr="00A956B3" w:rsidRDefault="00B579FB" w:rsidP="006F37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0.442</w:t>
            </w:r>
          </w:p>
        </w:tc>
        <w:tc>
          <w:tcPr>
            <w:tcW w:w="919" w:type="dxa"/>
            <w:vAlign w:val="center"/>
          </w:tcPr>
          <w:p w14:paraId="4AADD683" w14:textId="266ADF9D" w:rsidR="00B579FB" w:rsidRPr="00A956B3" w:rsidRDefault="00B579FB" w:rsidP="006F37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0.017</w:t>
            </w:r>
          </w:p>
        </w:tc>
        <w:tc>
          <w:tcPr>
            <w:tcW w:w="747" w:type="dxa"/>
            <w:vAlign w:val="center"/>
          </w:tcPr>
          <w:p w14:paraId="0A0B4785" w14:textId="4ABC2D64" w:rsidR="00B579FB" w:rsidRPr="00A956B3" w:rsidRDefault="00B579FB" w:rsidP="006F37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0.707</w:t>
            </w:r>
          </w:p>
        </w:tc>
        <w:tc>
          <w:tcPr>
            <w:tcW w:w="576" w:type="dxa"/>
            <w:vAlign w:val="center"/>
          </w:tcPr>
          <w:p w14:paraId="6DC36A51" w14:textId="1AC479BA" w:rsidR="00B579FB" w:rsidRPr="00A956B3" w:rsidRDefault="00B579FB" w:rsidP="006F37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0.125</w:t>
            </w:r>
          </w:p>
        </w:tc>
      </w:tr>
      <w:tr w:rsidR="00A956B3" w:rsidRPr="00A956B3" w14:paraId="3728279D" w14:textId="77777777" w:rsidTr="00B579FB">
        <w:tc>
          <w:tcPr>
            <w:cnfStyle w:val="001000000000" w:firstRow="0" w:lastRow="0" w:firstColumn="1" w:lastColumn="0" w:oddVBand="0" w:evenVBand="0" w:oddHBand="0" w:evenHBand="0" w:firstRowFirstColumn="0" w:firstRowLastColumn="0" w:lastRowFirstColumn="0" w:lastRowLastColumn="0"/>
            <w:tcW w:w="2087" w:type="dxa"/>
            <w:vAlign w:val="center"/>
          </w:tcPr>
          <w:p w14:paraId="396695DD" w14:textId="59B54DE6" w:rsidR="00B579FB" w:rsidRPr="00A956B3" w:rsidRDefault="00B579FB" w:rsidP="00CE4906">
            <w:pPr>
              <w:jc w:val="both"/>
              <w:rPr>
                <w:rFonts w:ascii="Times New Roman" w:hAnsi="Times New Roman" w:cs="Times New Roman"/>
                <w:bCs w:val="0"/>
                <w:color w:val="000000" w:themeColor="text1"/>
                <w:sz w:val="20"/>
                <w:szCs w:val="20"/>
              </w:rPr>
            </w:pPr>
            <w:proofErr w:type="spellStart"/>
            <w:r w:rsidRPr="00A956B3">
              <w:rPr>
                <w:rFonts w:ascii="Times New Roman" w:hAnsi="Times New Roman" w:cs="Times New Roman"/>
                <w:bCs w:val="0"/>
                <w:color w:val="000000" w:themeColor="text1"/>
                <w:sz w:val="20"/>
                <w:szCs w:val="20"/>
              </w:rPr>
              <w:t>Random</w:t>
            </w:r>
            <w:proofErr w:type="spellEnd"/>
            <w:r w:rsidRPr="00A956B3">
              <w:rPr>
                <w:rFonts w:ascii="Times New Roman" w:hAnsi="Times New Roman" w:cs="Times New Roman"/>
                <w:bCs w:val="0"/>
                <w:color w:val="000000" w:themeColor="text1"/>
                <w:sz w:val="20"/>
                <w:szCs w:val="20"/>
              </w:rPr>
              <w:t xml:space="preserve"> </w:t>
            </w:r>
            <w:proofErr w:type="spellStart"/>
            <w:r w:rsidRPr="00A956B3">
              <w:rPr>
                <w:rFonts w:ascii="Times New Roman" w:hAnsi="Times New Roman" w:cs="Times New Roman"/>
                <w:bCs w:val="0"/>
                <w:color w:val="000000" w:themeColor="text1"/>
                <w:sz w:val="20"/>
                <w:szCs w:val="20"/>
              </w:rPr>
              <w:t>Forest</w:t>
            </w:r>
            <w:r w:rsidRPr="00A956B3">
              <w:rPr>
                <w:rFonts w:ascii="Times New Roman" w:hAnsi="Times New Roman" w:cs="Times New Roman"/>
                <w:bCs w:val="0"/>
                <w:color w:val="000000" w:themeColor="text1"/>
                <w:sz w:val="20"/>
                <w:szCs w:val="20"/>
                <w:vertAlign w:val="superscript"/>
              </w:rPr>
              <w:t>a</w:t>
            </w:r>
            <w:proofErr w:type="spellEnd"/>
          </w:p>
        </w:tc>
        <w:tc>
          <w:tcPr>
            <w:tcW w:w="919" w:type="dxa"/>
            <w:vAlign w:val="center"/>
          </w:tcPr>
          <w:p w14:paraId="2F9014DB" w14:textId="77777777" w:rsidR="00B579FB" w:rsidRPr="00A956B3" w:rsidRDefault="00B579FB"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0.158</w:t>
            </w:r>
          </w:p>
          <w:p w14:paraId="457CD9AB" w14:textId="77777777" w:rsidR="00B579FB" w:rsidRPr="00A956B3" w:rsidRDefault="00B579FB"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eastAsia="Symbol" w:hAnsi="Times New Roman" w:cs="Times New Roman"/>
                <w:bCs/>
                <w:color w:val="000000" w:themeColor="text1"/>
                <w:sz w:val="16"/>
                <w:szCs w:val="16"/>
              </w:rPr>
              <w:t>±</w:t>
            </w:r>
            <w:r w:rsidRPr="00A956B3">
              <w:rPr>
                <w:rFonts w:ascii="Times New Roman" w:hAnsi="Times New Roman" w:cs="Times New Roman"/>
                <w:color w:val="000000" w:themeColor="text1"/>
                <w:sz w:val="16"/>
                <w:szCs w:val="16"/>
              </w:rPr>
              <w:t>0.090</w:t>
            </w:r>
          </w:p>
        </w:tc>
        <w:tc>
          <w:tcPr>
            <w:tcW w:w="771" w:type="dxa"/>
            <w:vAlign w:val="center"/>
          </w:tcPr>
          <w:p w14:paraId="61B7533B" w14:textId="77777777" w:rsidR="00B579FB" w:rsidRPr="00A956B3" w:rsidRDefault="00B579FB"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 xml:space="preserve">0.760 </w:t>
            </w:r>
            <w:r w:rsidRPr="00A956B3">
              <w:rPr>
                <w:rFonts w:ascii="Times New Roman" w:eastAsia="Symbol" w:hAnsi="Times New Roman" w:cs="Times New Roman"/>
                <w:bCs/>
                <w:color w:val="000000" w:themeColor="text1"/>
                <w:sz w:val="16"/>
                <w:szCs w:val="16"/>
              </w:rPr>
              <w:t>±</w:t>
            </w:r>
            <w:r w:rsidRPr="00A956B3">
              <w:rPr>
                <w:rFonts w:ascii="Times New Roman" w:hAnsi="Times New Roman" w:cs="Times New Roman"/>
                <w:color w:val="000000" w:themeColor="text1"/>
                <w:sz w:val="16"/>
                <w:szCs w:val="16"/>
              </w:rPr>
              <w:t>0.097</w:t>
            </w:r>
          </w:p>
        </w:tc>
        <w:tc>
          <w:tcPr>
            <w:tcW w:w="769" w:type="dxa"/>
            <w:vAlign w:val="center"/>
          </w:tcPr>
          <w:p w14:paraId="5100DDAB" w14:textId="77777777" w:rsidR="00B579FB" w:rsidRPr="00A956B3" w:rsidRDefault="00B579FB"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 xml:space="preserve">0.461 </w:t>
            </w:r>
            <w:r w:rsidRPr="00A956B3">
              <w:rPr>
                <w:rFonts w:ascii="Times New Roman" w:eastAsia="Symbol" w:hAnsi="Times New Roman" w:cs="Times New Roman"/>
                <w:bCs/>
                <w:color w:val="000000" w:themeColor="text1"/>
                <w:sz w:val="16"/>
                <w:szCs w:val="16"/>
              </w:rPr>
              <w:t>±</w:t>
            </w:r>
            <w:r w:rsidRPr="00A956B3">
              <w:rPr>
                <w:rFonts w:ascii="Times New Roman" w:hAnsi="Times New Roman" w:cs="Times New Roman"/>
                <w:bCs/>
                <w:color w:val="000000" w:themeColor="text1"/>
                <w:sz w:val="16"/>
                <w:szCs w:val="16"/>
              </w:rPr>
              <w:t>0.101</w:t>
            </w:r>
          </w:p>
        </w:tc>
        <w:tc>
          <w:tcPr>
            <w:tcW w:w="919" w:type="dxa"/>
            <w:vAlign w:val="center"/>
          </w:tcPr>
          <w:p w14:paraId="2944BDCB" w14:textId="6731E2CC" w:rsidR="00B579FB" w:rsidRPr="00A956B3" w:rsidRDefault="00B579FB"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0.055</w:t>
            </w:r>
          </w:p>
        </w:tc>
        <w:tc>
          <w:tcPr>
            <w:tcW w:w="747" w:type="dxa"/>
            <w:vAlign w:val="center"/>
          </w:tcPr>
          <w:p w14:paraId="4D31D1F6" w14:textId="346678D3" w:rsidR="00B579FB" w:rsidRPr="00A956B3" w:rsidRDefault="00B579FB"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0.689</w:t>
            </w:r>
          </w:p>
        </w:tc>
        <w:tc>
          <w:tcPr>
            <w:tcW w:w="741" w:type="dxa"/>
            <w:vAlign w:val="center"/>
          </w:tcPr>
          <w:p w14:paraId="0B50B392" w14:textId="34B75020" w:rsidR="00B579FB" w:rsidRPr="00A956B3" w:rsidRDefault="00B579FB"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0.448</w:t>
            </w:r>
          </w:p>
        </w:tc>
        <w:tc>
          <w:tcPr>
            <w:tcW w:w="919" w:type="dxa"/>
            <w:vAlign w:val="center"/>
          </w:tcPr>
          <w:p w14:paraId="32059C6A" w14:textId="4D766E3E" w:rsidR="00B579FB" w:rsidRPr="00A956B3" w:rsidRDefault="00B579FB"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-0.720</w:t>
            </w:r>
          </w:p>
        </w:tc>
        <w:tc>
          <w:tcPr>
            <w:tcW w:w="747" w:type="dxa"/>
            <w:vAlign w:val="center"/>
          </w:tcPr>
          <w:p w14:paraId="1C4E6713" w14:textId="43F796BF" w:rsidR="00B579FB" w:rsidRPr="00A956B3" w:rsidRDefault="00B579FB"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0.744</w:t>
            </w:r>
          </w:p>
        </w:tc>
        <w:tc>
          <w:tcPr>
            <w:tcW w:w="576" w:type="dxa"/>
            <w:vAlign w:val="center"/>
          </w:tcPr>
          <w:p w14:paraId="06D51235" w14:textId="23811D57" w:rsidR="00B579FB" w:rsidRPr="00A956B3" w:rsidRDefault="00B579FB" w:rsidP="00CE49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0.099</w:t>
            </w:r>
          </w:p>
        </w:tc>
      </w:tr>
      <w:tr w:rsidR="00A956B3" w:rsidRPr="00A956B3" w14:paraId="2D1A35BC" w14:textId="77777777" w:rsidTr="00B57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dxa"/>
            <w:vAlign w:val="center"/>
          </w:tcPr>
          <w:p w14:paraId="5B0CEBC8" w14:textId="1E190E49" w:rsidR="00B579FB" w:rsidRPr="00A956B3" w:rsidRDefault="00B579FB" w:rsidP="00CE4906">
            <w:pPr>
              <w:jc w:val="both"/>
              <w:rPr>
                <w:rFonts w:ascii="Times New Roman" w:hAnsi="Times New Roman" w:cs="Times New Roman"/>
                <w:bCs w:val="0"/>
                <w:color w:val="000000" w:themeColor="text1"/>
                <w:sz w:val="20"/>
                <w:szCs w:val="20"/>
              </w:rPr>
            </w:pPr>
            <w:proofErr w:type="spellStart"/>
            <w:r w:rsidRPr="00A956B3">
              <w:rPr>
                <w:rFonts w:ascii="Times New Roman" w:hAnsi="Times New Roman" w:cs="Times New Roman"/>
                <w:bCs w:val="0"/>
                <w:color w:val="000000" w:themeColor="text1"/>
                <w:sz w:val="20"/>
                <w:szCs w:val="20"/>
              </w:rPr>
              <w:t>LASSO</w:t>
            </w:r>
            <w:r w:rsidRPr="00A956B3">
              <w:rPr>
                <w:rFonts w:ascii="Times New Roman" w:hAnsi="Times New Roman" w:cs="Times New Roman"/>
                <w:bCs w:val="0"/>
                <w:color w:val="000000" w:themeColor="text1"/>
                <w:sz w:val="20"/>
                <w:szCs w:val="20"/>
                <w:vertAlign w:val="superscript"/>
              </w:rPr>
              <w:t>b</w:t>
            </w:r>
            <w:proofErr w:type="spellEnd"/>
          </w:p>
        </w:tc>
        <w:tc>
          <w:tcPr>
            <w:tcW w:w="919" w:type="dxa"/>
            <w:vAlign w:val="center"/>
          </w:tcPr>
          <w:p w14:paraId="19BE38B1" w14:textId="77777777" w:rsidR="00B579FB" w:rsidRPr="00A956B3" w:rsidRDefault="00B579FB"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 xml:space="preserve">0.151 </w:t>
            </w:r>
            <w:r w:rsidRPr="00A956B3">
              <w:rPr>
                <w:rFonts w:ascii="Times New Roman" w:eastAsia="Symbol" w:hAnsi="Times New Roman" w:cs="Times New Roman"/>
                <w:bCs/>
                <w:color w:val="000000" w:themeColor="text1"/>
                <w:sz w:val="16"/>
                <w:szCs w:val="16"/>
              </w:rPr>
              <w:t>±</w:t>
            </w:r>
            <w:r w:rsidRPr="00A956B3">
              <w:rPr>
                <w:rFonts w:ascii="Times New Roman" w:hAnsi="Times New Roman" w:cs="Times New Roman"/>
                <w:bCs/>
                <w:color w:val="000000" w:themeColor="text1"/>
                <w:sz w:val="16"/>
                <w:szCs w:val="16"/>
              </w:rPr>
              <w:t>0.105</w:t>
            </w:r>
          </w:p>
        </w:tc>
        <w:tc>
          <w:tcPr>
            <w:tcW w:w="771" w:type="dxa"/>
            <w:vAlign w:val="center"/>
          </w:tcPr>
          <w:p w14:paraId="31919A65" w14:textId="77777777" w:rsidR="00B579FB" w:rsidRPr="00A956B3" w:rsidRDefault="00B579FB"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 xml:space="preserve">0.696 </w:t>
            </w:r>
            <w:r w:rsidRPr="00A956B3">
              <w:rPr>
                <w:rFonts w:ascii="Times New Roman" w:eastAsia="Symbol" w:hAnsi="Times New Roman" w:cs="Times New Roman"/>
                <w:bCs/>
                <w:color w:val="000000" w:themeColor="text1"/>
                <w:sz w:val="16"/>
                <w:szCs w:val="16"/>
              </w:rPr>
              <w:t>±</w:t>
            </w:r>
            <w:r w:rsidRPr="00A956B3">
              <w:rPr>
                <w:rFonts w:ascii="Times New Roman" w:hAnsi="Times New Roman" w:cs="Times New Roman"/>
                <w:bCs/>
                <w:color w:val="000000" w:themeColor="text1"/>
                <w:sz w:val="16"/>
                <w:szCs w:val="16"/>
              </w:rPr>
              <w:t>0.106</w:t>
            </w:r>
          </w:p>
        </w:tc>
        <w:tc>
          <w:tcPr>
            <w:tcW w:w="769" w:type="dxa"/>
            <w:vAlign w:val="center"/>
          </w:tcPr>
          <w:p w14:paraId="39DCE218" w14:textId="77777777" w:rsidR="00B579FB" w:rsidRPr="00A956B3" w:rsidRDefault="00B579FB"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 xml:space="preserve">0.462 </w:t>
            </w:r>
            <w:r w:rsidRPr="00A956B3">
              <w:rPr>
                <w:rFonts w:ascii="Times New Roman" w:eastAsia="Symbol" w:hAnsi="Times New Roman" w:cs="Times New Roman"/>
                <w:bCs/>
                <w:color w:val="000000" w:themeColor="text1"/>
                <w:sz w:val="16"/>
                <w:szCs w:val="16"/>
              </w:rPr>
              <w:t>±</w:t>
            </w:r>
            <w:r w:rsidRPr="00A956B3">
              <w:rPr>
                <w:rFonts w:ascii="Times New Roman" w:hAnsi="Times New Roman" w:cs="Times New Roman"/>
                <w:bCs/>
                <w:color w:val="000000" w:themeColor="text1"/>
                <w:sz w:val="16"/>
                <w:szCs w:val="16"/>
              </w:rPr>
              <w:t>0.122</w:t>
            </w:r>
          </w:p>
        </w:tc>
        <w:tc>
          <w:tcPr>
            <w:tcW w:w="919" w:type="dxa"/>
            <w:vAlign w:val="center"/>
          </w:tcPr>
          <w:p w14:paraId="69DA7E8B" w14:textId="77777777" w:rsidR="00B579FB" w:rsidRPr="00A956B3" w:rsidRDefault="00B579FB"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0.036</w:t>
            </w:r>
          </w:p>
        </w:tc>
        <w:tc>
          <w:tcPr>
            <w:tcW w:w="747" w:type="dxa"/>
            <w:vAlign w:val="center"/>
          </w:tcPr>
          <w:p w14:paraId="7E3593CD" w14:textId="233D49B2" w:rsidR="00B579FB" w:rsidRPr="00A956B3" w:rsidRDefault="00B579FB"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956B3">
              <w:rPr>
                <w:rFonts w:ascii="Times New Roman" w:hAnsi="Times New Roman" w:cs="Times New Roman"/>
                <w:color w:val="000000" w:themeColor="text1"/>
                <w:sz w:val="16"/>
                <w:szCs w:val="16"/>
              </w:rPr>
              <w:t>0.676</w:t>
            </w:r>
          </w:p>
        </w:tc>
        <w:tc>
          <w:tcPr>
            <w:tcW w:w="741" w:type="dxa"/>
            <w:vAlign w:val="center"/>
          </w:tcPr>
          <w:p w14:paraId="68742298" w14:textId="355DBCD1" w:rsidR="00B579FB" w:rsidRPr="00A956B3" w:rsidRDefault="00B579FB"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0.433</w:t>
            </w:r>
          </w:p>
        </w:tc>
        <w:tc>
          <w:tcPr>
            <w:tcW w:w="919" w:type="dxa"/>
            <w:vAlign w:val="center"/>
          </w:tcPr>
          <w:p w14:paraId="4A601CA0" w14:textId="0983C90B" w:rsidR="00B579FB" w:rsidRPr="00A956B3" w:rsidRDefault="00B579FB"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-0.927</w:t>
            </w:r>
          </w:p>
        </w:tc>
        <w:tc>
          <w:tcPr>
            <w:tcW w:w="747" w:type="dxa"/>
            <w:vAlign w:val="center"/>
          </w:tcPr>
          <w:p w14:paraId="6437062E" w14:textId="03217D5E" w:rsidR="00B579FB" w:rsidRPr="00A956B3" w:rsidRDefault="00B579FB"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0.731</w:t>
            </w:r>
          </w:p>
        </w:tc>
        <w:tc>
          <w:tcPr>
            <w:tcW w:w="576" w:type="dxa"/>
            <w:vAlign w:val="center"/>
          </w:tcPr>
          <w:p w14:paraId="2DF50DAB" w14:textId="4384EF7B" w:rsidR="00B579FB" w:rsidRPr="00A956B3" w:rsidRDefault="00B579FB" w:rsidP="00CE4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6"/>
                <w:szCs w:val="16"/>
              </w:rPr>
            </w:pPr>
            <w:r w:rsidRPr="00A956B3">
              <w:rPr>
                <w:rFonts w:ascii="Times New Roman" w:hAnsi="Times New Roman" w:cs="Times New Roman"/>
                <w:bCs/>
                <w:color w:val="000000" w:themeColor="text1"/>
                <w:sz w:val="16"/>
                <w:szCs w:val="16"/>
              </w:rPr>
              <w:t>0.128</w:t>
            </w:r>
          </w:p>
        </w:tc>
      </w:tr>
    </w:tbl>
    <w:p w14:paraId="55C33ABD" w14:textId="7D374FEC" w:rsidR="007E5BBF" w:rsidRPr="00A956B3" w:rsidRDefault="007E5BBF" w:rsidP="007E5BBF">
      <w:pPr>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 xml:space="preserve">Note: </w:t>
      </w:r>
      <w:proofErr w:type="spellStart"/>
      <w:r w:rsidRPr="00A956B3">
        <w:rPr>
          <w:rFonts w:ascii="Times New Roman" w:hAnsi="Times New Roman" w:cs="Times New Roman"/>
          <w:bCs/>
          <w:color w:val="000000" w:themeColor="text1"/>
          <w:sz w:val="20"/>
          <w:szCs w:val="20"/>
          <w:vertAlign w:val="superscript"/>
        </w:rPr>
        <w:t>a</w:t>
      </w:r>
      <w:r w:rsidRPr="00A956B3">
        <w:rPr>
          <w:rFonts w:ascii="Times New Roman" w:hAnsi="Times New Roman" w:cs="Times New Roman"/>
          <w:bCs/>
          <w:color w:val="000000" w:themeColor="text1"/>
          <w:sz w:val="20"/>
          <w:szCs w:val="20"/>
        </w:rPr>
        <w:t>Full</w:t>
      </w:r>
      <w:proofErr w:type="spellEnd"/>
      <w:r w:rsidRPr="00A956B3">
        <w:rPr>
          <w:rFonts w:ascii="Times New Roman" w:hAnsi="Times New Roman" w:cs="Times New Roman"/>
          <w:bCs/>
          <w:color w:val="000000" w:themeColor="text1"/>
          <w:sz w:val="20"/>
          <w:szCs w:val="20"/>
        </w:rPr>
        <w:t xml:space="preserve"> non-parametric machine learning algorithm and using all 15 candidate predictors. </w:t>
      </w:r>
      <w:proofErr w:type="spellStart"/>
      <w:r w:rsidRPr="00A956B3">
        <w:rPr>
          <w:rFonts w:ascii="Times New Roman" w:hAnsi="Times New Roman" w:cs="Times New Roman"/>
          <w:bCs/>
          <w:color w:val="000000" w:themeColor="text1"/>
          <w:sz w:val="20"/>
          <w:szCs w:val="20"/>
          <w:vertAlign w:val="superscript"/>
        </w:rPr>
        <w:t>b</w:t>
      </w:r>
      <w:r w:rsidRPr="00A956B3">
        <w:rPr>
          <w:rFonts w:ascii="Times New Roman" w:hAnsi="Times New Roman" w:cs="Times New Roman"/>
          <w:bCs/>
          <w:color w:val="000000" w:themeColor="text1"/>
          <w:sz w:val="20"/>
          <w:szCs w:val="20"/>
        </w:rPr>
        <w:t>Reduced</w:t>
      </w:r>
      <w:proofErr w:type="spellEnd"/>
      <w:r w:rsidRPr="00A956B3">
        <w:rPr>
          <w:rFonts w:ascii="Times New Roman" w:hAnsi="Times New Roman" w:cs="Times New Roman"/>
          <w:bCs/>
          <w:color w:val="000000" w:themeColor="text1"/>
          <w:sz w:val="20"/>
          <w:szCs w:val="20"/>
        </w:rPr>
        <w:t xml:space="preserve"> regression model using only the top four best predictors from the random forest model.</w:t>
      </w:r>
      <w:r w:rsidRPr="00A956B3">
        <w:rPr>
          <w:rFonts w:ascii="Times New Roman" w:hAnsi="Times New Roman" w:cs="Times New Roman"/>
          <w:bCs/>
          <w:color w:val="000000" w:themeColor="text1"/>
          <w:sz w:val="20"/>
          <w:szCs w:val="20"/>
          <w:vertAlign w:val="superscript"/>
        </w:rPr>
        <w:t xml:space="preserve"> </w:t>
      </w:r>
    </w:p>
    <w:p w14:paraId="6B695B3A" w14:textId="77777777" w:rsidR="000A2353" w:rsidRPr="00A956B3" w:rsidRDefault="000A2353" w:rsidP="000A2353">
      <w:pPr>
        <w:jc w:val="both"/>
        <w:rPr>
          <w:rFonts w:ascii="Times New Roman" w:hAnsi="Times New Roman" w:cs="Times New Roman"/>
          <w:b/>
          <w:color w:val="000000" w:themeColor="text1"/>
        </w:rPr>
      </w:pPr>
    </w:p>
    <w:p w14:paraId="4411354A" w14:textId="56FBB7E3" w:rsidR="007E5BBF" w:rsidRPr="00A956B3" w:rsidRDefault="007E5BBF" w:rsidP="000A2353">
      <w:pPr>
        <w:jc w:val="both"/>
        <w:rPr>
          <w:rFonts w:ascii="Times New Roman" w:hAnsi="Times New Roman" w:cs="Times New Roman"/>
          <w:b/>
          <w:color w:val="000000" w:themeColor="text1"/>
        </w:rPr>
      </w:pPr>
    </w:p>
    <w:p w14:paraId="72CF27C3" w14:textId="77777777" w:rsidR="00F20834" w:rsidRPr="00A956B3" w:rsidRDefault="00F20834" w:rsidP="00F20834">
      <w:pPr>
        <w:jc w:val="both"/>
        <w:rPr>
          <w:rFonts w:ascii="Times New Roman" w:hAnsi="Times New Roman" w:cs="Times New Roman"/>
          <w:b/>
          <w:color w:val="000000" w:themeColor="text1"/>
        </w:rPr>
      </w:pPr>
    </w:p>
    <w:p w14:paraId="15915F54" w14:textId="77777777" w:rsidR="007D3FF0" w:rsidRPr="00A956B3" w:rsidRDefault="007D3FF0" w:rsidP="00F20834">
      <w:pPr>
        <w:jc w:val="both"/>
        <w:rPr>
          <w:rFonts w:ascii="Times New Roman" w:hAnsi="Times New Roman" w:cs="Times New Roman"/>
          <w:b/>
          <w:color w:val="000000" w:themeColor="text1"/>
        </w:rPr>
      </w:pPr>
      <w:r w:rsidRPr="00A956B3">
        <w:rPr>
          <w:rFonts w:ascii="Times New Roman" w:hAnsi="Times New Roman" w:cs="Times New Roman"/>
          <w:b/>
          <w:color w:val="000000" w:themeColor="text1"/>
        </w:rPr>
        <w:br w:type="page"/>
      </w:r>
    </w:p>
    <w:p w14:paraId="453AA945" w14:textId="77777777" w:rsidR="00A70409" w:rsidRPr="00A956B3" w:rsidRDefault="00A70409" w:rsidP="00A70409">
      <w:pPr>
        <w:rPr>
          <w:rFonts w:ascii="Times New Roman" w:hAnsi="Times New Roman" w:cs="Times New Roman"/>
          <w:color w:val="000000" w:themeColor="text1"/>
        </w:rPr>
      </w:pPr>
    </w:p>
    <w:p w14:paraId="767C8A37" w14:textId="77777777" w:rsidR="00A70409" w:rsidRPr="00A956B3" w:rsidRDefault="00A70409" w:rsidP="00A70409">
      <w:pPr>
        <w:spacing w:after="360"/>
        <w:jc w:val="both"/>
        <w:rPr>
          <w:rFonts w:ascii="Times New Roman" w:hAnsi="Times New Roman" w:cs="Times New Roman"/>
          <w:color w:val="000000" w:themeColor="text1"/>
          <w:shd w:val="clear" w:color="auto" w:fill="FFFFFF"/>
        </w:rPr>
      </w:pPr>
      <w:r w:rsidRPr="00A956B3">
        <w:rPr>
          <w:rFonts w:ascii="Times New Roman" w:hAnsi="Times New Roman" w:cs="Times New Roman"/>
          <w:b/>
          <w:color w:val="000000" w:themeColor="text1"/>
        </w:rPr>
        <w:t xml:space="preserve">Supplementary Figure 1: </w:t>
      </w:r>
      <w:r w:rsidRPr="00A956B3">
        <w:rPr>
          <w:rFonts w:ascii="Times New Roman" w:hAnsi="Times New Roman" w:cs="Times New Roman"/>
          <w:color w:val="000000" w:themeColor="text1"/>
          <w:shd w:val="clear" w:color="auto" w:fill="FFFFFF"/>
        </w:rPr>
        <w:t>Flowchart illustrating the selection of participants for the final samples used for model development (Gen3G) and validation (Project Viva).</w:t>
      </w:r>
    </w:p>
    <w:p w14:paraId="22CF4B21" w14:textId="574931AB" w:rsidR="00A70409" w:rsidRPr="00A956B3" w:rsidRDefault="001F4272" w:rsidP="001F4272">
      <w:pPr>
        <w:spacing w:after="360"/>
        <w:jc w:val="center"/>
        <w:rPr>
          <w:rFonts w:ascii="Times New Roman" w:hAnsi="Times New Roman" w:cs="Times New Roman"/>
          <w:color w:val="000000" w:themeColor="text1"/>
          <w:shd w:val="clear" w:color="auto" w:fill="FFFFFF"/>
        </w:rPr>
      </w:pPr>
      <w:r>
        <w:rPr>
          <w:rFonts w:ascii="Times New Roman" w:hAnsi="Times New Roman" w:cs="Times New Roman"/>
          <w:noProof/>
          <w:color w:val="000000" w:themeColor="text1"/>
          <w:shd w:val="clear" w:color="auto" w:fill="FFFFFF"/>
        </w:rPr>
        <w:drawing>
          <wp:inline distT="0" distB="0" distL="0" distR="0" wp14:anchorId="2E035E6A" wp14:editId="430F4E81">
            <wp:extent cx="5598695" cy="299987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5">
                      <a:extLst>
                        <a:ext uri="{28A0092B-C50C-407E-A947-70E740481C1C}">
                          <a14:useLocalDpi xmlns:a14="http://schemas.microsoft.com/office/drawing/2010/main" val="0"/>
                        </a:ext>
                      </a:extLst>
                    </a:blip>
                    <a:srcRect t="4319" r="5790" b="5942"/>
                    <a:stretch/>
                  </pic:blipFill>
                  <pic:spPr bwMode="auto">
                    <a:xfrm>
                      <a:off x="0" y="0"/>
                      <a:ext cx="5599397" cy="3000250"/>
                    </a:xfrm>
                    <a:prstGeom prst="rect">
                      <a:avLst/>
                    </a:prstGeom>
                    <a:ln>
                      <a:noFill/>
                    </a:ln>
                    <a:extLst>
                      <a:ext uri="{53640926-AAD7-44D8-BBD7-CCE9431645EC}">
                        <a14:shadowObscured xmlns:a14="http://schemas.microsoft.com/office/drawing/2010/main"/>
                      </a:ext>
                    </a:extLst>
                  </pic:spPr>
                </pic:pic>
              </a:graphicData>
            </a:graphic>
          </wp:inline>
        </w:drawing>
      </w:r>
    </w:p>
    <w:p w14:paraId="3FE6DA3C" w14:textId="45EEC28B" w:rsidR="00A70409" w:rsidRPr="00A956B3" w:rsidRDefault="00A70409" w:rsidP="00A70409">
      <w:pPr>
        <w:spacing w:after="360"/>
        <w:jc w:val="both"/>
        <w:rPr>
          <w:rFonts w:ascii="Times New Roman" w:hAnsi="Times New Roman" w:cs="Times New Roman"/>
          <w:color w:val="000000" w:themeColor="text1"/>
          <w:shd w:val="clear" w:color="auto" w:fill="FFFFFF"/>
        </w:rPr>
      </w:pPr>
      <w:r w:rsidRPr="00A956B3">
        <w:rPr>
          <w:rFonts w:ascii="Times New Roman" w:hAnsi="Times New Roman" w:cs="Times New Roman"/>
          <w:color w:val="000000" w:themeColor="text1"/>
          <w:shd w:val="clear" w:color="auto" w:fill="FFFFFF"/>
        </w:rPr>
        <w:t xml:space="preserve">Legend: </w:t>
      </w:r>
      <w:r w:rsidRPr="00A956B3">
        <w:rPr>
          <w:rFonts w:ascii="Times New Roman" w:hAnsi="Times New Roman" w:cs="Times New Roman"/>
          <w:color w:val="000000" w:themeColor="text1"/>
          <w:shd w:val="clear" w:color="auto" w:fill="FFFFFF"/>
          <w:vertAlign w:val="superscript"/>
        </w:rPr>
        <w:t>a</w:t>
      </w:r>
      <w:r w:rsidRPr="00A956B3">
        <w:rPr>
          <w:rFonts w:ascii="Times New Roman" w:hAnsi="Times New Roman" w:cs="Times New Roman"/>
          <w:color w:val="000000" w:themeColor="text1"/>
          <w:shd w:val="clear" w:color="auto" w:fill="FFFFFF"/>
        </w:rPr>
        <w:t xml:space="preserve">Participants were excluded if the child’s age was out of the window of follow-up. Other reasons for not attending the 3 and/or 5-year follow-up visits are: unable to contact (outreached without answers, contact information not valid), never show up for the scheduled visit, participant declined this follow-up but agreed to be recontacted for future assessments. </w:t>
      </w:r>
      <w:r w:rsidRPr="00A956B3">
        <w:rPr>
          <w:rFonts w:ascii="Times New Roman" w:hAnsi="Times New Roman" w:cs="Times New Roman"/>
          <w:color w:val="000000" w:themeColor="text1"/>
          <w:shd w:val="clear" w:color="auto" w:fill="FFFFFF"/>
          <w:vertAlign w:val="superscript"/>
        </w:rPr>
        <w:t>b</w:t>
      </w:r>
      <w:r w:rsidRPr="00A956B3">
        <w:rPr>
          <w:rFonts w:ascii="Times New Roman" w:hAnsi="Times New Roman" w:cs="Times New Roman"/>
          <w:color w:val="000000" w:themeColor="text1"/>
          <w:shd w:val="clear" w:color="auto" w:fill="FFFFFF"/>
        </w:rPr>
        <w:t>Identified through post-delivery self-reported questionnaires. Abbreviations: GDM, gestational diabetes mellitus; Gen3G, Genetics of glucose regulation in gestation and growth cohort; T1D, type 1 diabetes; T2D, type 2 diabetes.</w:t>
      </w:r>
    </w:p>
    <w:p w14:paraId="73AA373E" w14:textId="6416432D" w:rsidR="00A70409" w:rsidRPr="00A956B3" w:rsidRDefault="00A70409" w:rsidP="00A70409">
      <w:pPr>
        <w:spacing w:after="360"/>
        <w:jc w:val="both"/>
        <w:rPr>
          <w:rFonts w:ascii="Times New Roman" w:hAnsi="Times New Roman" w:cs="Times New Roman"/>
          <w:color w:val="000000" w:themeColor="text1"/>
          <w:shd w:val="clear" w:color="auto" w:fill="FFFFFF"/>
        </w:rPr>
      </w:pPr>
    </w:p>
    <w:p w14:paraId="451C06B7" w14:textId="5F3A6D80" w:rsidR="00A70409" w:rsidRPr="00A956B3" w:rsidRDefault="00A70409" w:rsidP="00A70409">
      <w:pPr>
        <w:spacing w:after="360"/>
        <w:jc w:val="both"/>
        <w:rPr>
          <w:rFonts w:ascii="Times New Roman" w:hAnsi="Times New Roman" w:cs="Times New Roman"/>
          <w:color w:val="000000" w:themeColor="text1"/>
          <w:shd w:val="clear" w:color="auto" w:fill="FFFFFF"/>
        </w:rPr>
      </w:pPr>
    </w:p>
    <w:p w14:paraId="5F87AB3A" w14:textId="72C0C734" w:rsidR="00A70409" w:rsidRPr="00A956B3" w:rsidRDefault="00A70409" w:rsidP="00A70409">
      <w:pPr>
        <w:spacing w:after="360"/>
        <w:jc w:val="both"/>
        <w:rPr>
          <w:rFonts w:ascii="Times New Roman" w:hAnsi="Times New Roman" w:cs="Times New Roman"/>
          <w:color w:val="000000" w:themeColor="text1"/>
          <w:shd w:val="clear" w:color="auto" w:fill="FFFFFF"/>
        </w:rPr>
      </w:pPr>
    </w:p>
    <w:p w14:paraId="68A70EBF" w14:textId="6BEDB523" w:rsidR="00A70409" w:rsidRPr="00A956B3" w:rsidRDefault="00A70409" w:rsidP="00A70409">
      <w:pPr>
        <w:spacing w:after="360"/>
        <w:jc w:val="both"/>
        <w:rPr>
          <w:rFonts w:ascii="Times New Roman" w:hAnsi="Times New Roman" w:cs="Times New Roman"/>
          <w:color w:val="000000" w:themeColor="text1"/>
          <w:shd w:val="clear" w:color="auto" w:fill="FFFFFF"/>
        </w:rPr>
      </w:pPr>
    </w:p>
    <w:p w14:paraId="194AF44E" w14:textId="6B8B2016" w:rsidR="00A70409" w:rsidRPr="00A956B3" w:rsidRDefault="00A70409" w:rsidP="00A70409">
      <w:pPr>
        <w:spacing w:after="360"/>
        <w:jc w:val="both"/>
        <w:rPr>
          <w:rFonts w:ascii="Times New Roman" w:hAnsi="Times New Roman" w:cs="Times New Roman"/>
          <w:color w:val="000000" w:themeColor="text1"/>
          <w:shd w:val="clear" w:color="auto" w:fill="FFFFFF"/>
        </w:rPr>
      </w:pPr>
    </w:p>
    <w:p w14:paraId="535ADE55" w14:textId="77777777" w:rsidR="00A70409" w:rsidRPr="00A956B3" w:rsidRDefault="00A70409" w:rsidP="00A70409">
      <w:pPr>
        <w:spacing w:after="360"/>
        <w:jc w:val="both"/>
        <w:rPr>
          <w:rFonts w:ascii="Times New Roman" w:hAnsi="Times New Roman" w:cs="Times New Roman"/>
          <w:color w:val="000000" w:themeColor="text1"/>
          <w:shd w:val="clear" w:color="auto" w:fill="FFFFFF"/>
        </w:rPr>
      </w:pPr>
    </w:p>
    <w:p w14:paraId="6EE43E65" w14:textId="77777777" w:rsidR="00A70409" w:rsidRPr="00A956B3" w:rsidRDefault="00A70409" w:rsidP="00F20834">
      <w:pPr>
        <w:jc w:val="both"/>
        <w:rPr>
          <w:rFonts w:ascii="Times New Roman" w:hAnsi="Times New Roman" w:cs="Times New Roman"/>
          <w:b/>
          <w:color w:val="000000" w:themeColor="text1"/>
        </w:rPr>
      </w:pPr>
    </w:p>
    <w:p w14:paraId="1035598E" w14:textId="164EFA47" w:rsidR="00F20834" w:rsidRPr="00A956B3" w:rsidRDefault="00F20834" w:rsidP="00F20834">
      <w:pPr>
        <w:jc w:val="both"/>
        <w:rPr>
          <w:rFonts w:ascii="Times New Roman" w:hAnsi="Times New Roman" w:cs="Times New Roman"/>
          <w:bCs/>
          <w:color w:val="000000" w:themeColor="text1"/>
        </w:rPr>
      </w:pPr>
      <w:r w:rsidRPr="00A956B3">
        <w:rPr>
          <w:rFonts w:ascii="Times New Roman" w:hAnsi="Times New Roman" w:cs="Times New Roman"/>
          <w:b/>
          <w:color w:val="000000" w:themeColor="text1"/>
        </w:rPr>
        <w:lastRenderedPageBreak/>
        <w:t xml:space="preserve">Supplementary </w:t>
      </w:r>
      <w:r w:rsidR="001D4357" w:rsidRPr="00A956B3">
        <w:rPr>
          <w:rFonts w:ascii="Times New Roman" w:hAnsi="Times New Roman" w:cs="Times New Roman"/>
          <w:b/>
          <w:color w:val="000000" w:themeColor="text1"/>
        </w:rPr>
        <w:t>F</w:t>
      </w:r>
      <w:r w:rsidRPr="00A956B3">
        <w:rPr>
          <w:rFonts w:ascii="Times New Roman" w:hAnsi="Times New Roman" w:cs="Times New Roman"/>
          <w:b/>
          <w:color w:val="000000" w:themeColor="text1"/>
        </w:rPr>
        <w:t xml:space="preserve">igure </w:t>
      </w:r>
      <w:r w:rsidR="001D4357" w:rsidRPr="00A956B3">
        <w:rPr>
          <w:rFonts w:ascii="Times New Roman" w:hAnsi="Times New Roman" w:cs="Times New Roman"/>
          <w:b/>
          <w:color w:val="000000" w:themeColor="text1"/>
        </w:rPr>
        <w:t>2</w:t>
      </w:r>
      <w:r w:rsidRPr="00A956B3">
        <w:rPr>
          <w:rFonts w:ascii="Times New Roman" w:hAnsi="Times New Roman" w:cs="Times New Roman"/>
          <w:b/>
          <w:color w:val="000000" w:themeColor="text1"/>
        </w:rPr>
        <w:t xml:space="preserve">. </w:t>
      </w:r>
      <w:r w:rsidRPr="00A956B3">
        <w:rPr>
          <w:rFonts w:ascii="Times New Roman" w:hAnsi="Times New Roman" w:cs="Times New Roman"/>
          <w:bCs/>
          <w:color w:val="000000" w:themeColor="text1"/>
        </w:rPr>
        <w:t>Variable’s importance measured by mean decreased Gini impurity index across 5-fold cross-validation for the full models.</w:t>
      </w:r>
    </w:p>
    <w:p w14:paraId="69B95DD9" w14:textId="77777777" w:rsidR="00F20834" w:rsidRPr="00A956B3" w:rsidRDefault="00F20834" w:rsidP="00F20834">
      <w:pPr>
        <w:jc w:val="both"/>
        <w:rPr>
          <w:rFonts w:ascii="Times New Roman" w:hAnsi="Times New Roman" w:cs="Times New Roman"/>
          <w:bCs/>
          <w:color w:val="000000" w:themeColor="text1"/>
        </w:rPr>
      </w:pPr>
    </w:p>
    <w:p w14:paraId="07522FB1" w14:textId="5BF06234" w:rsidR="00F20834" w:rsidRPr="00A956B3" w:rsidRDefault="007D3FF0" w:rsidP="00F20834">
      <w:pPr>
        <w:spacing w:line="480" w:lineRule="auto"/>
        <w:jc w:val="center"/>
        <w:rPr>
          <w:rFonts w:ascii="Times New Roman" w:hAnsi="Times New Roman" w:cs="Times New Roman"/>
          <w:bCs/>
          <w:color w:val="000000" w:themeColor="text1"/>
        </w:rPr>
      </w:pPr>
      <w:r w:rsidRPr="00A956B3">
        <w:rPr>
          <w:rFonts w:ascii="Times New Roman" w:hAnsi="Times New Roman" w:cs="Times New Roman"/>
          <w:bCs/>
          <w:noProof/>
          <w:color w:val="000000" w:themeColor="text1"/>
        </w:rPr>
        <w:drawing>
          <wp:inline distT="0" distB="0" distL="0" distR="0" wp14:anchorId="2FF45642" wp14:editId="1AAFECEC">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76FC5551" w14:textId="0F713502" w:rsidR="00F20834" w:rsidRPr="00A956B3" w:rsidRDefault="00F20834" w:rsidP="00F20834">
      <w:pPr>
        <w:jc w:val="both"/>
        <w:rPr>
          <w:rFonts w:ascii="Times New Roman" w:hAnsi="Times New Roman" w:cs="Times New Roman"/>
          <w:bCs/>
          <w:color w:val="000000" w:themeColor="text1"/>
        </w:rPr>
      </w:pPr>
      <w:r w:rsidRPr="00A956B3">
        <w:rPr>
          <w:rFonts w:ascii="Times New Roman" w:hAnsi="Times New Roman" w:cs="Times New Roman"/>
          <w:bCs/>
          <w:color w:val="000000" w:themeColor="text1"/>
        </w:rPr>
        <w:t xml:space="preserve">Legend: Heatmap displays the mean decreased Gini impurity values for the 15 predictors across the five-fold of cross-validation. Color intensity reflects the relative importance of each variable within each fold, as measured by mean decreased Gini impurity (darker color indicates variables with higher importance). Abbreviations: BMI, body mass index; GDM, gestational diabetes mellitus; PCOS, polycystic ovarian syndrome; T2D, type 2 diabetes. </w:t>
      </w:r>
    </w:p>
    <w:p w14:paraId="11CA7016" w14:textId="1E3AAFB2" w:rsidR="00F20834" w:rsidRPr="00A956B3" w:rsidRDefault="00F20834" w:rsidP="000A2353">
      <w:pPr>
        <w:jc w:val="both"/>
        <w:rPr>
          <w:rFonts w:ascii="Times New Roman" w:hAnsi="Times New Roman" w:cs="Times New Roman"/>
          <w:b/>
          <w:color w:val="000000" w:themeColor="text1"/>
        </w:rPr>
      </w:pPr>
    </w:p>
    <w:p w14:paraId="4C72FFE1" w14:textId="77777777" w:rsidR="00F20834" w:rsidRPr="00A956B3" w:rsidRDefault="00F20834" w:rsidP="000A2353">
      <w:pPr>
        <w:jc w:val="both"/>
        <w:rPr>
          <w:rFonts w:ascii="Times New Roman" w:hAnsi="Times New Roman" w:cs="Times New Roman"/>
          <w:b/>
          <w:color w:val="000000" w:themeColor="text1"/>
        </w:rPr>
      </w:pPr>
    </w:p>
    <w:p w14:paraId="2F890A1D" w14:textId="77777777" w:rsidR="007E5BBF" w:rsidRPr="00A956B3" w:rsidRDefault="007E5BBF" w:rsidP="000A2353">
      <w:pPr>
        <w:jc w:val="both"/>
        <w:rPr>
          <w:rFonts w:ascii="Times New Roman" w:hAnsi="Times New Roman" w:cs="Times New Roman"/>
          <w:b/>
          <w:color w:val="000000" w:themeColor="text1"/>
        </w:rPr>
      </w:pPr>
    </w:p>
    <w:p w14:paraId="6B14E10E" w14:textId="77777777" w:rsidR="007D3FF0" w:rsidRPr="00A956B3" w:rsidRDefault="007D3FF0" w:rsidP="00F20834">
      <w:pPr>
        <w:jc w:val="both"/>
        <w:rPr>
          <w:rFonts w:ascii="Times New Roman" w:hAnsi="Times New Roman" w:cs="Times New Roman"/>
          <w:b/>
          <w:color w:val="000000" w:themeColor="text1"/>
        </w:rPr>
      </w:pPr>
      <w:r w:rsidRPr="00A956B3">
        <w:rPr>
          <w:rFonts w:ascii="Times New Roman" w:hAnsi="Times New Roman" w:cs="Times New Roman"/>
          <w:b/>
          <w:color w:val="000000" w:themeColor="text1"/>
        </w:rPr>
        <w:br w:type="page"/>
      </w:r>
    </w:p>
    <w:p w14:paraId="3900BF61" w14:textId="5808F7BD" w:rsidR="00F20834" w:rsidRPr="00A956B3" w:rsidRDefault="00F20834" w:rsidP="00F20834">
      <w:pPr>
        <w:jc w:val="both"/>
        <w:rPr>
          <w:rFonts w:ascii="Times New Roman" w:hAnsi="Times New Roman" w:cs="Times New Roman"/>
          <w:bCs/>
          <w:color w:val="000000" w:themeColor="text1"/>
        </w:rPr>
      </w:pPr>
      <w:r w:rsidRPr="00A956B3">
        <w:rPr>
          <w:rFonts w:ascii="Times New Roman" w:hAnsi="Times New Roman" w:cs="Times New Roman"/>
          <w:b/>
          <w:color w:val="000000" w:themeColor="text1"/>
        </w:rPr>
        <w:lastRenderedPageBreak/>
        <w:t xml:space="preserve">Supplementary Table 5. </w:t>
      </w:r>
      <w:r w:rsidRPr="00A956B3">
        <w:rPr>
          <w:rFonts w:ascii="Times New Roman" w:hAnsi="Times New Roman" w:cs="Times New Roman"/>
          <w:bCs/>
          <w:color w:val="000000" w:themeColor="text1"/>
        </w:rPr>
        <w:t>Regression coefficients of the final LASSO regression model for predicting prediabetes/T2D development five years after delivery, fitted using the entire Gen3G dataset</w:t>
      </w:r>
    </w:p>
    <w:tbl>
      <w:tblPr>
        <w:tblStyle w:val="TableGrid"/>
        <w:tblW w:w="0" w:type="auto"/>
        <w:tblLook w:val="04A0" w:firstRow="1" w:lastRow="0" w:firstColumn="1" w:lastColumn="0" w:noHBand="0" w:noVBand="1"/>
      </w:tblPr>
      <w:tblGrid>
        <w:gridCol w:w="7188"/>
        <w:gridCol w:w="2162"/>
      </w:tblGrid>
      <w:tr w:rsidR="00A956B3" w:rsidRPr="00A956B3" w14:paraId="4FFF16B8" w14:textId="77777777" w:rsidTr="00861F82">
        <w:tc>
          <w:tcPr>
            <w:tcW w:w="7188" w:type="dxa"/>
          </w:tcPr>
          <w:p w14:paraId="6CBAB178" w14:textId="77777777" w:rsidR="00F20834" w:rsidRPr="00A956B3" w:rsidRDefault="00F20834" w:rsidP="00861F82">
            <w:pPr>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Variable</w:t>
            </w:r>
          </w:p>
        </w:tc>
        <w:tc>
          <w:tcPr>
            <w:tcW w:w="2162" w:type="dxa"/>
          </w:tcPr>
          <w:p w14:paraId="51374280" w14:textId="77777777" w:rsidR="00F20834" w:rsidRPr="00A956B3" w:rsidRDefault="00F20834" w:rsidP="00861F82">
            <w:pPr>
              <w:jc w:val="both"/>
              <w:rPr>
                <w:rFonts w:ascii="Times New Roman" w:hAnsi="Times New Roman" w:cs="Times New Roman"/>
                <w:bCs/>
                <w:color w:val="000000" w:themeColor="text1"/>
                <w:sz w:val="20"/>
                <w:szCs w:val="20"/>
              </w:rPr>
            </w:pPr>
            <w:proofErr w:type="spellStart"/>
            <w:r w:rsidRPr="00A956B3">
              <w:rPr>
                <w:rFonts w:ascii="Times New Roman" w:hAnsi="Times New Roman" w:cs="Times New Roman"/>
                <w:bCs/>
                <w:color w:val="000000" w:themeColor="text1"/>
                <w:sz w:val="20"/>
                <w:szCs w:val="20"/>
              </w:rPr>
              <w:t>Regression</w:t>
            </w:r>
            <w:proofErr w:type="spellEnd"/>
            <w:r w:rsidRPr="00A956B3">
              <w:rPr>
                <w:rFonts w:ascii="Times New Roman" w:hAnsi="Times New Roman" w:cs="Times New Roman"/>
                <w:bCs/>
                <w:color w:val="000000" w:themeColor="text1"/>
                <w:sz w:val="20"/>
                <w:szCs w:val="20"/>
              </w:rPr>
              <w:t xml:space="preserve"> Coefficient</w:t>
            </w:r>
          </w:p>
        </w:tc>
      </w:tr>
      <w:tr w:rsidR="00A956B3" w:rsidRPr="00A956B3" w14:paraId="22C67674" w14:textId="77777777" w:rsidTr="00861F82">
        <w:tc>
          <w:tcPr>
            <w:tcW w:w="7188" w:type="dxa"/>
          </w:tcPr>
          <w:p w14:paraId="0817721B" w14:textId="77777777" w:rsidR="00F20834" w:rsidRPr="00A956B3" w:rsidRDefault="00F20834" w:rsidP="00861F82">
            <w:pPr>
              <w:jc w:val="both"/>
              <w:rPr>
                <w:rFonts w:ascii="Times New Roman" w:hAnsi="Times New Roman" w:cs="Times New Roman"/>
                <w:bCs/>
                <w:color w:val="000000" w:themeColor="text1"/>
                <w:sz w:val="20"/>
                <w:szCs w:val="20"/>
              </w:rPr>
            </w:pPr>
            <w:proofErr w:type="spellStart"/>
            <w:r w:rsidRPr="00A956B3">
              <w:rPr>
                <w:rFonts w:ascii="Times New Roman" w:hAnsi="Times New Roman" w:cs="Times New Roman"/>
                <w:bCs/>
                <w:color w:val="000000" w:themeColor="text1"/>
                <w:sz w:val="20"/>
                <w:szCs w:val="20"/>
              </w:rPr>
              <w:t>Intercept</w:t>
            </w:r>
            <w:proofErr w:type="spellEnd"/>
          </w:p>
        </w:tc>
        <w:tc>
          <w:tcPr>
            <w:tcW w:w="2162" w:type="dxa"/>
          </w:tcPr>
          <w:p w14:paraId="06812072" w14:textId="77777777" w:rsidR="00F20834" w:rsidRPr="00A956B3" w:rsidRDefault="00F20834" w:rsidP="00861F82">
            <w:pPr>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-4.4008</w:t>
            </w:r>
          </w:p>
        </w:tc>
      </w:tr>
      <w:tr w:rsidR="00A956B3" w:rsidRPr="00A956B3" w14:paraId="7EE01CC0" w14:textId="77777777" w:rsidTr="00861F82">
        <w:tc>
          <w:tcPr>
            <w:tcW w:w="7188" w:type="dxa"/>
          </w:tcPr>
          <w:p w14:paraId="32BB0D18" w14:textId="77777777" w:rsidR="00F20834" w:rsidRPr="00A956B3" w:rsidRDefault="00F20834" w:rsidP="00861F82">
            <w:pPr>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4-level GDM</w:t>
            </w:r>
          </w:p>
        </w:tc>
        <w:tc>
          <w:tcPr>
            <w:tcW w:w="2162" w:type="dxa"/>
          </w:tcPr>
          <w:p w14:paraId="4CF21A19" w14:textId="77777777" w:rsidR="00F20834" w:rsidRPr="00A956B3" w:rsidRDefault="00F20834" w:rsidP="00861F82">
            <w:pPr>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1.0046</w:t>
            </w:r>
          </w:p>
        </w:tc>
      </w:tr>
      <w:tr w:rsidR="00A956B3" w:rsidRPr="00A956B3" w14:paraId="7A8C628A" w14:textId="77777777" w:rsidTr="00861F82">
        <w:tc>
          <w:tcPr>
            <w:tcW w:w="7188" w:type="dxa"/>
          </w:tcPr>
          <w:p w14:paraId="76BBF2A0" w14:textId="77777777" w:rsidR="00F20834" w:rsidRPr="00A956B3" w:rsidRDefault="00F20834" w:rsidP="00861F82">
            <w:pPr>
              <w:jc w:val="both"/>
              <w:rPr>
                <w:rFonts w:ascii="Times New Roman" w:hAnsi="Times New Roman" w:cs="Times New Roman"/>
                <w:bCs/>
                <w:color w:val="000000" w:themeColor="text1"/>
                <w:sz w:val="20"/>
                <w:szCs w:val="20"/>
              </w:rPr>
            </w:pPr>
            <w:proofErr w:type="spellStart"/>
            <w:r w:rsidRPr="00A956B3">
              <w:rPr>
                <w:rFonts w:ascii="Times New Roman" w:hAnsi="Times New Roman" w:cs="Times New Roman"/>
                <w:bCs/>
                <w:color w:val="000000" w:themeColor="text1"/>
                <w:sz w:val="20"/>
                <w:szCs w:val="20"/>
              </w:rPr>
              <w:t>Pre-gestational</w:t>
            </w:r>
            <w:proofErr w:type="spellEnd"/>
            <w:r w:rsidRPr="00A956B3">
              <w:rPr>
                <w:rFonts w:ascii="Times New Roman" w:hAnsi="Times New Roman" w:cs="Times New Roman"/>
                <w:bCs/>
                <w:color w:val="000000" w:themeColor="text1"/>
                <w:sz w:val="20"/>
                <w:szCs w:val="20"/>
              </w:rPr>
              <w:t xml:space="preserve"> BMI</w:t>
            </w:r>
          </w:p>
        </w:tc>
        <w:tc>
          <w:tcPr>
            <w:tcW w:w="2162" w:type="dxa"/>
          </w:tcPr>
          <w:p w14:paraId="2357CE27" w14:textId="77777777" w:rsidR="00F20834" w:rsidRPr="00A956B3" w:rsidRDefault="00F20834" w:rsidP="00861F82">
            <w:pPr>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0.0463</w:t>
            </w:r>
          </w:p>
        </w:tc>
      </w:tr>
      <w:tr w:rsidR="00A956B3" w:rsidRPr="00A956B3" w14:paraId="45CC8E12" w14:textId="77777777" w:rsidTr="00861F82">
        <w:tc>
          <w:tcPr>
            <w:tcW w:w="7188" w:type="dxa"/>
          </w:tcPr>
          <w:p w14:paraId="76AD470F" w14:textId="77777777" w:rsidR="00F20834" w:rsidRPr="00A956B3" w:rsidRDefault="00F20834" w:rsidP="00861F82">
            <w:pPr>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Age</w:t>
            </w:r>
          </w:p>
        </w:tc>
        <w:tc>
          <w:tcPr>
            <w:tcW w:w="2162" w:type="dxa"/>
          </w:tcPr>
          <w:p w14:paraId="708BFF43" w14:textId="77777777" w:rsidR="00F20834" w:rsidRPr="00A956B3" w:rsidRDefault="00F20834" w:rsidP="00861F82">
            <w:pPr>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0.0312</w:t>
            </w:r>
          </w:p>
        </w:tc>
      </w:tr>
      <w:tr w:rsidR="00A956B3" w:rsidRPr="00A956B3" w14:paraId="2D650C0C" w14:textId="77777777" w:rsidTr="00861F82">
        <w:tc>
          <w:tcPr>
            <w:tcW w:w="7188" w:type="dxa"/>
          </w:tcPr>
          <w:p w14:paraId="5373358F" w14:textId="77777777" w:rsidR="00F20834" w:rsidRPr="00A956B3" w:rsidRDefault="00F20834" w:rsidP="00861F82">
            <w:pPr>
              <w:jc w:val="both"/>
              <w:rPr>
                <w:rFonts w:ascii="Times New Roman" w:hAnsi="Times New Roman" w:cs="Times New Roman"/>
                <w:bCs/>
                <w:color w:val="000000" w:themeColor="text1"/>
                <w:sz w:val="20"/>
                <w:szCs w:val="20"/>
              </w:rPr>
            </w:pPr>
            <w:proofErr w:type="spellStart"/>
            <w:r w:rsidRPr="00A956B3">
              <w:rPr>
                <w:rFonts w:ascii="Times New Roman" w:hAnsi="Times New Roman" w:cs="Times New Roman"/>
                <w:bCs/>
                <w:color w:val="000000" w:themeColor="text1"/>
                <w:sz w:val="20"/>
                <w:szCs w:val="20"/>
              </w:rPr>
              <w:t>Gestational</w:t>
            </w:r>
            <w:proofErr w:type="spellEnd"/>
            <w:r w:rsidRPr="00A956B3">
              <w:rPr>
                <w:rFonts w:ascii="Times New Roman" w:hAnsi="Times New Roman" w:cs="Times New Roman"/>
                <w:bCs/>
                <w:color w:val="000000" w:themeColor="text1"/>
                <w:sz w:val="20"/>
                <w:szCs w:val="20"/>
              </w:rPr>
              <w:t xml:space="preserve"> </w:t>
            </w:r>
            <w:proofErr w:type="spellStart"/>
            <w:r w:rsidRPr="00A956B3">
              <w:rPr>
                <w:rFonts w:ascii="Times New Roman" w:hAnsi="Times New Roman" w:cs="Times New Roman"/>
                <w:bCs/>
                <w:color w:val="000000" w:themeColor="text1"/>
                <w:sz w:val="20"/>
                <w:szCs w:val="20"/>
              </w:rPr>
              <w:t>weight</w:t>
            </w:r>
            <w:proofErr w:type="spellEnd"/>
            <w:r w:rsidRPr="00A956B3">
              <w:rPr>
                <w:rFonts w:ascii="Times New Roman" w:hAnsi="Times New Roman" w:cs="Times New Roman"/>
                <w:bCs/>
                <w:color w:val="000000" w:themeColor="text1"/>
                <w:sz w:val="20"/>
                <w:szCs w:val="20"/>
              </w:rPr>
              <w:t xml:space="preserve"> gain</w:t>
            </w:r>
          </w:p>
        </w:tc>
        <w:tc>
          <w:tcPr>
            <w:tcW w:w="2162" w:type="dxa"/>
          </w:tcPr>
          <w:p w14:paraId="05DA93CE" w14:textId="40A54F48" w:rsidR="00F20834" w:rsidRPr="00A956B3" w:rsidRDefault="00F20834" w:rsidP="00861F82">
            <w:pPr>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-0.0</w:t>
            </w:r>
            <w:r w:rsidR="00D12870" w:rsidRPr="00A956B3">
              <w:rPr>
                <w:rFonts w:ascii="Times New Roman" w:hAnsi="Times New Roman" w:cs="Times New Roman"/>
                <w:bCs/>
                <w:color w:val="000000" w:themeColor="text1"/>
                <w:sz w:val="20"/>
                <w:szCs w:val="20"/>
              </w:rPr>
              <w:t>204</w:t>
            </w:r>
          </w:p>
        </w:tc>
      </w:tr>
    </w:tbl>
    <w:p w14:paraId="188BE368" w14:textId="77777777" w:rsidR="00F20834" w:rsidRPr="00A956B3" w:rsidRDefault="00F20834" w:rsidP="00F20834">
      <w:pPr>
        <w:jc w:val="both"/>
        <w:rPr>
          <w:rFonts w:ascii="Times New Roman" w:hAnsi="Times New Roman" w:cs="Times New Roman"/>
          <w:bCs/>
          <w:color w:val="000000" w:themeColor="text1"/>
          <w:sz w:val="20"/>
          <w:szCs w:val="20"/>
        </w:rPr>
      </w:pPr>
      <w:r w:rsidRPr="00A956B3">
        <w:rPr>
          <w:rFonts w:ascii="Times New Roman" w:hAnsi="Times New Roman" w:cs="Times New Roman"/>
          <w:bCs/>
          <w:color w:val="000000" w:themeColor="text1"/>
          <w:sz w:val="20"/>
          <w:szCs w:val="20"/>
        </w:rPr>
        <w:t xml:space="preserve">Note: Abbreviations: BMI, body mass index; GDM, gestational diabetes mellitus. </w:t>
      </w:r>
    </w:p>
    <w:p w14:paraId="3D03864B" w14:textId="77777777" w:rsidR="00B4106B" w:rsidRPr="00A956B3" w:rsidRDefault="00B4106B" w:rsidP="00B4106B">
      <w:pPr>
        <w:spacing w:line="480" w:lineRule="auto"/>
        <w:contextualSpacing/>
        <w:jc w:val="both"/>
        <w:rPr>
          <w:rFonts w:ascii="Times New Roman" w:hAnsi="Times New Roman" w:cs="Times New Roman"/>
          <w:color w:val="000000" w:themeColor="text1"/>
          <w:lang w:val="fr-CA"/>
        </w:rPr>
      </w:pPr>
    </w:p>
    <w:p w14:paraId="7E15A81A" w14:textId="4BE7AC41" w:rsidR="00C075E3" w:rsidRPr="00A956B3" w:rsidRDefault="00C075E3" w:rsidP="00B4106B">
      <w:pPr>
        <w:spacing w:line="480" w:lineRule="auto"/>
        <w:contextualSpacing/>
        <w:jc w:val="both"/>
        <w:rPr>
          <w:rFonts w:ascii="Times New Roman" w:hAnsi="Times New Roman" w:cs="Times New Roman"/>
          <w:i/>
          <w:iCs/>
          <w:color w:val="000000" w:themeColor="text1"/>
        </w:rPr>
      </w:pPr>
      <w:r w:rsidRPr="00A956B3">
        <w:rPr>
          <w:rFonts w:ascii="Times New Roman" w:hAnsi="Times New Roman" w:cs="Times New Roman"/>
          <w:i/>
          <w:iCs/>
          <w:color w:val="000000" w:themeColor="text1"/>
        </w:rPr>
        <w:br w:type="page"/>
      </w:r>
    </w:p>
    <w:p w14:paraId="1573B5F6" w14:textId="77777777" w:rsidR="00F20834" w:rsidRPr="00A956B3" w:rsidRDefault="00F20834" w:rsidP="00F20834">
      <w:pPr>
        <w:spacing w:line="480" w:lineRule="auto"/>
        <w:contextualSpacing/>
        <w:jc w:val="both"/>
        <w:rPr>
          <w:rFonts w:ascii="Times New Roman" w:hAnsi="Times New Roman" w:cs="Times New Roman"/>
          <w:b/>
          <w:color w:val="000000" w:themeColor="text1"/>
        </w:rPr>
      </w:pPr>
      <w:r w:rsidRPr="00A956B3">
        <w:rPr>
          <w:rFonts w:ascii="Times New Roman" w:hAnsi="Times New Roman" w:cs="Times New Roman"/>
          <w:b/>
          <w:color w:val="000000" w:themeColor="text1"/>
        </w:rPr>
        <w:lastRenderedPageBreak/>
        <w:t>Candidate predictors</w:t>
      </w:r>
    </w:p>
    <w:p w14:paraId="46DFFB3F" w14:textId="77777777" w:rsidR="00F20834" w:rsidRPr="00A956B3" w:rsidRDefault="00F20834" w:rsidP="00F20834">
      <w:pPr>
        <w:spacing w:line="480" w:lineRule="auto"/>
        <w:contextualSpacing/>
        <w:jc w:val="both"/>
        <w:rPr>
          <w:rFonts w:ascii="Times New Roman" w:hAnsi="Times New Roman" w:cs="Times New Roman"/>
          <w:bCs/>
          <w:i/>
          <w:iCs/>
          <w:color w:val="000000" w:themeColor="text1"/>
        </w:rPr>
      </w:pPr>
      <w:r w:rsidRPr="00A956B3">
        <w:rPr>
          <w:rFonts w:ascii="Times New Roman" w:hAnsi="Times New Roman" w:cs="Times New Roman"/>
          <w:bCs/>
          <w:i/>
          <w:iCs/>
          <w:color w:val="000000" w:themeColor="text1"/>
        </w:rPr>
        <w:t>Demographic and social factors</w:t>
      </w:r>
    </w:p>
    <w:p w14:paraId="19B67D53" w14:textId="145C75DE" w:rsidR="00F20834" w:rsidRPr="00A956B3" w:rsidRDefault="00F20834" w:rsidP="00F20834">
      <w:pPr>
        <w:spacing w:line="480" w:lineRule="auto"/>
        <w:ind w:firstLine="708"/>
        <w:contextualSpacing/>
        <w:jc w:val="both"/>
        <w:rPr>
          <w:rFonts w:ascii="Times New Roman" w:hAnsi="Times New Roman" w:cs="Times New Roman"/>
          <w:bCs/>
          <w:color w:val="000000" w:themeColor="text1"/>
        </w:rPr>
      </w:pPr>
      <w:r w:rsidRPr="00A956B3">
        <w:rPr>
          <w:rFonts w:ascii="Times New Roman" w:hAnsi="Times New Roman" w:cs="Times New Roman"/>
          <w:bCs/>
          <w:color w:val="000000" w:themeColor="text1"/>
        </w:rPr>
        <w:t xml:space="preserve">Participating women reported their age, smoking status, </w:t>
      </w:r>
      <w:proofErr w:type="gramStart"/>
      <w:r w:rsidRPr="00A956B3">
        <w:rPr>
          <w:rFonts w:ascii="Times New Roman" w:hAnsi="Times New Roman" w:cs="Times New Roman"/>
          <w:bCs/>
          <w:color w:val="000000" w:themeColor="text1"/>
        </w:rPr>
        <w:t>race</w:t>
      </w:r>
      <w:proofErr w:type="gramEnd"/>
      <w:r w:rsidRPr="00A956B3">
        <w:rPr>
          <w:rFonts w:ascii="Times New Roman" w:hAnsi="Times New Roman" w:cs="Times New Roman"/>
          <w:bCs/>
          <w:color w:val="000000" w:themeColor="text1"/>
        </w:rPr>
        <w:t xml:space="preserve"> and ethnicity during the index pregnancy in both cohorts. In Project Viva, participants reported their educational level during the first trimester antenatal visit. Gen3G assessed maternal education at the </w:t>
      </w:r>
      <w:r w:rsidR="00CB6522" w:rsidRPr="00A956B3">
        <w:rPr>
          <w:rFonts w:ascii="Times New Roman" w:hAnsi="Times New Roman" w:cs="Times New Roman"/>
          <w:bCs/>
          <w:color w:val="000000" w:themeColor="text1"/>
        </w:rPr>
        <w:t>3</w:t>
      </w:r>
      <w:r w:rsidRPr="00A956B3">
        <w:rPr>
          <w:rFonts w:ascii="Times New Roman" w:hAnsi="Times New Roman" w:cs="Times New Roman"/>
          <w:bCs/>
          <w:color w:val="000000" w:themeColor="text1"/>
        </w:rPr>
        <w:t xml:space="preserve">-year and </w:t>
      </w:r>
      <w:r w:rsidR="00CB6522" w:rsidRPr="00A956B3">
        <w:rPr>
          <w:rFonts w:ascii="Times New Roman" w:hAnsi="Times New Roman" w:cs="Times New Roman"/>
          <w:bCs/>
          <w:color w:val="000000" w:themeColor="text1"/>
        </w:rPr>
        <w:t>5</w:t>
      </w:r>
      <w:r w:rsidRPr="00A956B3">
        <w:rPr>
          <w:rFonts w:ascii="Times New Roman" w:hAnsi="Times New Roman" w:cs="Times New Roman"/>
          <w:bCs/>
          <w:color w:val="000000" w:themeColor="text1"/>
        </w:rPr>
        <w:t xml:space="preserve">-year follow-up visits; we prioritized the response at the </w:t>
      </w:r>
      <w:r w:rsidR="00CB6522" w:rsidRPr="00A956B3">
        <w:rPr>
          <w:rFonts w:ascii="Times New Roman" w:hAnsi="Times New Roman" w:cs="Times New Roman"/>
          <w:bCs/>
          <w:color w:val="000000" w:themeColor="text1"/>
        </w:rPr>
        <w:t>3</w:t>
      </w:r>
      <w:r w:rsidRPr="00A956B3">
        <w:rPr>
          <w:rFonts w:ascii="Times New Roman" w:hAnsi="Times New Roman" w:cs="Times New Roman"/>
          <w:bCs/>
          <w:color w:val="000000" w:themeColor="text1"/>
        </w:rPr>
        <w:t>-year visit, or if unavailable (n=73), we used the response at the</w:t>
      </w:r>
      <w:r w:rsidR="00CB6522" w:rsidRPr="00A956B3">
        <w:rPr>
          <w:rFonts w:ascii="Times New Roman" w:hAnsi="Times New Roman" w:cs="Times New Roman"/>
          <w:bCs/>
          <w:color w:val="000000" w:themeColor="text1"/>
        </w:rPr>
        <w:t xml:space="preserve"> 5</w:t>
      </w:r>
      <w:r w:rsidRPr="00A956B3">
        <w:rPr>
          <w:rFonts w:ascii="Times New Roman" w:hAnsi="Times New Roman" w:cs="Times New Roman"/>
          <w:bCs/>
          <w:color w:val="000000" w:themeColor="text1"/>
        </w:rPr>
        <w:t xml:space="preserve">-year visit. </w:t>
      </w:r>
    </w:p>
    <w:p w14:paraId="08F2A00A" w14:textId="77777777" w:rsidR="00F20834" w:rsidRPr="00A956B3" w:rsidRDefault="00F20834" w:rsidP="00F20834">
      <w:pPr>
        <w:spacing w:line="480" w:lineRule="auto"/>
        <w:contextualSpacing/>
        <w:jc w:val="both"/>
        <w:rPr>
          <w:rFonts w:ascii="Times New Roman" w:hAnsi="Times New Roman" w:cs="Times New Roman"/>
          <w:bCs/>
          <w:i/>
          <w:iCs/>
          <w:color w:val="000000" w:themeColor="text1"/>
        </w:rPr>
      </w:pPr>
    </w:p>
    <w:p w14:paraId="5EF24CAA" w14:textId="77777777" w:rsidR="00F20834" w:rsidRPr="00A956B3" w:rsidRDefault="00F20834" w:rsidP="00F20834">
      <w:pPr>
        <w:spacing w:line="480" w:lineRule="auto"/>
        <w:contextualSpacing/>
        <w:jc w:val="both"/>
        <w:rPr>
          <w:rFonts w:ascii="Times New Roman" w:hAnsi="Times New Roman" w:cs="Times New Roman"/>
          <w:bCs/>
          <w:i/>
          <w:iCs/>
          <w:color w:val="000000" w:themeColor="text1"/>
        </w:rPr>
      </w:pPr>
      <w:r w:rsidRPr="00A956B3">
        <w:rPr>
          <w:rFonts w:ascii="Times New Roman" w:hAnsi="Times New Roman" w:cs="Times New Roman"/>
          <w:bCs/>
          <w:i/>
          <w:iCs/>
          <w:color w:val="000000" w:themeColor="text1"/>
        </w:rPr>
        <w:t>Medical history</w:t>
      </w:r>
    </w:p>
    <w:p w14:paraId="1073F5F8" w14:textId="77777777" w:rsidR="00F20834" w:rsidRPr="00A956B3" w:rsidRDefault="00F20834" w:rsidP="00F20834">
      <w:pPr>
        <w:spacing w:line="480" w:lineRule="auto"/>
        <w:ind w:firstLine="708"/>
        <w:contextualSpacing/>
        <w:jc w:val="both"/>
        <w:rPr>
          <w:rFonts w:ascii="Times New Roman" w:hAnsi="Times New Roman" w:cs="Times New Roman"/>
          <w:bCs/>
          <w:color w:val="000000" w:themeColor="text1"/>
        </w:rPr>
      </w:pPr>
      <w:r w:rsidRPr="00A956B3">
        <w:rPr>
          <w:rFonts w:ascii="Times New Roman" w:hAnsi="Times New Roman" w:cs="Times New Roman"/>
          <w:bCs/>
          <w:color w:val="000000" w:themeColor="text1"/>
        </w:rPr>
        <w:t xml:space="preserve">For medical history, we considered a positive family history of T2D, a previous diagnosis of polycystic ovary syndrome (PCOS), and a previous diagnosis of either GDM or macrosomia antecedent to the index pregnancy (assessed jointly in the Gen3G questionnaire) as candidate predictors. Medical history in Gen3G was reported by the participant during the first trimester of pregnancy. </w:t>
      </w:r>
    </w:p>
    <w:p w14:paraId="4BAFE743" w14:textId="019F03B0" w:rsidR="00F20834" w:rsidRPr="00A956B3" w:rsidRDefault="00F20834" w:rsidP="00F20834">
      <w:pPr>
        <w:spacing w:line="480" w:lineRule="auto"/>
        <w:ind w:firstLine="708"/>
        <w:contextualSpacing/>
        <w:jc w:val="both"/>
        <w:rPr>
          <w:rFonts w:ascii="Times New Roman" w:hAnsi="Times New Roman" w:cs="Times New Roman"/>
          <w:bCs/>
          <w:color w:val="000000" w:themeColor="text1"/>
        </w:rPr>
      </w:pPr>
      <w:r w:rsidRPr="00A956B3">
        <w:rPr>
          <w:rFonts w:ascii="Times New Roman" w:hAnsi="Times New Roman" w:cs="Times New Roman"/>
          <w:bCs/>
          <w:color w:val="000000" w:themeColor="text1"/>
        </w:rPr>
        <w:t xml:space="preserve">In the Project Viva dataset, we assessed family history of T2D at the </w:t>
      </w:r>
      <w:r w:rsidR="00CB6522" w:rsidRPr="00A956B3">
        <w:rPr>
          <w:rFonts w:ascii="Times New Roman" w:hAnsi="Times New Roman" w:cs="Times New Roman"/>
          <w:bCs/>
          <w:color w:val="000000" w:themeColor="text1"/>
        </w:rPr>
        <w:t>3</w:t>
      </w:r>
      <w:r w:rsidRPr="00A956B3">
        <w:rPr>
          <w:rFonts w:ascii="Times New Roman" w:hAnsi="Times New Roman" w:cs="Times New Roman"/>
          <w:bCs/>
          <w:color w:val="000000" w:themeColor="text1"/>
        </w:rPr>
        <w:t xml:space="preserve">-year follow-up visit. PCOS diagnosis was assessed from diagnosis codes in medical records around enrollment, or from self-reported at the </w:t>
      </w:r>
      <w:r w:rsidR="00AD0509" w:rsidRPr="00A956B3">
        <w:rPr>
          <w:rFonts w:ascii="Times New Roman" w:hAnsi="Times New Roman" w:cs="Times New Roman"/>
          <w:bCs/>
          <w:color w:val="000000" w:themeColor="text1"/>
        </w:rPr>
        <w:t>17</w:t>
      </w:r>
      <w:r w:rsidRPr="00A956B3">
        <w:rPr>
          <w:rFonts w:ascii="Times New Roman" w:hAnsi="Times New Roman" w:cs="Times New Roman"/>
          <w:bCs/>
          <w:color w:val="000000" w:themeColor="text1"/>
        </w:rPr>
        <w:t xml:space="preserve">-year follow-up visit. Additionally, participants reported previous GDM diagnosis (prior to the index pregnancy) at enrollment, but Project Viva did not inquire about previous macrosomia. </w:t>
      </w:r>
    </w:p>
    <w:p w14:paraId="3647C9B6" w14:textId="77777777" w:rsidR="00F20834" w:rsidRPr="00A956B3" w:rsidRDefault="00F20834" w:rsidP="00F20834">
      <w:pPr>
        <w:spacing w:line="480" w:lineRule="auto"/>
        <w:contextualSpacing/>
        <w:jc w:val="both"/>
        <w:rPr>
          <w:rFonts w:ascii="Times New Roman" w:hAnsi="Times New Roman" w:cs="Times New Roman"/>
          <w:bCs/>
          <w:i/>
          <w:iCs/>
          <w:color w:val="000000" w:themeColor="text1"/>
        </w:rPr>
      </w:pPr>
    </w:p>
    <w:p w14:paraId="7B1212D2" w14:textId="77777777" w:rsidR="00F20834" w:rsidRPr="00A956B3" w:rsidRDefault="00F20834" w:rsidP="00F20834">
      <w:pPr>
        <w:spacing w:line="480" w:lineRule="auto"/>
        <w:contextualSpacing/>
        <w:jc w:val="both"/>
        <w:rPr>
          <w:rFonts w:ascii="Times New Roman" w:hAnsi="Times New Roman" w:cs="Times New Roman"/>
          <w:bCs/>
          <w:i/>
          <w:iCs/>
          <w:color w:val="000000" w:themeColor="text1"/>
        </w:rPr>
      </w:pPr>
      <w:r w:rsidRPr="00A956B3">
        <w:rPr>
          <w:rFonts w:ascii="Times New Roman" w:hAnsi="Times New Roman" w:cs="Times New Roman"/>
          <w:bCs/>
          <w:i/>
          <w:iCs/>
          <w:color w:val="000000" w:themeColor="text1"/>
        </w:rPr>
        <w:t>Pre-gestational predictors</w:t>
      </w:r>
    </w:p>
    <w:p w14:paraId="7F68FBF8" w14:textId="7D82D44B" w:rsidR="00F20834" w:rsidRPr="00A956B3" w:rsidRDefault="00F20834" w:rsidP="00F20834">
      <w:pPr>
        <w:spacing w:line="480" w:lineRule="auto"/>
        <w:ind w:firstLine="708"/>
        <w:contextualSpacing/>
        <w:jc w:val="both"/>
        <w:rPr>
          <w:rFonts w:ascii="Times New Roman" w:hAnsi="Times New Roman" w:cs="Times New Roman"/>
          <w:bCs/>
          <w:color w:val="000000" w:themeColor="text1"/>
        </w:rPr>
      </w:pPr>
      <w:r w:rsidRPr="00A956B3">
        <w:rPr>
          <w:rFonts w:ascii="Times New Roman" w:hAnsi="Times New Roman" w:cs="Times New Roman"/>
          <w:bCs/>
          <w:color w:val="000000" w:themeColor="text1"/>
        </w:rPr>
        <w:lastRenderedPageBreak/>
        <w:t xml:space="preserve">We considered pre-gestational body mass index (BMI) and parity as pre-gestational predictors. </w:t>
      </w:r>
      <w:r w:rsidRPr="00A956B3">
        <w:rPr>
          <w:rFonts w:ascii="Times New Roman" w:hAnsi="Times New Roman" w:cs="Times New Roman"/>
          <w:color w:val="000000" w:themeColor="text1"/>
        </w:rPr>
        <w:t xml:space="preserve">We defined </w:t>
      </w:r>
      <w:r w:rsidRPr="00A956B3">
        <w:rPr>
          <w:rFonts w:ascii="Times New Roman" w:hAnsi="Times New Roman" w:cs="Times New Roman"/>
          <w:bCs/>
          <w:color w:val="000000" w:themeColor="text1"/>
        </w:rPr>
        <w:t xml:space="preserve">parity self-reported by the mother at enrollment as the number of previous pregnancies (lasting more than 20 weeks in Gen3G, more than 24 weeks in Project Viva). </w:t>
      </w:r>
    </w:p>
    <w:p w14:paraId="799758B2" w14:textId="77777777" w:rsidR="00F20834" w:rsidRPr="00A956B3" w:rsidRDefault="00F20834" w:rsidP="00F20834">
      <w:pPr>
        <w:spacing w:line="480" w:lineRule="auto"/>
        <w:contextualSpacing/>
        <w:jc w:val="both"/>
        <w:rPr>
          <w:rFonts w:ascii="Times New Roman" w:hAnsi="Times New Roman" w:cs="Times New Roman"/>
          <w:bCs/>
          <w:i/>
          <w:iCs/>
          <w:color w:val="000000" w:themeColor="text1"/>
        </w:rPr>
      </w:pPr>
    </w:p>
    <w:p w14:paraId="3E328B64" w14:textId="77777777" w:rsidR="00F20834" w:rsidRPr="00A956B3" w:rsidRDefault="00F20834" w:rsidP="00F20834">
      <w:pPr>
        <w:spacing w:line="480" w:lineRule="auto"/>
        <w:contextualSpacing/>
        <w:jc w:val="both"/>
        <w:rPr>
          <w:rFonts w:ascii="Times New Roman" w:hAnsi="Times New Roman" w:cs="Times New Roman"/>
          <w:bCs/>
          <w:i/>
          <w:iCs/>
          <w:color w:val="000000" w:themeColor="text1"/>
        </w:rPr>
      </w:pPr>
      <w:r w:rsidRPr="00A956B3">
        <w:rPr>
          <w:rFonts w:ascii="Times New Roman" w:hAnsi="Times New Roman" w:cs="Times New Roman"/>
          <w:bCs/>
          <w:i/>
          <w:iCs/>
          <w:color w:val="000000" w:themeColor="text1"/>
        </w:rPr>
        <w:t>Pregnancy-related predictors</w:t>
      </w:r>
    </w:p>
    <w:p w14:paraId="341A565E" w14:textId="77777777" w:rsidR="00F20834" w:rsidRPr="00A956B3" w:rsidRDefault="00F20834" w:rsidP="00F20834">
      <w:pPr>
        <w:spacing w:line="480" w:lineRule="auto"/>
        <w:ind w:firstLine="708"/>
        <w:contextualSpacing/>
        <w:jc w:val="both"/>
        <w:rPr>
          <w:rFonts w:ascii="Times New Roman" w:hAnsi="Times New Roman" w:cs="Times New Roman"/>
          <w:bCs/>
          <w:color w:val="000000" w:themeColor="text1"/>
          <w:u w:val="single"/>
        </w:rPr>
      </w:pPr>
      <w:r w:rsidRPr="00A956B3">
        <w:rPr>
          <w:rFonts w:ascii="Times New Roman" w:hAnsi="Times New Roman" w:cs="Times New Roman"/>
          <w:bCs/>
          <w:color w:val="000000" w:themeColor="text1"/>
        </w:rPr>
        <w:t xml:space="preserve">We considered chronic or gestational hypertension, pre-eclampsia, GDM diagnosis, and gestational weight gain as pregnancy-related predictors. </w:t>
      </w:r>
    </w:p>
    <w:p w14:paraId="71702239" w14:textId="77777777" w:rsidR="00F20834" w:rsidRPr="00A956B3" w:rsidRDefault="00F20834" w:rsidP="00F20834">
      <w:pPr>
        <w:spacing w:line="480" w:lineRule="auto"/>
        <w:contextualSpacing/>
        <w:jc w:val="both"/>
        <w:rPr>
          <w:rFonts w:ascii="Times New Roman" w:hAnsi="Times New Roman" w:cs="Times New Roman"/>
          <w:bCs/>
          <w:color w:val="000000" w:themeColor="text1"/>
          <w:u w:val="single"/>
        </w:rPr>
      </w:pPr>
      <w:r w:rsidRPr="00A956B3">
        <w:rPr>
          <w:rFonts w:ascii="Times New Roman" w:hAnsi="Times New Roman" w:cs="Times New Roman"/>
          <w:bCs/>
          <w:color w:val="000000" w:themeColor="text1"/>
          <w:u w:val="single"/>
        </w:rPr>
        <w:t>Chronic or gestational hypertension and preeclampsia:</w:t>
      </w:r>
    </w:p>
    <w:p w14:paraId="422CE785" w14:textId="7342F0D4" w:rsidR="00F20834" w:rsidRPr="00A956B3" w:rsidRDefault="00F20834" w:rsidP="00F20834">
      <w:pPr>
        <w:spacing w:line="480" w:lineRule="auto"/>
        <w:ind w:firstLine="708"/>
        <w:jc w:val="both"/>
        <w:rPr>
          <w:rFonts w:ascii="Times New Roman" w:hAnsi="Times New Roman" w:cs="Times New Roman"/>
          <w:bCs/>
          <w:color w:val="000000" w:themeColor="text1"/>
        </w:rPr>
      </w:pPr>
      <w:r w:rsidRPr="00A956B3">
        <w:rPr>
          <w:rFonts w:ascii="Times New Roman" w:hAnsi="Times New Roman" w:cs="Times New Roman"/>
          <w:bCs/>
          <w:color w:val="000000" w:themeColor="text1"/>
        </w:rPr>
        <w:t xml:space="preserve">In both cohorts, chronic hypertension was defined </w:t>
      </w:r>
      <w:proofErr w:type="gramStart"/>
      <w:r w:rsidRPr="00A956B3">
        <w:rPr>
          <w:rFonts w:ascii="Times New Roman" w:hAnsi="Times New Roman" w:cs="Times New Roman"/>
          <w:bCs/>
          <w:color w:val="000000" w:themeColor="text1"/>
        </w:rPr>
        <w:t>by the use of</w:t>
      </w:r>
      <w:proofErr w:type="gramEnd"/>
      <w:r w:rsidRPr="00A956B3">
        <w:rPr>
          <w:rFonts w:ascii="Times New Roman" w:hAnsi="Times New Roman" w:cs="Times New Roman"/>
          <w:bCs/>
          <w:color w:val="000000" w:themeColor="text1"/>
        </w:rPr>
        <w:t xml:space="preserve"> antihypertensive medications or corresponding to at least two clinically measured high systolic and/or diastolic blood pressure values (SBP </w:t>
      </w:r>
      <w:r w:rsidRPr="00A956B3">
        <w:rPr>
          <w:rFonts w:ascii="Times New Roman" w:eastAsia="Symbol" w:hAnsi="Times New Roman" w:cs="Times New Roman"/>
          <w:bCs/>
          <w:color w:val="000000" w:themeColor="text1"/>
        </w:rPr>
        <w:t>³</w:t>
      </w:r>
      <w:r w:rsidRPr="00A956B3">
        <w:rPr>
          <w:rFonts w:ascii="Times New Roman" w:hAnsi="Times New Roman" w:cs="Times New Roman"/>
          <w:bCs/>
          <w:color w:val="000000" w:themeColor="text1"/>
        </w:rPr>
        <w:t xml:space="preserve">140 mmHg and/or DBP </w:t>
      </w:r>
      <w:r w:rsidRPr="00A956B3">
        <w:rPr>
          <w:rFonts w:ascii="Times New Roman" w:eastAsia="Symbol" w:hAnsi="Times New Roman" w:cs="Times New Roman"/>
          <w:bCs/>
          <w:color w:val="000000" w:themeColor="text1"/>
        </w:rPr>
        <w:t>³</w:t>
      </w:r>
      <w:r w:rsidRPr="00A956B3">
        <w:rPr>
          <w:rFonts w:ascii="Times New Roman" w:hAnsi="Times New Roman" w:cs="Times New Roman"/>
          <w:bCs/>
          <w:color w:val="000000" w:themeColor="text1"/>
        </w:rPr>
        <w:t xml:space="preserve">90 mmHg) before 20 weeks’ gestation. Gestational hypertension was defined by new onset hypertension from at least two clinically measured high systolic and/or diastolic blood pressure values after 20 weeks’ gestation </w:t>
      </w:r>
      <w:r w:rsidRPr="00A956B3">
        <w:rPr>
          <w:rFonts w:ascii="Times New Roman" w:hAnsi="Times New Roman" w:cs="Times New Roman"/>
          <w:bCs/>
          <w:color w:val="000000" w:themeColor="text1"/>
        </w:rPr>
        <w:fldChar w:fldCharType="begin"/>
      </w:r>
      <w:r w:rsidR="00BF4B37" w:rsidRPr="00A956B3">
        <w:rPr>
          <w:rFonts w:ascii="Times New Roman" w:hAnsi="Times New Roman" w:cs="Times New Roman"/>
          <w:bCs/>
          <w:color w:val="000000" w:themeColor="text1"/>
        </w:rPr>
        <w:instrText xml:space="preserve"> ADDIN ZOTERO_ITEM CSL_CITATION {"citationID":"39RRWkjH","properties":{"formattedCitation":"[1]","plainCitation":"[1]","noteIndex":0},"citationItems":[{"id":3434,"uris":["http://zotero.org/users/local/WiC0VgBZ/items/ASH7MQBX"],"itemData":{"id":3434,"type":"article-journal","abstract":"Objective\nThis guideline was developed by maternity care providers from obstetrics and internal medicine. It reviews the diagnosis, evaluation, and management of the hypertensive disorders of pregnancy (HDPs), the prediction and prevention of preeclampsia, and the postpartum care of women with a previous HDP.\nTarget population\nPregnant women.\nBenefits, harms, and costs\nImplementation of the recommendations in these guidelines may reduce the incidence of the HDPs, particularly preeclampsia, and associated adverse outcomes.\nEvidence\nA comprehensive literature review was updated to December 2020, following the same methods as for previous Society of Obstetricians and Gynaecologists of Canada (SOGC) HDP guidelines, and references were restricted to English or French. To support recommendations for therapies, we prioritized randomized controlled trials and systematic reviews (if available), and evaluated substantive clinical outcomes for mothers and babies.\nValidation methods\nThe authors agreed on the content and recommendations through consensus and responded to peer review by the SOGC Maternal Fetal Medicine Committee. The authors rated the quality of evidence and strength of recommendations using the Grading of Recommendations Assessment, Development and Evaluation (GRADE) approach, along with the option of designating a recommendation as a “good practice point.” See online Appendix A (Tables A1 for definitions and A2 for interpretations of strong and conditional [weak] recommendations).The Board of the SOGC approved the final draft for publication.\nIntended users\nAll health care providers (obstetricians, family doctors, midwives, nurses, and anesthesiologists) who provide care to women before, during, or after pregnancy.\nRECOMMENDATIONS\n1.Pre-conception counselling is suggested for women with pre-pregnancy hypertension to advise on individualized management during pregnancy (conditional, low).2.Replacing angiotensin-converting enzyme (ACE) inhibitors or angiotensin-receptor blockers (ARBs) with other antihypertensives in women planning pregnancy is recommended unless there is a compelling clinical indication not to (strong, low).3.In early pregnancy, women should be screened, at a minimum, for clinical risk markers for preeclampsia (strong, moderate).4.If testing is available, women should be screened at 11–14 weeks gestation using a combination of clinical risk markers, uterine artery pulsatility index, and placental growth factor (PlGF) to individualize the risk of developing preeclampsia (strong, moderate).5.For women at increased risk of preeclampsia, low-dose acetylsalicylic acid (81 or 162 mg/d) is recommended (strong, high), to be taken at bedtime (strong, moderate), preferably before 16 weeks gestation (conditional, moderate), and discontinued by 36 weeks gestation (conditional, low).6.For all other women, low-dose acetylsalicylic acid is not recommended (strong, moderate).7.For all women with low dietary intake of calcium (&lt;900 mg/d), oral calcium supplementation of at least 500 mg/d is suggested to prevent preeclampsia (conditional, low).8.For all women, vitamin D supplementation over and above Health Canada’s recommendation for adults is not suggested to prevent preeclampsia (conditional, moderate).9.For all women, exercise is recommended to prevent preeclampsia (strong, moderate).10.For women at increased risk of preeclampsia, who are overweight or obese dietary advice (reduce calories and choose foods with a low glycemic index) and exercise are recommended (conditional, moderate).11.Inpatient care should be provided for women with severe hypertension or preeclampsia with 1 or more maternal adverse conditions (good practice point).12.Bed rest is not suggested for any women with preeclampsia (conditional, low).13.Antihypertensive therapy is recommended for pregnant women with an average systolic blood pressure ≥140 mm Hg or diastolic blood pressure ≥90 mm Hg, regardless of the hypertensive disorder of pregnancy (strong, moderate).14.A diastolic blood pressure of 85 mm Hg should be targeted for pregnant women on antihypertensive therapy with chronic or gestational hypertension (strong, moderate), and a similar target, considered for women with preeclampsia (conditional, low).15.Antihypertensive therapy (oral or parenteral) is urgently recommended for women with severe hypertension (i.e., systolic blood pressure ≥160 mm Hg or diastolic blood pressure ≥110 mm Hg) in pregnancy or postpartum (strong, low).16.Magnesium sulphate is recommended for first-line treatment of eclampsia and prophylaxis against eclampsia in women with preeclampsia and severe hypertension or adverse maternal conditions (strong, high).17.Platelet transfusion should be considered if a woman’s platelet count is &lt;20 × 109/L before vaginal delivery or &lt;50 × 109/L before cesarean delivery, or at any time if there is excessive active bleeding, known platelet dysfunction, rapidly falling platelet count, or coagulopathy (strong, low).18.For women with chronic hypertension, expectant care should be undertaken from fetal viability to &lt;370 weeks gestation, unless there is an indication for birth (strong, very low). Initiation of delivery can be offered at 380 to 396 weeks gestation but should be advised from 400 weeks gestation (conditional, low).19.For women with gestational hypertension, expectant care should be undertaken from fetal viability to &lt;370 weeks, unless there is an indication for birth (strong, low). When gestational hypertension arises before 370 weeks, initiation of delivery can be offered at 380 to 396 weeks gestation but should be advised from 400 weeks gestation (conditional, low). For women who are already at 370 weeks gestation or later and present with gestational hypertension, initiation of delivery should be discussed (strong, moderate).20.For women with preeclampsia, expectant management may be considered from fetal viability until &lt;340 weeks gestation, but only in perinatal centres capable of caring for very preterm infants (conditional, moderate). At 340–356 weeks gestation, initiation of delivery should be discussed, as it decreases maternal but increases neonatal risk, particularly if antenatal corticosteroids are not prescribed (strong, moderate). At 360–366 weeks gestation, initiation of delivery should be considered (strong, moderate). At 370 weeks gestation or later, initiation of delivery is recommended (strong, high).21.Blood pressure should be measured regularly (at least twice) in the first 2 weeks after delivery in women with hypertension (good practice point).22.As women may develop preeclampsia for the first time postpartum, those with new or worsening hypertension and/or symptoms of preeclampsia should be evaluated accordingly (good practice point).23.For lactating women, the following antihypertensive drugs are suggested: labetalol, methyldopa, nifedipine, enalapril, and captopril (conditional, low).24.Clinical follow-up should be provided for women with gestational hypertension and preeclampsia to ensure normalization of hypertension, clinical features, and laboratory test results (good practice point).25.Women with gestational hypertension and preeclampsia may benefit from interventions to reduce their risk of a hypertensive disorder of pregnancy in a future pregnancy and from screening for cardiovascular risk factors (conditional, low).","container-title":"Journal of Obstetrics and Gynaecology Canada","DOI":"10.1016/j.jogc.2022.03.002","ISSN":"1701-2163","issue":"5","journalAbbreviation":"Journal of Obstetrics and Gynaecology Canada","page":"547-571.e1","source":"ScienceDirect","title":"Guideline No. 426: Hypertensive Disorders of Pregnancy: Diagnosis, Prediction, Prevention, and Management","title-short":"Guideline No. 426","volume":"44","author":[{"family":"Magee","given":"Laura A."},{"family":"Smith","given":"Graeme N."},{"family":"Bloch","given":"Christine"},{"family":"Côté","given":"Anne-Marie"},{"family":"Jain","given":"Venu"},{"family":"Nerenberg","given":"Kara"},{"family":"Dadelszen","given":"Peter","non-dropping-particle":"von"},{"family":"Helewa","given":"Michael"},{"family":"Rey","given":"Evelyne"}],"issued":{"date-parts":[["2022",5,1]]}}}],"schema":"https://github.com/citation-style-language/schema/raw/master/csl-citation.json"} </w:instrText>
      </w:r>
      <w:r w:rsidRPr="00A956B3">
        <w:rPr>
          <w:rFonts w:ascii="Times New Roman" w:hAnsi="Times New Roman" w:cs="Times New Roman"/>
          <w:bCs/>
          <w:color w:val="000000" w:themeColor="text1"/>
        </w:rPr>
        <w:fldChar w:fldCharType="separate"/>
      </w:r>
      <w:r w:rsidR="00BF4B37" w:rsidRPr="00A956B3">
        <w:rPr>
          <w:rFonts w:ascii="Times New Roman" w:hAnsi="Times New Roman" w:cs="Times New Roman"/>
          <w:bCs/>
          <w:noProof/>
          <w:color w:val="000000" w:themeColor="text1"/>
        </w:rPr>
        <w:t>[1]</w:t>
      </w:r>
      <w:r w:rsidRPr="00A956B3">
        <w:rPr>
          <w:rFonts w:ascii="Times New Roman" w:hAnsi="Times New Roman" w:cs="Times New Roman"/>
          <w:bCs/>
          <w:color w:val="000000" w:themeColor="text1"/>
        </w:rPr>
        <w:fldChar w:fldCharType="end"/>
      </w:r>
      <w:r w:rsidRPr="00A956B3">
        <w:rPr>
          <w:rFonts w:ascii="Times New Roman" w:hAnsi="Times New Roman" w:cs="Times New Roman"/>
          <w:bCs/>
          <w:color w:val="000000" w:themeColor="text1"/>
        </w:rPr>
        <w:t xml:space="preserve">. In both cohort, preeclampsia was defined as hypertension with proteinuria after 20 weeks of pregnancy (Gen3G: protein to creatinine ratio </w:t>
      </w:r>
      <w:r w:rsidRPr="00A956B3">
        <w:rPr>
          <w:rFonts w:ascii="Times New Roman" w:eastAsia="Symbol" w:hAnsi="Times New Roman" w:cs="Times New Roman"/>
          <w:bCs/>
          <w:color w:val="000000" w:themeColor="text1"/>
        </w:rPr>
        <w:t>&gt;</w:t>
      </w:r>
      <w:r w:rsidRPr="00A956B3">
        <w:rPr>
          <w:rFonts w:ascii="Times New Roman" w:hAnsi="Times New Roman" w:cs="Times New Roman"/>
          <w:bCs/>
          <w:color w:val="000000" w:themeColor="text1"/>
        </w:rPr>
        <w:t xml:space="preserve"> 0.03 g/mmol or </w:t>
      </w:r>
      <w:r w:rsidRPr="00A956B3">
        <w:rPr>
          <w:rFonts w:ascii="Times New Roman" w:eastAsia="Symbol" w:hAnsi="Times New Roman" w:cs="Times New Roman"/>
          <w:bCs/>
          <w:color w:val="000000" w:themeColor="text1"/>
        </w:rPr>
        <w:t>³</w:t>
      </w:r>
      <w:r w:rsidRPr="00A956B3">
        <w:rPr>
          <w:rFonts w:ascii="Times New Roman" w:hAnsi="Times New Roman" w:cs="Times New Roman"/>
          <w:bCs/>
          <w:color w:val="000000" w:themeColor="text1"/>
        </w:rPr>
        <w:t xml:space="preserve"> 300 mg/day </w:t>
      </w:r>
      <w:r w:rsidRPr="00A956B3">
        <w:rPr>
          <w:rFonts w:ascii="Times New Roman" w:hAnsi="Times New Roman" w:cs="Times New Roman"/>
          <w:bCs/>
          <w:color w:val="000000" w:themeColor="text1"/>
        </w:rPr>
        <w:fldChar w:fldCharType="begin"/>
      </w:r>
      <w:r w:rsidR="00BF4B37" w:rsidRPr="00A956B3">
        <w:rPr>
          <w:rFonts w:ascii="Times New Roman" w:hAnsi="Times New Roman" w:cs="Times New Roman"/>
          <w:bCs/>
          <w:color w:val="000000" w:themeColor="text1"/>
        </w:rPr>
        <w:instrText xml:space="preserve"> ADDIN ZOTERO_ITEM CSL_CITATION {"citationID":"37xhrKnK","properties":{"formattedCitation":"[4]","plainCitation":"[4]","noteIndex":0},"citationItems":[{"id":3381,"uris":["http://zotero.org/users/local/WiC0VgBZ/items/GLR293IF"],"itemData":{"id":3381,"type":"article-journal","container-title":"Journal of Obstetrics and Gynaecology Canada","DOI":"10.1016/S1701-2163(15)30588-0","ISSN":"1701-2163","issue":"5","journalAbbreviation":"Journal of Obstetrics and Gynaecology Canada","language":"English","note":"publisher: Elsevier","page":"416-438","source":"www.jogc.com","title":"Diagnosis, Evaluation, and Management of the Hypertensive Disorders of Pregnancy: Executive Summary","title-short":"Diagnosis, Evaluation, and Management of the Hypertensive Disorders of Pregnancy","volume":"36","author":[{"family":"Magee","given":"Laura A."},{"family":"Pels","given":"Anouk"},{"family":"Helewa","given":"Michael"},{"family":"Rey","given":"Evelyne"},{"family":"Dadelszen","given":"Peter","dropping-particle":"von"},{"family":"Magee","given":"Laura A."},{"family":"Audibert","given":"Francois"},{"family":"Bujold","given":"Emmanuel"},{"family":"Côté","given":"Anne-Marie"},{"family":"Douglas","given":"Myrtle Joanne"},{"family":"Eastabrook","given":"Genevieve"},{"family":"Firoz","given":"Tabassum"},{"family":"Gibson","given":"Paul"},{"family":"Gruslin","given":"Andrée"},{"family":"Hutcheon","given":"Jennifer"},{"family":"Koren","given":"Gideon"},{"family":"Lange","given":"Ian"},{"family":"Leduc","given":"Line"},{"family":"Logan","given":"Alexander G."},{"family":"MacDonell","given":"Karen L."},{"family":"Moutquin","given":"Jean-Marie"},{"family":"Sebbag","given":"Ilana"}],"issued":{"date-parts":[["2014",5,1]]}}}],"schema":"https://github.com/citation-style-language/schema/raw/master/csl-citation.json"} </w:instrText>
      </w:r>
      <w:r w:rsidRPr="00A956B3">
        <w:rPr>
          <w:rFonts w:ascii="Times New Roman" w:hAnsi="Times New Roman" w:cs="Times New Roman"/>
          <w:bCs/>
          <w:color w:val="000000" w:themeColor="text1"/>
        </w:rPr>
        <w:fldChar w:fldCharType="separate"/>
      </w:r>
      <w:r w:rsidR="00BF4B37" w:rsidRPr="00A956B3">
        <w:rPr>
          <w:rFonts w:ascii="Times New Roman" w:hAnsi="Times New Roman" w:cs="Times New Roman"/>
          <w:bCs/>
          <w:noProof/>
          <w:color w:val="000000" w:themeColor="text1"/>
        </w:rPr>
        <w:t>[4]</w:t>
      </w:r>
      <w:r w:rsidRPr="00A956B3">
        <w:rPr>
          <w:rFonts w:ascii="Times New Roman" w:hAnsi="Times New Roman" w:cs="Times New Roman"/>
          <w:bCs/>
          <w:color w:val="000000" w:themeColor="text1"/>
        </w:rPr>
        <w:fldChar w:fldCharType="end"/>
      </w:r>
      <w:r w:rsidRPr="00A956B3">
        <w:rPr>
          <w:rFonts w:ascii="Times New Roman" w:hAnsi="Times New Roman" w:cs="Times New Roman"/>
          <w:bCs/>
          <w:color w:val="000000" w:themeColor="text1"/>
        </w:rPr>
        <w:t xml:space="preserve">; Project Viva: dipstick value of </w:t>
      </w:r>
      <w:r w:rsidRPr="00A956B3">
        <w:rPr>
          <w:rFonts w:ascii="Times New Roman" w:eastAsia="Symbol" w:hAnsi="Times New Roman" w:cs="Times New Roman"/>
          <w:bCs/>
          <w:color w:val="000000" w:themeColor="text1"/>
        </w:rPr>
        <w:t>³</w:t>
      </w:r>
      <w:r w:rsidRPr="00A956B3">
        <w:rPr>
          <w:rFonts w:ascii="Times New Roman" w:hAnsi="Times New Roman" w:cs="Times New Roman"/>
          <w:bCs/>
          <w:color w:val="000000" w:themeColor="text1"/>
        </w:rPr>
        <w:t xml:space="preserve">2+ once or </w:t>
      </w:r>
      <w:r w:rsidRPr="00A956B3">
        <w:rPr>
          <w:rFonts w:ascii="Times New Roman" w:eastAsia="Symbol" w:hAnsi="Times New Roman" w:cs="Times New Roman"/>
          <w:bCs/>
          <w:color w:val="000000" w:themeColor="text1"/>
        </w:rPr>
        <w:t>³</w:t>
      </w:r>
      <w:r w:rsidRPr="00A956B3">
        <w:rPr>
          <w:rFonts w:ascii="Times New Roman" w:hAnsi="Times New Roman" w:cs="Times New Roman"/>
          <w:bCs/>
          <w:color w:val="000000" w:themeColor="text1"/>
        </w:rPr>
        <w:t xml:space="preserve">1+ on 2 or more occasions </w:t>
      </w:r>
      <w:r w:rsidRPr="00A956B3">
        <w:rPr>
          <w:rFonts w:ascii="Times New Roman" w:eastAsia="Symbol" w:hAnsi="Times New Roman" w:cs="Times New Roman"/>
          <w:bCs/>
          <w:color w:val="000000" w:themeColor="text1"/>
        </w:rPr>
        <w:t>&gt;</w:t>
      </w:r>
      <w:r w:rsidRPr="00A956B3">
        <w:rPr>
          <w:rFonts w:ascii="Times New Roman" w:hAnsi="Times New Roman" w:cs="Times New Roman"/>
          <w:bCs/>
          <w:color w:val="000000" w:themeColor="text1"/>
        </w:rPr>
        <w:t xml:space="preserve">4 hours but </w:t>
      </w:r>
      <w:r w:rsidRPr="00A956B3">
        <w:rPr>
          <w:rFonts w:ascii="Times New Roman" w:eastAsia="Symbol" w:hAnsi="Times New Roman" w:cs="Times New Roman"/>
          <w:bCs/>
          <w:color w:val="000000" w:themeColor="text1"/>
        </w:rPr>
        <w:t>£</w:t>
      </w:r>
      <w:r w:rsidRPr="00A956B3">
        <w:rPr>
          <w:rFonts w:ascii="Times New Roman" w:hAnsi="Times New Roman" w:cs="Times New Roman"/>
          <w:bCs/>
          <w:color w:val="000000" w:themeColor="text1"/>
        </w:rPr>
        <w:t xml:space="preserve">7 days apart </w:t>
      </w:r>
      <w:r w:rsidRPr="00A956B3">
        <w:rPr>
          <w:rFonts w:ascii="Times New Roman" w:hAnsi="Times New Roman" w:cs="Times New Roman"/>
          <w:bCs/>
          <w:color w:val="000000" w:themeColor="text1"/>
        </w:rPr>
        <w:fldChar w:fldCharType="begin"/>
      </w:r>
      <w:r w:rsidR="00BF4B37" w:rsidRPr="00A956B3">
        <w:rPr>
          <w:rFonts w:ascii="Times New Roman" w:hAnsi="Times New Roman" w:cs="Times New Roman"/>
          <w:bCs/>
          <w:color w:val="000000" w:themeColor="text1"/>
        </w:rPr>
        <w:instrText xml:space="preserve"> ADDIN ZOTERO_ITEM CSL_CITATION {"citationID":"3D9FH8OZ","properties":{"formattedCitation":"[5]","plainCitation":"[5]","noteIndex":0},"citationItems":[{"id":3383,"uris":["http://zotero.org/users/local/WiC0VgBZ/items/F6W7U6YZ"],"itemData":{"id":3383,"type":"article-journal","abstract":"Background\n\nExposure to preeclampsia or gestational hypertension is associated with higher offspring systolic blood pressure (SBP), but less is known about associations with other cardiometabolic risk markers.\nMethods and Results\n\nWe studied 1097 children from the Project Viva cohort born 1999‐2002. Exposures were preeclampsia or gestational hypertension and mean maternal SBP in each trimester from prenatal records. Outcomes were research measures in midchildhood (mean 8.0 years) of SBP, overall adiposity, and a global cardiometabolic risk score comprising measures of SBP, waist circumference, glycemia, and lipids. We conducted linear regression analyses adjusted for maternal characteristics and offspring sex and age. In adjusted models, maternal preeclampsia or gestational hypertension (n=98, 9.1%) versus normal blood pressure was associated with slightly higher offspring SBP z‐score (0.15 units; 95% confidence interval [CI] −0.03, 0.32) but otherwise predicted better cardiometabolic health markers including metabolic risk z‐score (−0.23 units; −95% CI 0.44, −0.03) and several of its components as well as lower body mass index z‐score (−0.27 units; 95% CI −0.48, −0.06) and lower fat mass index (−0.91 kg/m2; 95% CI −1.35, −0.47). Similarly, higher mean third‐trimester maternal SBP was associated with higher offspring SBP z‐score (0.09 units per 10 mm Hg; 95% CI 0.02, 0.16) and lower overall and central adiposity but not with biomarkers of metabolic risk. Results for second‐trimester SBP were generally similar. First‐trimester blood pressure was associated with higher offspring blood pressure but not with other outcomes.\nConclusions\n\nHigher maternal late‐pregnancy SBP and hypertensive disorders of pregnancy were associated with higher offspring SBP but otherwise better cardiometabolic health.","container-title":"Journal of the American Heart Association","DOI":"10.1161/JAHA.117.007426","issue":"3","note":"publisher: Wiley","page":"e007426","source":"ahajournals.org (Atypon)","title":"Hypertensive Disorders of Pregnancy and Offspring Cardiometabolic Health at Midchildhood: Project Viva Findings","title-short":"Hypertensive Disorders of Pregnancy and Offspring Cardiometabolic Health at Midchildhood","volume":"7","author":[{"family":"Tripathi","given":"Ruby Reetika"},{"family":"Rifas‐Shiman","given":"Sheryl L."},{"family":"Hawley","given":"Nicola"},{"family":"Hivert","given":"Marie‐France"},{"family":"Oken","given":"Emily"}],"issued":{"date-parts":[["2018",2,6]]}}}],"schema":"https://github.com/citation-style-language/schema/raw/master/csl-citation.json"} </w:instrText>
      </w:r>
      <w:r w:rsidRPr="00A956B3">
        <w:rPr>
          <w:rFonts w:ascii="Times New Roman" w:hAnsi="Times New Roman" w:cs="Times New Roman"/>
          <w:bCs/>
          <w:color w:val="000000" w:themeColor="text1"/>
        </w:rPr>
        <w:fldChar w:fldCharType="separate"/>
      </w:r>
      <w:r w:rsidR="00BF4B37" w:rsidRPr="00A956B3">
        <w:rPr>
          <w:rFonts w:ascii="Times New Roman" w:hAnsi="Times New Roman" w:cs="Times New Roman"/>
          <w:bCs/>
          <w:noProof/>
          <w:color w:val="000000" w:themeColor="text1"/>
        </w:rPr>
        <w:t>[5]</w:t>
      </w:r>
      <w:r w:rsidRPr="00A956B3">
        <w:rPr>
          <w:rFonts w:ascii="Times New Roman" w:hAnsi="Times New Roman" w:cs="Times New Roman"/>
          <w:bCs/>
          <w:color w:val="000000" w:themeColor="text1"/>
        </w:rPr>
        <w:fldChar w:fldCharType="end"/>
      </w:r>
      <w:r w:rsidRPr="00A956B3">
        <w:rPr>
          <w:rFonts w:ascii="Times New Roman" w:hAnsi="Times New Roman" w:cs="Times New Roman"/>
          <w:bCs/>
          <w:color w:val="000000" w:themeColor="text1"/>
        </w:rPr>
        <w:t>).</w:t>
      </w:r>
    </w:p>
    <w:p w14:paraId="2B8E8EC5" w14:textId="77777777" w:rsidR="00F20834" w:rsidRPr="00A956B3" w:rsidRDefault="00F20834" w:rsidP="00F20834">
      <w:pPr>
        <w:spacing w:line="480" w:lineRule="auto"/>
        <w:ind w:firstLine="708"/>
        <w:jc w:val="both"/>
        <w:rPr>
          <w:rFonts w:ascii="Times New Roman" w:hAnsi="Times New Roman" w:cs="Times New Roman"/>
          <w:bCs/>
          <w:color w:val="000000" w:themeColor="text1"/>
        </w:rPr>
      </w:pPr>
    </w:p>
    <w:p w14:paraId="4FBAB541" w14:textId="77777777" w:rsidR="00F20834" w:rsidRPr="00A956B3" w:rsidRDefault="00F20834" w:rsidP="00F20834">
      <w:pPr>
        <w:spacing w:line="480" w:lineRule="auto"/>
        <w:contextualSpacing/>
        <w:jc w:val="both"/>
        <w:rPr>
          <w:rFonts w:ascii="Times New Roman" w:hAnsi="Times New Roman" w:cs="Times New Roman"/>
          <w:bCs/>
          <w:i/>
          <w:iCs/>
          <w:color w:val="000000" w:themeColor="text1"/>
        </w:rPr>
      </w:pPr>
      <w:r w:rsidRPr="00A956B3">
        <w:rPr>
          <w:rFonts w:ascii="Times New Roman" w:hAnsi="Times New Roman" w:cs="Times New Roman"/>
          <w:bCs/>
          <w:i/>
          <w:iCs/>
          <w:color w:val="000000" w:themeColor="text1"/>
        </w:rPr>
        <w:t>Adverse pregnancy outcomes during the index pregnancy</w:t>
      </w:r>
    </w:p>
    <w:p w14:paraId="5A068317" w14:textId="77946980" w:rsidR="00F20834" w:rsidRPr="00A956B3" w:rsidRDefault="00F20834" w:rsidP="00F20834">
      <w:pPr>
        <w:spacing w:line="480" w:lineRule="auto"/>
        <w:ind w:firstLine="708"/>
        <w:contextualSpacing/>
        <w:jc w:val="both"/>
        <w:rPr>
          <w:rFonts w:ascii="Times New Roman" w:hAnsi="Times New Roman" w:cs="Times New Roman"/>
          <w:bCs/>
          <w:color w:val="000000" w:themeColor="text1"/>
        </w:rPr>
      </w:pPr>
      <w:r w:rsidRPr="00A956B3">
        <w:rPr>
          <w:rFonts w:ascii="Times New Roman" w:hAnsi="Times New Roman" w:cs="Times New Roman"/>
          <w:bCs/>
          <w:color w:val="000000" w:themeColor="text1"/>
        </w:rPr>
        <w:t xml:space="preserve">We considered prematurity and macrosomia as adverse pregnancy outcomes, captured similarly in both Gen3G and Project Viva. We defined prematurity as delivery before 37 weeks of gestation </w:t>
      </w:r>
      <w:r w:rsidRPr="00A956B3">
        <w:rPr>
          <w:rFonts w:ascii="Times New Roman" w:hAnsi="Times New Roman" w:cs="Times New Roman"/>
          <w:bCs/>
          <w:color w:val="000000" w:themeColor="text1"/>
        </w:rPr>
        <w:fldChar w:fldCharType="begin"/>
      </w:r>
      <w:r w:rsidR="00BF4B37" w:rsidRPr="00A956B3">
        <w:rPr>
          <w:rFonts w:ascii="Times New Roman" w:hAnsi="Times New Roman" w:cs="Times New Roman"/>
          <w:bCs/>
          <w:color w:val="000000" w:themeColor="text1"/>
        </w:rPr>
        <w:instrText xml:space="preserve"> ADDIN ZOTERO_ITEM CSL_CITATION {"citationID":"AtYG1vFe","properties":{"formattedCitation":"[6]","plainCitation":"[6]","noteIndex":0},"citationItems":[{"id":3393,"uris":["http://zotero.org/users/local/WiC0VgBZ/items/Q45M6IDH"],"itemData":{"id":3393,"type":"webpage","abstract":"Increase awareness about preterm birth, including the prevalence and related complications.","container-title":"Maternal Infant Health","language":"en-us","title":"Preterm Birth","URL":"https://www.cdc.gov/maternal-infant-health/preterm-birth/index.html","author":[{"family":"CDC","given":""}],"accessed":{"date-parts":[["2025",3,5]]},"issued":{"date-parts":[["2025",2,24]]}}}],"schema":"https://github.com/citation-style-language/schema/raw/master/csl-citation.json"} </w:instrText>
      </w:r>
      <w:r w:rsidRPr="00A956B3">
        <w:rPr>
          <w:rFonts w:ascii="Times New Roman" w:hAnsi="Times New Roman" w:cs="Times New Roman"/>
          <w:bCs/>
          <w:color w:val="000000" w:themeColor="text1"/>
        </w:rPr>
        <w:fldChar w:fldCharType="separate"/>
      </w:r>
      <w:r w:rsidR="00BF4B37" w:rsidRPr="00A956B3">
        <w:rPr>
          <w:rFonts w:ascii="Times New Roman" w:hAnsi="Times New Roman" w:cs="Times New Roman"/>
          <w:bCs/>
          <w:noProof/>
          <w:color w:val="000000" w:themeColor="text1"/>
        </w:rPr>
        <w:t>[6]</w:t>
      </w:r>
      <w:r w:rsidRPr="00A956B3">
        <w:rPr>
          <w:rFonts w:ascii="Times New Roman" w:hAnsi="Times New Roman" w:cs="Times New Roman"/>
          <w:bCs/>
          <w:color w:val="000000" w:themeColor="text1"/>
        </w:rPr>
        <w:fldChar w:fldCharType="end"/>
      </w:r>
      <w:r w:rsidRPr="00A956B3">
        <w:rPr>
          <w:rFonts w:ascii="Times New Roman" w:hAnsi="Times New Roman" w:cs="Times New Roman"/>
          <w:bCs/>
          <w:color w:val="000000" w:themeColor="text1"/>
        </w:rPr>
        <w:t xml:space="preserve">, based on gestational age at delivery recorded in medical records. We defined macrosomia as a birthweight ≥4000g </w:t>
      </w:r>
      <w:r w:rsidRPr="00A956B3">
        <w:rPr>
          <w:rFonts w:ascii="Times New Roman" w:hAnsi="Times New Roman" w:cs="Times New Roman"/>
          <w:bCs/>
          <w:color w:val="000000" w:themeColor="text1"/>
        </w:rPr>
        <w:fldChar w:fldCharType="begin"/>
      </w:r>
      <w:r w:rsidR="00BF4B37" w:rsidRPr="00A956B3">
        <w:rPr>
          <w:rFonts w:ascii="Times New Roman" w:hAnsi="Times New Roman" w:cs="Times New Roman"/>
          <w:bCs/>
          <w:color w:val="000000" w:themeColor="text1"/>
        </w:rPr>
        <w:instrText xml:space="preserve"> ADDIN ZOTERO_ITEM CSL_CITATION {"citationID":"kZ42FJcy","properties":{"formattedCitation":"[7]","plainCitation":"[7]","noteIndex":0},"citationItems":[{"id":3395,"uris":["http://zotero.org/users/local/WiC0VgBZ/items/HUNX2M3U"],"itemData":{"id":3395,"type":"article-journal","abstract":"Fetal macrosomia is defined as birth weight &gt;4000 g and is associated with several maternal and fetal complications such as maternal birth canal trauma, shoulder dystocia, and perinatal asphyxia. Early identification of risk factors could allow preventive measures to be taken to avoid adverse perinatal outcomes. Prenatal diagnosis is based on two-dimensional ultrasound formulae, but accuracy is low, particularly at advanced gestation. Three-dimensional ultrasound could be an alternative to soft tissue monitoring, allowing better prediction of birth weight than two-dimensional ultrasound. In this article, we describe the definition, risk factors, diagnosis, prevention, ultrasound monitoring, prenatal care, and delivery in fetal macrosomia cases.","container-title":"Best Practice &amp; Research. Clinical Obstetrics &amp; Gynaecology","DOI":"10.1016/j.bpobgyn.2016.08.003","ISSN":"1532-1932","journalAbbreviation":"Best Pract Res Clin Obstet Gynaecol","language":"eng","note":"PMID: 27727018","page":"83-96","source":"PubMed","title":"Macrosomia","volume":"38","author":[{"family":"Araujo Júnior","given":"Edward"},{"family":"Peixoto","given":"Alberto Borges"},{"family":"Zamarian","given":"Ana Cristina Perez"},{"family":"Elito Júnior","given":"Júlio"},{"family":"Tonni","given":"Gabriele"}],"issued":{"date-parts":[["2017",1]]}}}],"schema":"https://github.com/citation-style-language/schema/raw/master/csl-citation.json"} </w:instrText>
      </w:r>
      <w:r w:rsidRPr="00A956B3">
        <w:rPr>
          <w:rFonts w:ascii="Times New Roman" w:hAnsi="Times New Roman" w:cs="Times New Roman"/>
          <w:bCs/>
          <w:color w:val="000000" w:themeColor="text1"/>
        </w:rPr>
        <w:fldChar w:fldCharType="separate"/>
      </w:r>
      <w:r w:rsidR="00BF4B37" w:rsidRPr="00A956B3">
        <w:rPr>
          <w:rFonts w:ascii="Times New Roman" w:hAnsi="Times New Roman" w:cs="Times New Roman"/>
          <w:bCs/>
          <w:noProof/>
          <w:color w:val="000000" w:themeColor="text1"/>
        </w:rPr>
        <w:t>[7]</w:t>
      </w:r>
      <w:r w:rsidRPr="00A956B3">
        <w:rPr>
          <w:rFonts w:ascii="Times New Roman" w:hAnsi="Times New Roman" w:cs="Times New Roman"/>
          <w:bCs/>
          <w:color w:val="000000" w:themeColor="text1"/>
        </w:rPr>
        <w:fldChar w:fldCharType="end"/>
      </w:r>
      <w:r w:rsidRPr="00A956B3">
        <w:rPr>
          <w:rFonts w:ascii="Times New Roman" w:hAnsi="Times New Roman" w:cs="Times New Roman"/>
          <w:bCs/>
          <w:color w:val="000000" w:themeColor="text1"/>
        </w:rPr>
        <w:t xml:space="preserve">, assessed using birthweight data from medical records. </w:t>
      </w:r>
    </w:p>
    <w:p w14:paraId="539F131D" w14:textId="77777777" w:rsidR="00F20834" w:rsidRPr="00A956B3" w:rsidRDefault="00F20834" w:rsidP="00F20834">
      <w:pPr>
        <w:spacing w:line="480" w:lineRule="auto"/>
        <w:ind w:firstLine="708"/>
        <w:contextualSpacing/>
        <w:jc w:val="both"/>
        <w:rPr>
          <w:rFonts w:ascii="Times New Roman" w:hAnsi="Times New Roman" w:cs="Times New Roman"/>
          <w:bCs/>
          <w:color w:val="000000" w:themeColor="text1"/>
        </w:rPr>
      </w:pPr>
    </w:p>
    <w:p w14:paraId="58741A4C" w14:textId="77777777" w:rsidR="00182F13" w:rsidRPr="00A956B3" w:rsidRDefault="00182F13" w:rsidP="00182F13">
      <w:pPr>
        <w:spacing w:line="480" w:lineRule="auto"/>
        <w:contextualSpacing/>
        <w:jc w:val="both"/>
        <w:rPr>
          <w:rFonts w:ascii="Times New Roman" w:hAnsi="Times New Roman" w:cs="Times New Roman"/>
          <w:b/>
          <w:color w:val="000000" w:themeColor="text1"/>
        </w:rPr>
      </w:pPr>
      <w:r w:rsidRPr="00A956B3">
        <w:rPr>
          <w:rFonts w:ascii="Times New Roman" w:hAnsi="Times New Roman" w:cs="Times New Roman"/>
          <w:b/>
          <w:color w:val="000000" w:themeColor="text1"/>
        </w:rPr>
        <w:lastRenderedPageBreak/>
        <w:t>Performance metrics</w:t>
      </w:r>
    </w:p>
    <w:p w14:paraId="7921BBE2" w14:textId="77777777" w:rsidR="00182F13" w:rsidRPr="00A956B3" w:rsidRDefault="00182F13" w:rsidP="00182F13">
      <w:pPr>
        <w:spacing w:line="480" w:lineRule="auto"/>
        <w:ind w:firstLine="708"/>
        <w:contextualSpacing/>
        <w:jc w:val="both"/>
        <w:rPr>
          <w:rFonts w:ascii="Times New Roman" w:eastAsiaTheme="minorEastAsia" w:hAnsi="Times New Roman" w:cs="Times New Roman"/>
          <w:color w:val="000000" w:themeColor="text1"/>
        </w:rPr>
      </w:pPr>
      <w:r w:rsidRPr="00A956B3">
        <w:rPr>
          <w:rFonts w:ascii="Times New Roman" w:hAnsi="Times New Roman" w:cs="Times New Roman"/>
          <w:color w:val="000000" w:themeColor="text1"/>
        </w:rPr>
        <w:t xml:space="preserve">We assessed overall model performance using the scaled Brier score which is calculated using the following formula: </w:t>
      </w:r>
    </w:p>
    <w:p w14:paraId="1E31CAFC" w14:textId="77777777" w:rsidR="00182F13" w:rsidRPr="00A956B3" w:rsidRDefault="00182F13" w:rsidP="00182F13">
      <w:pPr>
        <w:spacing w:line="480" w:lineRule="auto"/>
        <w:contextualSpacing/>
        <w:jc w:val="center"/>
        <w:rPr>
          <w:rFonts w:ascii="Times New Roman" w:hAnsi="Times New Roman" w:cs="Times New Roman"/>
          <w:color w:val="000000" w:themeColor="text1"/>
        </w:rPr>
      </w:pPr>
      <w:r w:rsidRPr="00A956B3">
        <w:rPr>
          <w:rFonts w:ascii="Times New Roman" w:hAnsi="Times New Roman" w:cs="Times New Roman"/>
          <w:color w:val="000000" w:themeColor="text1"/>
        </w:rPr>
        <w:t xml:space="preserve">Brier </w:t>
      </w:r>
      <w:proofErr w:type="spellStart"/>
      <w:r w:rsidRPr="00A956B3">
        <w:rPr>
          <w:rFonts w:ascii="Times New Roman" w:hAnsi="Times New Roman" w:cs="Times New Roman"/>
          <w:color w:val="000000" w:themeColor="text1"/>
        </w:rPr>
        <w:t>score</w:t>
      </w:r>
      <w:r w:rsidRPr="00A956B3">
        <w:rPr>
          <w:rFonts w:ascii="Times New Roman" w:hAnsi="Times New Roman" w:cs="Times New Roman"/>
          <w:color w:val="000000" w:themeColor="text1"/>
          <w:vertAlign w:val="subscript"/>
        </w:rPr>
        <w:t>scaled</w:t>
      </w:r>
      <w:proofErr w:type="spellEnd"/>
      <w:r w:rsidRPr="00A956B3">
        <w:rPr>
          <w:rFonts w:ascii="Times New Roman" w:hAnsi="Times New Roman" w:cs="Times New Roman"/>
          <w:color w:val="000000" w:themeColor="text1"/>
        </w:rPr>
        <w:t xml:space="preserve"> = 1- </w:t>
      </w:r>
      <m:oMath>
        <m:d>
          <m:dPr>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N</m:t>
                </m:r>
              </m:den>
            </m:f>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N</m:t>
                </m:r>
              </m:sup>
              <m:e>
                <m:sSup>
                  <m:sSupPr>
                    <m:ctrlPr>
                      <w:rPr>
                        <w:rFonts w:ascii="Cambria Math" w:hAnsi="Cambria Math" w:cs="Times New Roman"/>
                        <w:i/>
                        <w:color w:val="000000" w:themeColor="text1"/>
                      </w:rPr>
                    </m:ctrlPr>
                  </m:sSupPr>
                  <m:e>
                    <m:sSub>
                      <m:sSubPr>
                        <m:ctrlPr>
                          <w:rPr>
                            <w:rFonts w:ascii="Cambria Math" w:hAnsi="Cambria Math" w:cs="Times New Roman"/>
                            <w:color w:val="000000" w:themeColor="text1"/>
                          </w:rPr>
                        </m:ctrlPr>
                      </m:sSubPr>
                      <m:e>
                        <m:r>
                          <w:rPr>
                            <w:rFonts w:ascii="Cambria Math" w:hAnsi="Cambria Math" w:cs="Times New Roman"/>
                            <w:color w:val="000000" w:themeColor="text1"/>
                          </w:rPr>
                          <m:t>(</m:t>
                        </m:r>
                        <m:acc>
                          <m:accPr>
                            <m:ctrlPr>
                              <w:rPr>
                                <w:rFonts w:ascii="Cambria Math" w:hAnsi="Cambria Math" w:cs="Times New Roman"/>
                                <w:i/>
                                <w:color w:val="000000" w:themeColor="text1"/>
                              </w:rPr>
                            </m:ctrlPr>
                          </m:accPr>
                          <m:e>
                            <m:r>
                              <w:rPr>
                                <w:rFonts w:ascii="Cambria Math" w:hAnsi="Cambria Math" w:cs="Times New Roman"/>
                                <w:color w:val="000000" w:themeColor="text1"/>
                              </w:rPr>
                              <m:t>Y</m:t>
                            </m:r>
                          </m:e>
                        </m:acc>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r>
                      <w:rPr>
                        <w:rFonts w:ascii="Cambria Math" w:hAnsi="Cambria Math" w:cs="Times New Roman"/>
                        <w:color w:val="000000" w:themeColor="text1"/>
                      </w:rPr>
                      <m:t>)</m:t>
                    </m:r>
                  </m:e>
                  <m:sup>
                    <m:r>
                      <w:rPr>
                        <w:rFonts w:ascii="Cambria Math" w:hAnsi="Cambria Math" w:cs="Times New Roman"/>
                        <w:color w:val="000000" w:themeColor="text1"/>
                      </w:rPr>
                      <m:t>2</m:t>
                    </m:r>
                  </m:sup>
                </m:sSup>
                <m:r>
                  <w:rPr>
                    <w:rFonts w:ascii="Cambria Math" w:hAnsi="Cambria Math" w:cs="Times New Roman"/>
                    <w:color w:val="000000" w:themeColor="text1"/>
                  </w:rPr>
                  <m:t>/</m:t>
                </m:r>
              </m:e>
            </m:nary>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N</m:t>
                </m:r>
              </m:den>
            </m:f>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N</m:t>
                </m:r>
              </m:sup>
              <m:e>
                <m:sSup>
                  <m:sSupPr>
                    <m:ctrlPr>
                      <w:rPr>
                        <w:rFonts w:ascii="Cambria Math" w:hAnsi="Cambria Math" w:cs="Times New Roman"/>
                        <w:i/>
                        <w:color w:val="000000" w:themeColor="text1"/>
                      </w:rPr>
                    </m:ctrlPr>
                  </m:sSupPr>
                  <m:e>
                    <m:r>
                      <m:rPr>
                        <m:sty m:val="p"/>
                      </m:rPr>
                      <w:rPr>
                        <w:rFonts w:ascii="Cambria Math" w:hAnsi="Cambria Math" w:cs="Times New Roman"/>
                        <w:color w:val="000000" w:themeColor="text1"/>
                      </w:rPr>
                      <m:t>(</m:t>
                    </m:r>
                    <m:acc>
                      <m:accPr>
                        <m:chr m:val="̅"/>
                        <m:ctrlPr>
                          <w:rPr>
                            <w:rFonts w:ascii="Cambria Math" w:hAnsi="Cambria Math" w:cs="Times New Roman"/>
                            <w:color w:val="000000" w:themeColor="text1"/>
                          </w:rPr>
                        </m:ctrlPr>
                      </m:accPr>
                      <m:e>
                        <m:r>
                          <w:rPr>
                            <w:rFonts w:ascii="Cambria Math" w:hAnsi="Cambria Math" w:cs="Times New Roman"/>
                            <w:color w:val="000000" w:themeColor="text1"/>
                          </w:rPr>
                          <m:t>Y</m:t>
                        </m:r>
                      </m:e>
                    </m:acc>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r>
                      <w:rPr>
                        <w:rFonts w:ascii="Cambria Math" w:hAnsi="Cambria Math" w:cs="Times New Roman"/>
                        <w:color w:val="000000" w:themeColor="text1"/>
                      </w:rPr>
                      <m:t>)</m:t>
                    </m:r>
                  </m:e>
                  <m:sup>
                    <m:r>
                      <w:rPr>
                        <w:rFonts w:ascii="Cambria Math" w:hAnsi="Cambria Math" w:cs="Times New Roman"/>
                        <w:color w:val="000000" w:themeColor="text1"/>
                      </w:rPr>
                      <m:t>2</m:t>
                    </m:r>
                  </m:sup>
                </m:sSup>
              </m:e>
            </m:nary>
          </m:e>
        </m:d>
      </m:oMath>
    </w:p>
    <w:p w14:paraId="7744DF04" w14:textId="77777777" w:rsidR="00182F13" w:rsidRPr="00A956B3" w:rsidRDefault="00182F13" w:rsidP="00182F13">
      <w:pPr>
        <w:spacing w:line="480" w:lineRule="auto"/>
        <w:ind w:firstLine="708"/>
        <w:contextualSpacing/>
        <w:jc w:val="both"/>
        <w:rPr>
          <w:rFonts w:ascii="Times New Roman" w:eastAsiaTheme="minorEastAsia" w:hAnsi="Times New Roman" w:cs="Times New Roman"/>
          <w:color w:val="000000" w:themeColor="text1"/>
        </w:rPr>
      </w:pPr>
      <w:r w:rsidRPr="00A956B3">
        <w:rPr>
          <w:rFonts w:ascii="Times New Roman" w:hAnsi="Times New Roman" w:cs="Times New Roman"/>
          <w:color w:val="000000" w:themeColor="text1"/>
        </w:rPr>
        <w:t xml:space="preserve">where N represents the total number of participants in the test set, </w:t>
      </w:r>
      <m:oMath>
        <m:sSub>
          <m:sSubPr>
            <m:ctrlPr>
              <w:rPr>
                <w:rFonts w:ascii="Cambria Math" w:hAnsi="Cambria Math" w:cs="Times New Roman"/>
                <w:i/>
                <w:color w:val="000000" w:themeColor="text1"/>
              </w:rPr>
            </m:ctrlPr>
          </m:sSubPr>
          <m:e>
            <m:acc>
              <m:accPr>
                <m:ctrlPr>
                  <w:rPr>
                    <w:rFonts w:ascii="Cambria Math" w:hAnsi="Cambria Math" w:cs="Times New Roman"/>
                    <w:i/>
                    <w:color w:val="000000" w:themeColor="text1"/>
                  </w:rPr>
                </m:ctrlPr>
              </m:accPr>
              <m:e>
                <m:r>
                  <w:rPr>
                    <w:rFonts w:ascii="Cambria Math" w:hAnsi="Cambria Math" w:cs="Times New Roman"/>
                    <w:color w:val="000000" w:themeColor="text1"/>
                  </w:rPr>
                  <m:t>Y</m:t>
                </m:r>
              </m:e>
            </m:acc>
          </m:e>
          <m:sub>
            <m:r>
              <w:rPr>
                <w:rFonts w:ascii="Cambria Math" w:hAnsi="Cambria Math" w:cs="Times New Roman"/>
                <w:color w:val="000000" w:themeColor="text1"/>
              </w:rPr>
              <m:t>i</m:t>
            </m:r>
          </m:sub>
        </m:sSub>
      </m:oMath>
      <w:r w:rsidRPr="00A956B3">
        <w:rPr>
          <w:rFonts w:ascii="Times New Roman" w:eastAsiaTheme="minorEastAsia" w:hAnsi="Times New Roman" w:cs="Times New Roman"/>
          <w:color w:val="000000" w:themeColor="text1"/>
        </w:rPr>
        <w:t xml:space="preserve"> represents probability that the participant </w:t>
      </w:r>
      <w:proofErr w:type="spellStart"/>
      <w:r w:rsidRPr="00A956B3">
        <w:rPr>
          <w:rFonts w:ascii="Times New Roman" w:eastAsiaTheme="minorEastAsia" w:hAnsi="Times New Roman" w:cs="Times New Roman"/>
          <w:i/>
          <w:iCs/>
          <w:color w:val="000000" w:themeColor="text1"/>
        </w:rPr>
        <w:t>i</w:t>
      </w:r>
      <w:proofErr w:type="spellEnd"/>
      <w:r w:rsidRPr="00A956B3">
        <w:rPr>
          <w:rFonts w:ascii="Times New Roman" w:eastAsiaTheme="minorEastAsia" w:hAnsi="Times New Roman" w:cs="Times New Roman"/>
          <w:color w:val="000000" w:themeColor="text1"/>
        </w:rPr>
        <w:t xml:space="preserve"> has prediabetes/T2D,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oMath>
      <w:r w:rsidRPr="00A956B3">
        <w:rPr>
          <w:rFonts w:ascii="Times New Roman" w:eastAsiaTheme="minorEastAsia" w:hAnsi="Times New Roman" w:cs="Times New Roman"/>
          <w:color w:val="000000" w:themeColor="text1"/>
        </w:rPr>
        <w:t xml:space="preserve"> represents the observed outcome for participant </w:t>
      </w:r>
      <w:proofErr w:type="spellStart"/>
      <w:r w:rsidRPr="00A956B3">
        <w:rPr>
          <w:rFonts w:ascii="Times New Roman" w:eastAsiaTheme="minorEastAsia" w:hAnsi="Times New Roman" w:cs="Times New Roman"/>
          <w:i/>
          <w:iCs/>
          <w:color w:val="000000" w:themeColor="text1"/>
        </w:rPr>
        <w:t>i</w:t>
      </w:r>
      <w:proofErr w:type="spellEnd"/>
      <w:r w:rsidRPr="00A956B3">
        <w:rPr>
          <w:rFonts w:ascii="Times New Roman" w:eastAsiaTheme="minorEastAsia" w:hAnsi="Times New Roman" w:cs="Times New Roman"/>
          <w:color w:val="000000" w:themeColor="text1"/>
        </w:rPr>
        <w:t xml:space="preserve"> (1 if the participant was classified in the prediabetes/T2D group, 0 otherwise), and </w:t>
      </w:r>
      <m:oMath>
        <m:acc>
          <m:accPr>
            <m:chr m:val="̅"/>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Y</m:t>
            </m:r>
          </m:e>
        </m:acc>
      </m:oMath>
      <w:r w:rsidRPr="00A956B3">
        <w:rPr>
          <w:rFonts w:ascii="Times New Roman" w:eastAsiaTheme="minorEastAsia" w:hAnsi="Times New Roman" w:cs="Times New Roman"/>
          <w:color w:val="000000" w:themeColor="text1"/>
        </w:rPr>
        <w:t xml:space="preserve"> represents the overall (marginal) observed probability for participant to developed prediabetes/T2D in the </w:t>
      </w:r>
      <w:r w:rsidRPr="00A956B3">
        <w:rPr>
          <w:rFonts w:ascii="Times New Roman" w:hAnsi="Times New Roman" w:cs="Times New Roman"/>
          <w:color w:val="000000" w:themeColor="text1"/>
        </w:rPr>
        <w:t>test set</w:t>
      </w:r>
      <w:r w:rsidRPr="00A956B3">
        <w:rPr>
          <w:rFonts w:ascii="Times New Roman" w:eastAsiaTheme="minorEastAsia" w:hAnsi="Times New Roman" w:cs="Times New Roman"/>
          <w:color w:val="000000" w:themeColor="text1"/>
        </w:rPr>
        <w:t xml:space="preserve">. </w:t>
      </w:r>
    </w:p>
    <w:p w14:paraId="3995C94E" w14:textId="0288F97D" w:rsidR="00182F13" w:rsidRPr="00A956B3" w:rsidRDefault="00182F13" w:rsidP="006901C2">
      <w:pPr>
        <w:spacing w:line="480" w:lineRule="auto"/>
        <w:ind w:firstLine="708"/>
        <w:contextualSpacing/>
        <w:jc w:val="both"/>
        <w:rPr>
          <w:rFonts w:ascii="Times New Roman" w:eastAsiaTheme="minorEastAsia" w:hAnsi="Times New Roman" w:cs="Times New Roman"/>
          <w:color w:val="000000" w:themeColor="text1"/>
        </w:rPr>
      </w:pPr>
      <w:r w:rsidRPr="00A956B3">
        <w:rPr>
          <w:rFonts w:ascii="Times New Roman" w:eastAsiaTheme="minorEastAsia" w:hAnsi="Times New Roman" w:cs="Times New Roman"/>
          <w:color w:val="000000" w:themeColor="text1"/>
        </w:rPr>
        <w:t xml:space="preserve">We assessed the ability of the model to discriminate between participants with and without prediabetes/T2D using two performance metrics: (1) the area under the receiver operating characteristic curve (ROC-AUC) and (2) the area under the precision-recall curve (PR-AUC). The ROC curve plots sensitivity (true positive rate) on the y-axis against 1 - specificity (false positive rate) on the x-axis, across all classification thresholds derived from the test set predictions </w:t>
      </w:r>
      <w:r w:rsidRPr="00A956B3">
        <w:rPr>
          <w:rFonts w:ascii="Times New Roman" w:eastAsiaTheme="minorEastAsia" w:hAnsi="Times New Roman" w:cs="Times New Roman"/>
          <w:color w:val="000000" w:themeColor="text1"/>
        </w:rPr>
        <w:fldChar w:fldCharType="begin"/>
      </w:r>
      <w:r w:rsidR="00BF4B37" w:rsidRPr="00A956B3">
        <w:rPr>
          <w:rFonts w:ascii="Times New Roman" w:eastAsiaTheme="minorEastAsia" w:hAnsi="Times New Roman" w:cs="Times New Roman"/>
          <w:color w:val="000000" w:themeColor="text1"/>
        </w:rPr>
        <w:instrText xml:space="preserve"> ADDIN ZOTERO_ITEM CSL_CITATION {"citationID":"i3IzHkvQ","properties":{"formattedCitation":"[8]","plainCitation":"[8]","noteIndex":0},"citationItems":[{"id":3442,"uris":["http://zotero.org/users/local/WiC0VgBZ/items/ACMRNIXJ"],"itemData":{"id":3442,"type":"article-journal","abstract":"Using diagnostic testing to determine the presence or absence of a disease is essential in clinical practice. In many cases, test results are obtained as continuous values and require a process of conversion and interpretation and into a dichotomous form to determine the presence of a disease. The primary method used for this process is the receiver operating characteristic (ROC) curve. The ROC curve is used to assess the overall diagnostic performance of a test and to compare the performance of two or more diagnostic tests. It is also used to select an optimal cut-off value for determining the presence or absence of a disease. Although clinicians who do not have expertise in statistics do not need to understand both the complex mathematical equation and the analytic process of ROC curves, understanding the core concepts of the ROC curve analysis is a prerequisite for the proper use and interpretation of the ROC curve. This review describes the basic concepts for the correct use and interpretation of the ROC curve, including parametric/nonparametric ROC curves, the meaning of the area under the ROC curve (AUC), the partial AUC, methods for selecting the best cut-off value, and the statistical software to use for ROC curve analyses.","container-title":"Korean Journal of Anesthesiology","DOI":"10.4097/kja.21209","ISSN":"2005-6419","issue":"1","journalAbbreviation":"Korean J Anesthesiol","note":"PMID: 35124947\nPMCID: PMC8831439","page":"25-36","source":"PubMed Central","title":"Receiver operating characteristic curve: overview and practical use for clinicians","title-short":"Receiver operating characteristic curve","volume":"75","author":[{"family":"Nahm","given":"Francis Sahngun"}],"issued":{"date-parts":[["2022",2]]}}}],"schema":"https://github.com/citation-style-language/schema/raw/master/csl-citation.json"} </w:instrText>
      </w:r>
      <w:r w:rsidRPr="00A956B3">
        <w:rPr>
          <w:rFonts w:ascii="Times New Roman" w:eastAsiaTheme="minorEastAsia" w:hAnsi="Times New Roman" w:cs="Times New Roman"/>
          <w:color w:val="000000" w:themeColor="text1"/>
        </w:rPr>
        <w:fldChar w:fldCharType="separate"/>
      </w:r>
      <w:r w:rsidR="00BF4B37" w:rsidRPr="00A956B3">
        <w:rPr>
          <w:rFonts w:ascii="Times New Roman" w:eastAsiaTheme="minorEastAsia" w:hAnsi="Times New Roman" w:cs="Times New Roman"/>
          <w:noProof/>
          <w:color w:val="000000" w:themeColor="text1"/>
        </w:rPr>
        <w:t>[8]</w:t>
      </w:r>
      <w:r w:rsidRPr="00A956B3">
        <w:rPr>
          <w:rFonts w:ascii="Times New Roman" w:eastAsiaTheme="minorEastAsia" w:hAnsi="Times New Roman" w:cs="Times New Roman"/>
          <w:color w:val="000000" w:themeColor="text1"/>
        </w:rPr>
        <w:fldChar w:fldCharType="end"/>
      </w:r>
      <w:r w:rsidRPr="00A956B3">
        <w:rPr>
          <w:rFonts w:ascii="Times New Roman" w:eastAsiaTheme="minorEastAsia" w:hAnsi="Times New Roman" w:cs="Times New Roman"/>
          <w:color w:val="000000" w:themeColor="text1"/>
        </w:rPr>
        <w:t>.</w:t>
      </w:r>
      <w:r w:rsidR="006901C2" w:rsidRPr="00A956B3">
        <w:rPr>
          <w:rFonts w:ascii="Times New Roman" w:eastAsiaTheme="minorEastAsia" w:hAnsi="Times New Roman" w:cs="Times New Roman"/>
          <w:color w:val="000000" w:themeColor="text1"/>
        </w:rPr>
        <w:t xml:space="preserve"> The ROC-AUC ranges from 0 to 1.0, where values below 0.5 indicate that the model predictions are worse than chance and 1.0 indicates perfect ability to discriminates between participants with and without the outcome.</w:t>
      </w:r>
      <w:r w:rsidRPr="00A956B3">
        <w:rPr>
          <w:rFonts w:ascii="Times New Roman" w:eastAsiaTheme="minorEastAsia" w:hAnsi="Times New Roman" w:cs="Times New Roman"/>
          <w:color w:val="000000" w:themeColor="text1"/>
        </w:rPr>
        <w:t xml:space="preserve"> Unlike the ROC curve, the PR curve focuses solely on performance of positive cases, plotting precision (positive predictive value) against recall (sensitivity) </w:t>
      </w:r>
      <w:r w:rsidRPr="00A956B3">
        <w:rPr>
          <w:rFonts w:ascii="Times New Roman" w:eastAsiaTheme="minorEastAsia" w:hAnsi="Times New Roman" w:cs="Times New Roman"/>
          <w:color w:val="000000" w:themeColor="text1"/>
        </w:rPr>
        <w:fldChar w:fldCharType="begin"/>
      </w:r>
      <w:r w:rsidR="00BF4B37" w:rsidRPr="00A956B3">
        <w:rPr>
          <w:rFonts w:ascii="Times New Roman" w:eastAsiaTheme="minorEastAsia" w:hAnsi="Times New Roman" w:cs="Times New Roman"/>
          <w:color w:val="000000" w:themeColor="text1"/>
        </w:rPr>
        <w:instrText xml:space="preserve"> ADDIN ZOTERO_ITEM CSL_CITATION {"citationID":"wv35b4Tz","properties":{"formattedCitation":"[9]","plainCitation":"[9]","noteIndex":0},"citationItems":[{"id":3447,"uris":["http://zotero.org/users/local/WiC0VgBZ/items/FJWKK32V"],"itemData":{"id":3447,"type":"article-journal","abstract":"Many domains in the field of Inductive Logic Programming (ILP) involve highly unbalanced data. A common way to measure performance in these domains is to use precision and recall instead of simply using accuracy. The goal of our research is to find new approaches within ILP particularly suited for large, highly-skewed domains. We propose Gleaner, a randomized search method that collects good clauses from a broad spectrum of points along the recall dimension in recall-precision curves and employs an “at least L of these K clauses” thresholding method to combine sets of selected clauses. Our research focuses on Multi-Slot Information Extraction (IE), a task that typically involves many more negative examples than positive examples. We formulate this problem into a relational domain, using two large testbeds involving the extraction of important relations from the abstracts of biomedical journal articles. We compare Gleaner to ensembles of standard theories learned by Aleph, finding that Gleaner produces comparable testset results in a fraction of the training time.","container-title":"Machine Learning","DOI":"10.1007/s10994-006-8958-3","ISSN":"1573-0565","issue":"1","journalAbbreviation":"Mach Learn","language":"en","page":"231-261","source":"Springer Link","title":"Gleaner: Creating ensembles of first-order clauses to improve recall-precision curves","title-short":"Gleaner","volume":"64","author":[{"family":"Goadrich","given":"Mark"},{"family":"Oliphant","given":"Louis"},{"family":"Shavlik","given":"Jude"}],"issued":{"date-parts":[["2006",9,1]]}}}],"schema":"https://github.com/citation-style-language/schema/raw/master/csl-citation.json"} </w:instrText>
      </w:r>
      <w:r w:rsidRPr="00A956B3">
        <w:rPr>
          <w:rFonts w:ascii="Times New Roman" w:eastAsiaTheme="minorEastAsia" w:hAnsi="Times New Roman" w:cs="Times New Roman"/>
          <w:color w:val="000000" w:themeColor="text1"/>
        </w:rPr>
        <w:fldChar w:fldCharType="separate"/>
      </w:r>
      <w:r w:rsidR="00BF4B37" w:rsidRPr="00A956B3">
        <w:rPr>
          <w:rFonts w:ascii="Times New Roman" w:eastAsiaTheme="minorEastAsia" w:hAnsi="Times New Roman" w:cs="Times New Roman"/>
          <w:noProof/>
          <w:color w:val="000000" w:themeColor="text1"/>
        </w:rPr>
        <w:t>[9]</w:t>
      </w:r>
      <w:r w:rsidRPr="00A956B3">
        <w:rPr>
          <w:rFonts w:ascii="Times New Roman" w:eastAsiaTheme="minorEastAsia" w:hAnsi="Times New Roman" w:cs="Times New Roman"/>
          <w:color w:val="000000" w:themeColor="text1"/>
        </w:rPr>
        <w:fldChar w:fldCharType="end"/>
      </w:r>
      <w:r w:rsidRPr="00A956B3">
        <w:rPr>
          <w:rFonts w:ascii="Times New Roman" w:eastAsiaTheme="minorEastAsia" w:hAnsi="Times New Roman" w:cs="Times New Roman"/>
          <w:color w:val="000000" w:themeColor="text1"/>
        </w:rPr>
        <w:t xml:space="preserve">. </w:t>
      </w:r>
      <w:r w:rsidR="006901C2" w:rsidRPr="00A956B3">
        <w:rPr>
          <w:rFonts w:ascii="Times New Roman" w:eastAsiaTheme="minorEastAsia" w:hAnsi="Times New Roman" w:cs="Times New Roman"/>
          <w:color w:val="000000" w:themeColor="text1"/>
        </w:rPr>
        <w:t>This performance metric is more informative in the context of unbalanced datasets (where one class is significantly more prevalent than the other) and evaluates how well the model can correctly identify positive cases while minimizing false positives. The PR-AUC ranges from 0 to 1.0, where values below the proportion of positive cases (</w:t>
      </w:r>
      <w:r w:rsidR="006901C2" w:rsidRPr="00A956B3">
        <w:rPr>
          <w:rFonts w:ascii="Times New Roman" w:eastAsiaTheme="minorEastAsia" w:hAnsi="Times New Roman" w:cs="Times New Roman"/>
          <w:i/>
          <w:iCs/>
          <w:color w:val="000000" w:themeColor="text1"/>
        </w:rPr>
        <w:t>p</w:t>
      </w:r>
      <w:r w:rsidR="006901C2" w:rsidRPr="00A956B3">
        <w:rPr>
          <w:rFonts w:ascii="Times New Roman" w:eastAsiaTheme="minorEastAsia" w:hAnsi="Times New Roman" w:cs="Times New Roman"/>
          <w:color w:val="000000" w:themeColor="text1"/>
        </w:rPr>
        <w:t>) in the test set indicate that the model predictions are worse than chance.</w:t>
      </w:r>
    </w:p>
    <w:p w14:paraId="5C36ACB8" w14:textId="77777777" w:rsidR="0098027D" w:rsidRPr="00A956B3" w:rsidRDefault="0098027D" w:rsidP="00182F13">
      <w:pPr>
        <w:spacing w:line="480" w:lineRule="auto"/>
        <w:contextualSpacing/>
        <w:jc w:val="both"/>
        <w:rPr>
          <w:rFonts w:ascii="Times New Roman" w:eastAsiaTheme="minorEastAsia" w:hAnsi="Times New Roman" w:cs="Times New Roman"/>
          <w:color w:val="000000" w:themeColor="text1"/>
        </w:rPr>
        <w:sectPr w:rsidR="0098027D" w:rsidRPr="00A956B3" w:rsidSect="000A2353">
          <w:pgSz w:w="12240" w:h="15840"/>
          <w:pgMar w:top="1440" w:right="1440" w:bottom="1440" w:left="1440" w:header="708" w:footer="708" w:gutter="0"/>
          <w:cols w:space="708"/>
          <w:docGrid w:linePitch="360"/>
        </w:sectPr>
      </w:pPr>
    </w:p>
    <w:p w14:paraId="1445EB05" w14:textId="49827C48" w:rsidR="00F70AA7" w:rsidRPr="00A956B3" w:rsidRDefault="00F70AA7" w:rsidP="00182F13">
      <w:pPr>
        <w:spacing w:line="480" w:lineRule="auto"/>
        <w:contextualSpacing/>
        <w:jc w:val="both"/>
        <w:rPr>
          <w:rFonts w:ascii="Times New Roman" w:eastAsiaTheme="minorEastAsia" w:hAnsi="Times New Roman" w:cs="Times New Roman"/>
          <w:color w:val="000000" w:themeColor="text1"/>
        </w:rPr>
      </w:pPr>
      <w:r w:rsidRPr="00A956B3">
        <w:rPr>
          <w:rFonts w:ascii="Times New Roman" w:eastAsiaTheme="minorEastAsia" w:hAnsi="Times New Roman" w:cs="Times New Roman"/>
          <w:color w:val="000000" w:themeColor="text1"/>
        </w:rPr>
        <w:lastRenderedPageBreak/>
        <w:t>References</w:t>
      </w:r>
    </w:p>
    <w:p w14:paraId="750D0D59" w14:textId="77777777" w:rsidR="00BF4B37" w:rsidRPr="00A956B3" w:rsidRDefault="00F70AA7" w:rsidP="00BF4B37">
      <w:pPr>
        <w:pStyle w:val="Bibliography"/>
        <w:rPr>
          <w:rFonts w:ascii="Times New Roman" w:hAnsi="Times New Roman" w:cs="Times New Roman"/>
          <w:color w:val="000000" w:themeColor="text1"/>
          <w:lang w:val="en-US"/>
        </w:rPr>
      </w:pPr>
      <w:r w:rsidRPr="00A956B3">
        <w:rPr>
          <w:bCs/>
          <w:color w:val="000000" w:themeColor="text1"/>
        </w:rPr>
        <w:fldChar w:fldCharType="begin"/>
      </w:r>
      <w:r w:rsidR="00BF4B37" w:rsidRPr="00A956B3">
        <w:rPr>
          <w:bCs/>
          <w:color w:val="000000" w:themeColor="text1"/>
        </w:rPr>
        <w:instrText xml:space="preserve"> ADDIN ZOTERO_BIBL {"uncited":[],"omitted":[],"custom":[]} CSL_BIBLIOGRAPHY </w:instrText>
      </w:r>
      <w:r w:rsidRPr="00A956B3">
        <w:rPr>
          <w:bCs/>
          <w:color w:val="000000" w:themeColor="text1"/>
        </w:rPr>
        <w:fldChar w:fldCharType="separate"/>
      </w:r>
      <w:r w:rsidR="00BF4B37" w:rsidRPr="00A956B3">
        <w:rPr>
          <w:rFonts w:ascii="Times New Roman" w:hAnsi="Times New Roman" w:cs="Times New Roman"/>
          <w:color w:val="000000" w:themeColor="text1"/>
          <w:lang w:val="en-US"/>
        </w:rPr>
        <w:t xml:space="preserve">[1] </w:t>
      </w:r>
      <w:r w:rsidR="00BF4B37" w:rsidRPr="00A956B3">
        <w:rPr>
          <w:rFonts w:ascii="Times New Roman" w:hAnsi="Times New Roman" w:cs="Times New Roman"/>
          <w:color w:val="000000" w:themeColor="text1"/>
          <w:lang w:val="en-US"/>
        </w:rPr>
        <w:tab/>
        <w:t xml:space="preserve">Magee LA, Smith GN, Bloch C, et al. Guideline No. 426: Hypertensive Disorders of Pregnancy: Diagnosis, Prediction, Prevention, and Management. </w:t>
      </w:r>
      <w:r w:rsidR="00BF4B37" w:rsidRPr="00A956B3">
        <w:rPr>
          <w:rFonts w:ascii="Times New Roman" w:hAnsi="Times New Roman" w:cs="Times New Roman"/>
          <w:i/>
          <w:iCs/>
          <w:color w:val="000000" w:themeColor="text1"/>
          <w:lang w:val="en-US"/>
        </w:rPr>
        <w:t>Journal of Obstetrics and Gynaecology Canada</w:t>
      </w:r>
      <w:r w:rsidR="00BF4B37" w:rsidRPr="00A956B3">
        <w:rPr>
          <w:rFonts w:ascii="Times New Roman" w:hAnsi="Times New Roman" w:cs="Times New Roman"/>
          <w:color w:val="000000" w:themeColor="text1"/>
          <w:lang w:val="en-US"/>
        </w:rPr>
        <w:t xml:space="preserve"> 2022; 44: 547-571.e1.</w:t>
      </w:r>
    </w:p>
    <w:p w14:paraId="10C607D2" w14:textId="77777777" w:rsidR="00BF4B37" w:rsidRPr="00A956B3" w:rsidRDefault="00BF4B37" w:rsidP="00BF4B37">
      <w:pPr>
        <w:pStyle w:val="Bibliography"/>
        <w:rPr>
          <w:rFonts w:ascii="Times New Roman" w:hAnsi="Times New Roman" w:cs="Times New Roman"/>
          <w:color w:val="000000" w:themeColor="text1"/>
          <w:lang w:val="en-US"/>
        </w:rPr>
      </w:pPr>
      <w:r w:rsidRPr="00A956B3">
        <w:rPr>
          <w:rFonts w:ascii="Times New Roman" w:hAnsi="Times New Roman" w:cs="Times New Roman"/>
          <w:color w:val="000000" w:themeColor="text1"/>
          <w:lang w:val="en-US"/>
        </w:rPr>
        <w:t xml:space="preserve">[2] </w:t>
      </w:r>
      <w:r w:rsidRPr="00A956B3">
        <w:rPr>
          <w:rFonts w:ascii="Times New Roman" w:hAnsi="Times New Roman" w:cs="Times New Roman"/>
          <w:color w:val="000000" w:themeColor="text1"/>
          <w:lang w:val="en-US"/>
        </w:rPr>
        <w:tab/>
        <w:t xml:space="preserve">Carpenter MW, Coustan DR. Criteria for screening tests for gestational diabetes. </w:t>
      </w:r>
      <w:r w:rsidRPr="00A956B3">
        <w:rPr>
          <w:rFonts w:ascii="Times New Roman" w:hAnsi="Times New Roman" w:cs="Times New Roman"/>
          <w:i/>
          <w:iCs/>
          <w:color w:val="000000" w:themeColor="text1"/>
          <w:lang w:val="en-US"/>
        </w:rPr>
        <w:t>American Journal of Obstetrics and Gynecology</w:t>
      </w:r>
      <w:r w:rsidRPr="00A956B3">
        <w:rPr>
          <w:rFonts w:ascii="Times New Roman" w:hAnsi="Times New Roman" w:cs="Times New Roman"/>
          <w:color w:val="000000" w:themeColor="text1"/>
          <w:lang w:val="en-US"/>
        </w:rPr>
        <w:t xml:space="preserve"> 1982; 144: 768–773.</w:t>
      </w:r>
    </w:p>
    <w:p w14:paraId="1826B9C4" w14:textId="77777777" w:rsidR="00BF4B37" w:rsidRPr="00A956B3" w:rsidRDefault="00BF4B37" w:rsidP="00BF4B37">
      <w:pPr>
        <w:pStyle w:val="Bibliography"/>
        <w:rPr>
          <w:rFonts w:ascii="Times New Roman" w:hAnsi="Times New Roman" w:cs="Times New Roman"/>
          <w:color w:val="000000" w:themeColor="text1"/>
          <w:lang w:val="fr-CA"/>
        </w:rPr>
      </w:pPr>
      <w:r w:rsidRPr="00A956B3">
        <w:rPr>
          <w:rFonts w:ascii="Times New Roman" w:hAnsi="Times New Roman" w:cs="Times New Roman"/>
          <w:color w:val="000000" w:themeColor="text1"/>
          <w:lang w:val="en-US"/>
        </w:rPr>
        <w:t xml:space="preserve">[3] </w:t>
      </w:r>
      <w:r w:rsidRPr="00A956B3">
        <w:rPr>
          <w:rFonts w:ascii="Times New Roman" w:hAnsi="Times New Roman" w:cs="Times New Roman"/>
          <w:color w:val="000000" w:themeColor="text1"/>
          <w:lang w:val="en-US"/>
        </w:rPr>
        <w:tab/>
        <w:t xml:space="preserve">International Association of Diabetes and Pregnancy Study Groups Consensus Panel, Metzger BE, Gabbe SG, et al. International association of diabetes and pregnancy study groups recommendations on the diagnosis and classification of hyperglycemia in pregnancy. </w:t>
      </w:r>
      <w:r w:rsidRPr="00A956B3">
        <w:rPr>
          <w:rFonts w:ascii="Times New Roman" w:hAnsi="Times New Roman" w:cs="Times New Roman"/>
          <w:i/>
          <w:iCs/>
          <w:color w:val="000000" w:themeColor="text1"/>
          <w:lang w:val="fr-CA"/>
        </w:rPr>
        <w:t>Diabetes Care</w:t>
      </w:r>
      <w:r w:rsidRPr="00A956B3">
        <w:rPr>
          <w:rFonts w:ascii="Times New Roman" w:hAnsi="Times New Roman" w:cs="Times New Roman"/>
          <w:color w:val="000000" w:themeColor="text1"/>
          <w:lang w:val="fr-CA"/>
        </w:rPr>
        <w:t xml:space="preserve"> 2010; 33: 676–682.</w:t>
      </w:r>
    </w:p>
    <w:p w14:paraId="20B149B4" w14:textId="77777777" w:rsidR="00BF4B37" w:rsidRPr="00A956B3" w:rsidRDefault="00BF4B37" w:rsidP="00BF4B37">
      <w:pPr>
        <w:pStyle w:val="Bibliography"/>
        <w:rPr>
          <w:rFonts w:ascii="Times New Roman" w:hAnsi="Times New Roman" w:cs="Times New Roman"/>
          <w:color w:val="000000" w:themeColor="text1"/>
          <w:lang w:val="en-US"/>
        </w:rPr>
      </w:pPr>
      <w:r w:rsidRPr="00A956B3">
        <w:rPr>
          <w:rFonts w:ascii="Times New Roman" w:hAnsi="Times New Roman" w:cs="Times New Roman"/>
          <w:color w:val="000000" w:themeColor="text1"/>
          <w:lang w:val="fr-CA"/>
        </w:rPr>
        <w:t xml:space="preserve">[4] </w:t>
      </w:r>
      <w:r w:rsidRPr="00A956B3">
        <w:rPr>
          <w:rFonts w:ascii="Times New Roman" w:hAnsi="Times New Roman" w:cs="Times New Roman"/>
          <w:color w:val="000000" w:themeColor="text1"/>
          <w:lang w:val="fr-CA"/>
        </w:rPr>
        <w:tab/>
        <w:t xml:space="preserve">Magee LA, Pels A, Helewa M, et al. </w:t>
      </w:r>
      <w:r w:rsidRPr="00A956B3">
        <w:rPr>
          <w:rFonts w:ascii="Times New Roman" w:hAnsi="Times New Roman" w:cs="Times New Roman"/>
          <w:color w:val="000000" w:themeColor="text1"/>
          <w:lang w:val="en-US"/>
        </w:rPr>
        <w:t xml:space="preserve">Diagnosis, Evaluation, and Management of the Hypertensive Disorders of Pregnancy: Executive Summary. </w:t>
      </w:r>
      <w:r w:rsidRPr="00A956B3">
        <w:rPr>
          <w:rFonts w:ascii="Times New Roman" w:hAnsi="Times New Roman" w:cs="Times New Roman"/>
          <w:i/>
          <w:iCs/>
          <w:color w:val="000000" w:themeColor="text1"/>
          <w:lang w:val="en-US"/>
        </w:rPr>
        <w:t>Journal of Obstetrics and Gynaecology Canada</w:t>
      </w:r>
      <w:r w:rsidRPr="00A956B3">
        <w:rPr>
          <w:rFonts w:ascii="Times New Roman" w:hAnsi="Times New Roman" w:cs="Times New Roman"/>
          <w:color w:val="000000" w:themeColor="text1"/>
          <w:lang w:val="en-US"/>
        </w:rPr>
        <w:t xml:space="preserve"> 2014; 36: 416–438.</w:t>
      </w:r>
    </w:p>
    <w:p w14:paraId="4C654C64" w14:textId="77777777" w:rsidR="00BF4B37" w:rsidRPr="00A956B3" w:rsidRDefault="00BF4B37" w:rsidP="00BF4B37">
      <w:pPr>
        <w:pStyle w:val="Bibliography"/>
        <w:rPr>
          <w:rFonts w:ascii="Times New Roman" w:hAnsi="Times New Roman" w:cs="Times New Roman"/>
          <w:color w:val="000000" w:themeColor="text1"/>
          <w:lang w:val="en-US"/>
        </w:rPr>
      </w:pPr>
      <w:r w:rsidRPr="00A956B3">
        <w:rPr>
          <w:rFonts w:ascii="Times New Roman" w:hAnsi="Times New Roman" w:cs="Times New Roman"/>
          <w:color w:val="000000" w:themeColor="text1"/>
          <w:lang w:val="en-US"/>
        </w:rPr>
        <w:t xml:space="preserve">[5] </w:t>
      </w:r>
      <w:r w:rsidRPr="00A956B3">
        <w:rPr>
          <w:rFonts w:ascii="Times New Roman" w:hAnsi="Times New Roman" w:cs="Times New Roman"/>
          <w:color w:val="000000" w:themeColor="text1"/>
          <w:lang w:val="en-US"/>
        </w:rPr>
        <w:tab/>
        <w:t xml:space="preserve">Tripathi RR, Rifas‐Shiman SL, Hawley N, et al. Hypertensive Disorders of Pregnancy and Offspring Cardiometabolic Health at Midchildhood: Project Viva Findings. </w:t>
      </w:r>
      <w:r w:rsidRPr="00A956B3">
        <w:rPr>
          <w:rFonts w:ascii="Times New Roman" w:hAnsi="Times New Roman" w:cs="Times New Roman"/>
          <w:i/>
          <w:iCs/>
          <w:color w:val="000000" w:themeColor="text1"/>
          <w:lang w:val="en-US"/>
        </w:rPr>
        <w:t>Journal of the American Heart Association</w:t>
      </w:r>
      <w:r w:rsidRPr="00A956B3">
        <w:rPr>
          <w:rFonts w:ascii="Times New Roman" w:hAnsi="Times New Roman" w:cs="Times New Roman"/>
          <w:color w:val="000000" w:themeColor="text1"/>
          <w:lang w:val="en-US"/>
        </w:rPr>
        <w:t xml:space="preserve"> 2018; 7: e007426.</w:t>
      </w:r>
    </w:p>
    <w:p w14:paraId="65307589" w14:textId="77777777" w:rsidR="00BF4B37" w:rsidRPr="00A956B3" w:rsidRDefault="00BF4B37" w:rsidP="00BF4B37">
      <w:pPr>
        <w:pStyle w:val="Bibliography"/>
        <w:rPr>
          <w:rFonts w:ascii="Times New Roman" w:hAnsi="Times New Roman" w:cs="Times New Roman"/>
          <w:color w:val="000000" w:themeColor="text1"/>
          <w:lang w:val="en-US"/>
        </w:rPr>
      </w:pPr>
      <w:r w:rsidRPr="00A956B3">
        <w:rPr>
          <w:rFonts w:ascii="Times New Roman" w:hAnsi="Times New Roman" w:cs="Times New Roman"/>
          <w:color w:val="000000" w:themeColor="text1"/>
          <w:lang w:val="en-US"/>
        </w:rPr>
        <w:t xml:space="preserve">[6] </w:t>
      </w:r>
      <w:r w:rsidRPr="00A956B3">
        <w:rPr>
          <w:rFonts w:ascii="Times New Roman" w:hAnsi="Times New Roman" w:cs="Times New Roman"/>
          <w:color w:val="000000" w:themeColor="text1"/>
          <w:lang w:val="en-US"/>
        </w:rPr>
        <w:tab/>
        <w:t xml:space="preserve">CDC. Preterm Birth. </w:t>
      </w:r>
      <w:r w:rsidRPr="00A956B3">
        <w:rPr>
          <w:rFonts w:ascii="Times New Roman" w:hAnsi="Times New Roman" w:cs="Times New Roman"/>
          <w:i/>
          <w:iCs/>
          <w:color w:val="000000" w:themeColor="text1"/>
          <w:lang w:val="en-US"/>
        </w:rPr>
        <w:t>Maternal Infant Health</w:t>
      </w:r>
      <w:r w:rsidRPr="00A956B3">
        <w:rPr>
          <w:rFonts w:ascii="Times New Roman" w:hAnsi="Times New Roman" w:cs="Times New Roman"/>
          <w:color w:val="000000" w:themeColor="text1"/>
          <w:lang w:val="en-US"/>
        </w:rPr>
        <w:t>, https://www.cdc.gov/maternal-infant-health/preterm-birth/index.html (2025, accessed 5 March 2025).</w:t>
      </w:r>
    </w:p>
    <w:p w14:paraId="0F1A077A" w14:textId="77777777" w:rsidR="00BF4B37" w:rsidRPr="00A956B3" w:rsidRDefault="00BF4B37" w:rsidP="00BF4B37">
      <w:pPr>
        <w:pStyle w:val="Bibliography"/>
        <w:rPr>
          <w:rFonts w:ascii="Times New Roman" w:hAnsi="Times New Roman" w:cs="Times New Roman"/>
          <w:color w:val="000000" w:themeColor="text1"/>
          <w:lang w:val="en-US"/>
        </w:rPr>
      </w:pPr>
      <w:r w:rsidRPr="00A956B3">
        <w:rPr>
          <w:rFonts w:ascii="Times New Roman" w:hAnsi="Times New Roman" w:cs="Times New Roman"/>
          <w:color w:val="000000" w:themeColor="text1"/>
          <w:lang w:val="en-US"/>
        </w:rPr>
        <w:t xml:space="preserve">[7] </w:t>
      </w:r>
      <w:r w:rsidRPr="00A956B3">
        <w:rPr>
          <w:rFonts w:ascii="Times New Roman" w:hAnsi="Times New Roman" w:cs="Times New Roman"/>
          <w:color w:val="000000" w:themeColor="text1"/>
          <w:lang w:val="en-US"/>
        </w:rPr>
        <w:tab/>
        <w:t xml:space="preserve">Araujo Júnior E, Peixoto AB, Zamarian ACP, et al. Macrosomia. </w:t>
      </w:r>
      <w:r w:rsidRPr="00A956B3">
        <w:rPr>
          <w:rFonts w:ascii="Times New Roman" w:hAnsi="Times New Roman" w:cs="Times New Roman"/>
          <w:i/>
          <w:iCs/>
          <w:color w:val="000000" w:themeColor="text1"/>
          <w:lang w:val="en-US"/>
        </w:rPr>
        <w:t>Best Pract Res Clin Obstet Gynaecol</w:t>
      </w:r>
      <w:r w:rsidRPr="00A956B3">
        <w:rPr>
          <w:rFonts w:ascii="Times New Roman" w:hAnsi="Times New Roman" w:cs="Times New Roman"/>
          <w:color w:val="000000" w:themeColor="text1"/>
          <w:lang w:val="en-US"/>
        </w:rPr>
        <w:t xml:space="preserve"> 2017; 38: 83–96.</w:t>
      </w:r>
    </w:p>
    <w:p w14:paraId="749D8CB6" w14:textId="77777777" w:rsidR="00BF4B37" w:rsidRPr="00A956B3" w:rsidRDefault="00BF4B37" w:rsidP="00BF4B37">
      <w:pPr>
        <w:pStyle w:val="Bibliography"/>
        <w:rPr>
          <w:rFonts w:ascii="Times New Roman" w:hAnsi="Times New Roman" w:cs="Times New Roman"/>
          <w:color w:val="000000" w:themeColor="text1"/>
          <w:lang w:val="en-US"/>
        </w:rPr>
      </w:pPr>
      <w:r w:rsidRPr="00A956B3">
        <w:rPr>
          <w:rFonts w:ascii="Times New Roman" w:hAnsi="Times New Roman" w:cs="Times New Roman"/>
          <w:color w:val="000000" w:themeColor="text1"/>
          <w:lang w:val="en-US"/>
        </w:rPr>
        <w:t xml:space="preserve">[8] </w:t>
      </w:r>
      <w:r w:rsidRPr="00A956B3">
        <w:rPr>
          <w:rFonts w:ascii="Times New Roman" w:hAnsi="Times New Roman" w:cs="Times New Roman"/>
          <w:color w:val="000000" w:themeColor="text1"/>
          <w:lang w:val="en-US"/>
        </w:rPr>
        <w:tab/>
        <w:t xml:space="preserve">Nahm FS. Receiver operating characteristic curve: overview and practical use for clinicians. </w:t>
      </w:r>
      <w:r w:rsidRPr="00A956B3">
        <w:rPr>
          <w:rFonts w:ascii="Times New Roman" w:hAnsi="Times New Roman" w:cs="Times New Roman"/>
          <w:i/>
          <w:iCs/>
          <w:color w:val="000000" w:themeColor="text1"/>
          <w:lang w:val="en-US"/>
        </w:rPr>
        <w:t>Korean J Anesthesiol</w:t>
      </w:r>
      <w:r w:rsidRPr="00A956B3">
        <w:rPr>
          <w:rFonts w:ascii="Times New Roman" w:hAnsi="Times New Roman" w:cs="Times New Roman"/>
          <w:color w:val="000000" w:themeColor="text1"/>
          <w:lang w:val="en-US"/>
        </w:rPr>
        <w:t xml:space="preserve"> 2022; 75: 25–36.</w:t>
      </w:r>
    </w:p>
    <w:p w14:paraId="5B2C2790" w14:textId="77777777" w:rsidR="00BF4B37" w:rsidRPr="00A956B3" w:rsidRDefault="00BF4B37" w:rsidP="00BF4B37">
      <w:pPr>
        <w:pStyle w:val="Bibliography"/>
        <w:rPr>
          <w:rFonts w:ascii="Times New Roman" w:hAnsi="Times New Roman" w:cs="Times New Roman"/>
          <w:color w:val="000000" w:themeColor="text1"/>
          <w:lang w:val="en-US"/>
        </w:rPr>
      </w:pPr>
      <w:r w:rsidRPr="00A956B3">
        <w:rPr>
          <w:rFonts w:ascii="Times New Roman" w:hAnsi="Times New Roman" w:cs="Times New Roman"/>
          <w:color w:val="000000" w:themeColor="text1"/>
          <w:lang w:val="en-US"/>
        </w:rPr>
        <w:t xml:space="preserve">[9] </w:t>
      </w:r>
      <w:r w:rsidRPr="00A956B3">
        <w:rPr>
          <w:rFonts w:ascii="Times New Roman" w:hAnsi="Times New Roman" w:cs="Times New Roman"/>
          <w:color w:val="000000" w:themeColor="text1"/>
          <w:lang w:val="en-US"/>
        </w:rPr>
        <w:tab/>
        <w:t xml:space="preserve">Goadrich M, Oliphant L, Shavlik J. Gleaner: Creating ensembles of first-order clauses to improve recall-precision curves. </w:t>
      </w:r>
      <w:r w:rsidRPr="00A956B3">
        <w:rPr>
          <w:rFonts w:ascii="Times New Roman" w:hAnsi="Times New Roman" w:cs="Times New Roman"/>
          <w:i/>
          <w:iCs/>
          <w:color w:val="000000" w:themeColor="text1"/>
          <w:lang w:val="en-US"/>
        </w:rPr>
        <w:t>Mach Learn</w:t>
      </w:r>
      <w:r w:rsidRPr="00A956B3">
        <w:rPr>
          <w:rFonts w:ascii="Times New Roman" w:hAnsi="Times New Roman" w:cs="Times New Roman"/>
          <w:color w:val="000000" w:themeColor="text1"/>
          <w:lang w:val="en-US"/>
        </w:rPr>
        <w:t xml:space="preserve"> 2006; 64: 231–261.</w:t>
      </w:r>
    </w:p>
    <w:p w14:paraId="0276EA58" w14:textId="0BB1CFFA" w:rsidR="00F70AA7" w:rsidRPr="00A956B3" w:rsidRDefault="00F70AA7" w:rsidP="00182F13">
      <w:pPr>
        <w:spacing w:line="480" w:lineRule="auto"/>
        <w:contextualSpacing/>
        <w:jc w:val="both"/>
        <w:rPr>
          <w:rFonts w:ascii="Times New Roman" w:hAnsi="Times New Roman" w:cs="Times New Roman"/>
          <w:bCs/>
          <w:color w:val="000000" w:themeColor="text1"/>
        </w:rPr>
      </w:pPr>
      <w:r w:rsidRPr="00A956B3">
        <w:rPr>
          <w:rFonts w:ascii="Times New Roman" w:hAnsi="Times New Roman" w:cs="Times New Roman"/>
          <w:bCs/>
          <w:color w:val="000000" w:themeColor="text1"/>
        </w:rPr>
        <w:fldChar w:fldCharType="end"/>
      </w:r>
    </w:p>
    <w:p w14:paraId="53856425" w14:textId="77777777" w:rsidR="00A80BE8" w:rsidRPr="00A956B3" w:rsidRDefault="00A80BE8">
      <w:pPr>
        <w:rPr>
          <w:rFonts w:ascii="Times New Roman" w:hAnsi="Times New Roman" w:cs="Times New Roman"/>
          <w:color w:val="000000" w:themeColor="text1"/>
          <w:lang w:val="fr-CA"/>
        </w:rPr>
      </w:pPr>
    </w:p>
    <w:p w14:paraId="5FD7C70D" w14:textId="77777777" w:rsidR="00BF4B37" w:rsidRPr="00A956B3" w:rsidRDefault="00BF4B37">
      <w:pPr>
        <w:rPr>
          <w:rFonts w:ascii="Times New Roman" w:hAnsi="Times New Roman" w:cs="Times New Roman"/>
          <w:color w:val="000000" w:themeColor="text1"/>
          <w:lang w:val="fr-CA"/>
        </w:rPr>
      </w:pPr>
    </w:p>
    <w:sectPr w:rsidR="00BF4B37" w:rsidRPr="00A956B3" w:rsidSect="000A23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CF7"/>
    <w:multiLevelType w:val="hybridMultilevel"/>
    <w:tmpl w:val="42D2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765C7"/>
    <w:multiLevelType w:val="hybridMultilevel"/>
    <w:tmpl w:val="96F0EDC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53"/>
    <w:rsid w:val="0000517D"/>
    <w:rsid w:val="00056B48"/>
    <w:rsid w:val="000940F6"/>
    <w:rsid w:val="000A2353"/>
    <w:rsid w:val="000B51D6"/>
    <w:rsid w:val="000C0BFC"/>
    <w:rsid w:val="000D0A00"/>
    <w:rsid w:val="00102D7A"/>
    <w:rsid w:val="0015190C"/>
    <w:rsid w:val="00154F1A"/>
    <w:rsid w:val="00182F13"/>
    <w:rsid w:val="001B04ED"/>
    <w:rsid w:val="001D4357"/>
    <w:rsid w:val="001F4272"/>
    <w:rsid w:val="00235333"/>
    <w:rsid w:val="00253FC6"/>
    <w:rsid w:val="002606A6"/>
    <w:rsid w:val="00274A61"/>
    <w:rsid w:val="0032771F"/>
    <w:rsid w:val="003C3B73"/>
    <w:rsid w:val="003F0624"/>
    <w:rsid w:val="00400582"/>
    <w:rsid w:val="00401187"/>
    <w:rsid w:val="0040244D"/>
    <w:rsid w:val="00485E5F"/>
    <w:rsid w:val="004E1790"/>
    <w:rsid w:val="00500940"/>
    <w:rsid w:val="00534130"/>
    <w:rsid w:val="00537754"/>
    <w:rsid w:val="005767F9"/>
    <w:rsid w:val="00580C98"/>
    <w:rsid w:val="005B2571"/>
    <w:rsid w:val="005D6C29"/>
    <w:rsid w:val="00616DF9"/>
    <w:rsid w:val="00623A18"/>
    <w:rsid w:val="0062505F"/>
    <w:rsid w:val="00631F70"/>
    <w:rsid w:val="00634713"/>
    <w:rsid w:val="0063631F"/>
    <w:rsid w:val="006410EE"/>
    <w:rsid w:val="006901C2"/>
    <w:rsid w:val="006A562C"/>
    <w:rsid w:val="006F37D2"/>
    <w:rsid w:val="00703E60"/>
    <w:rsid w:val="00774240"/>
    <w:rsid w:val="0079107A"/>
    <w:rsid w:val="00793636"/>
    <w:rsid w:val="007961C8"/>
    <w:rsid w:val="00796958"/>
    <w:rsid w:val="007D3FF0"/>
    <w:rsid w:val="007E5BBF"/>
    <w:rsid w:val="00801E60"/>
    <w:rsid w:val="00811205"/>
    <w:rsid w:val="00831856"/>
    <w:rsid w:val="00885187"/>
    <w:rsid w:val="009124BE"/>
    <w:rsid w:val="00924E2B"/>
    <w:rsid w:val="009504CF"/>
    <w:rsid w:val="00952BF5"/>
    <w:rsid w:val="00960F00"/>
    <w:rsid w:val="009669E8"/>
    <w:rsid w:val="0098027D"/>
    <w:rsid w:val="0099168E"/>
    <w:rsid w:val="009F29CA"/>
    <w:rsid w:val="00A234EC"/>
    <w:rsid w:val="00A31A80"/>
    <w:rsid w:val="00A45710"/>
    <w:rsid w:val="00A679C2"/>
    <w:rsid w:val="00A70409"/>
    <w:rsid w:val="00A80BE8"/>
    <w:rsid w:val="00A956B3"/>
    <w:rsid w:val="00A96A0B"/>
    <w:rsid w:val="00AC21C7"/>
    <w:rsid w:val="00AC5029"/>
    <w:rsid w:val="00AC6C6A"/>
    <w:rsid w:val="00AD0509"/>
    <w:rsid w:val="00B4106B"/>
    <w:rsid w:val="00B43E55"/>
    <w:rsid w:val="00B45262"/>
    <w:rsid w:val="00B579FB"/>
    <w:rsid w:val="00B85EB0"/>
    <w:rsid w:val="00BC6961"/>
    <w:rsid w:val="00BF4B37"/>
    <w:rsid w:val="00C06800"/>
    <w:rsid w:val="00C075E3"/>
    <w:rsid w:val="00C42825"/>
    <w:rsid w:val="00C51C4C"/>
    <w:rsid w:val="00CB6522"/>
    <w:rsid w:val="00CC7D83"/>
    <w:rsid w:val="00D03AB8"/>
    <w:rsid w:val="00D12870"/>
    <w:rsid w:val="00D3329F"/>
    <w:rsid w:val="00D525AC"/>
    <w:rsid w:val="00D57A28"/>
    <w:rsid w:val="00D74C79"/>
    <w:rsid w:val="00DB7C85"/>
    <w:rsid w:val="00E145AD"/>
    <w:rsid w:val="00F20834"/>
    <w:rsid w:val="00F63AD9"/>
    <w:rsid w:val="00F709D1"/>
    <w:rsid w:val="00F70AA7"/>
    <w:rsid w:val="00F72C40"/>
    <w:rsid w:val="00F76ED0"/>
    <w:rsid w:val="00F84D8A"/>
    <w:rsid w:val="00FD77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EB06"/>
  <w15:chartTrackingRefBased/>
  <w15:docId w15:val="{76A18A49-0523-4546-A57D-A8CD17CD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2353"/>
    <w:rPr>
      <w:sz w:val="16"/>
      <w:szCs w:val="16"/>
    </w:rPr>
  </w:style>
  <w:style w:type="paragraph" w:styleId="ListParagraph">
    <w:name w:val="List Paragraph"/>
    <w:basedOn w:val="Normal"/>
    <w:uiPriority w:val="34"/>
    <w:qFormat/>
    <w:rsid w:val="000A2353"/>
    <w:pPr>
      <w:spacing w:after="200" w:line="276" w:lineRule="auto"/>
      <w:ind w:left="720"/>
      <w:contextualSpacing/>
    </w:pPr>
    <w:rPr>
      <w:sz w:val="22"/>
      <w:szCs w:val="22"/>
      <w:lang w:val="en-US"/>
    </w:rPr>
  </w:style>
  <w:style w:type="table" w:styleId="PlainTable2">
    <w:name w:val="Plain Table 2"/>
    <w:basedOn w:val="TableNormal"/>
    <w:uiPriority w:val="42"/>
    <w:rsid w:val="000A2353"/>
    <w:rPr>
      <w:sz w:val="22"/>
      <w:szCs w:val="22"/>
      <w:lang w:val="fr-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0A2353"/>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A2353"/>
    <w:pPr>
      <w:spacing w:after="200"/>
    </w:pPr>
    <w:rPr>
      <w:sz w:val="20"/>
      <w:szCs w:val="20"/>
      <w:lang w:val="en-US"/>
    </w:rPr>
  </w:style>
  <w:style w:type="character" w:customStyle="1" w:styleId="CommentTextChar">
    <w:name w:val="Comment Text Char"/>
    <w:basedOn w:val="DefaultParagraphFont"/>
    <w:link w:val="CommentText"/>
    <w:uiPriority w:val="99"/>
    <w:rsid w:val="000A2353"/>
    <w:rPr>
      <w:sz w:val="20"/>
      <w:szCs w:val="20"/>
      <w:lang w:val="en-US"/>
    </w:rPr>
  </w:style>
  <w:style w:type="paragraph" w:styleId="Bibliography">
    <w:name w:val="Bibliography"/>
    <w:basedOn w:val="Normal"/>
    <w:next w:val="Normal"/>
    <w:uiPriority w:val="37"/>
    <w:unhideWhenUsed/>
    <w:rsid w:val="00F70AA7"/>
    <w:pPr>
      <w:tabs>
        <w:tab w:val="left" w:pos="260"/>
        <w:tab w:val="left" w:pos="500"/>
      </w:tabs>
      <w:spacing w:after="240"/>
      <w:ind w:left="504" w:hanging="504"/>
    </w:pPr>
  </w:style>
  <w:style w:type="paragraph" w:styleId="CommentSubject">
    <w:name w:val="annotation subject"/>
    <w:basedOn w:val="CommentText"/>
    <w:next w:val="CommentText"/>
    <w:link w:val="CommentSubjectChar"/>
    <w:uiPriority w:val="99"/>
    <w:semiHidden/>
    <w:unhideWhenUsed/>
    <w:rsid w:val="00811205"/>
    <w:pPr>
      <w:spacing w:after="0"/>
    </w:pPr>
    <w:rPr>
      <w:b/>
      <w:bCs/>
      <w:lang w:val="en-CA"/>
    </w:rPr>
  </w:style>
  <w:style w:type="character" w:customStyle="1" w:styleId="CommentSubjectChar">
    <w:name w:val="Comment Subject Char"/>
    <w:basedOn w:val="CommentTextChar"/>
    <w:link w:val="CommentSubject"/>
    <w:uiPriority w:val="99"/>
    <w:semiHidden/>
    <w:rsid w:val="00811205"/>
    <w:rPr>
      <w:b/>
      <w:bCs/>
      <w:sz w:val="20"/>
      <w:szCs w:val="20"/>
      <w:lang w:val="en-US"/>
    </w:rPr>
  </w:style>
  <w:style w:type="paragraph" w:styleId="Revision">
    <w:name w:val="Revision"/>
    <w:hidden/>
    <w:uiPriority w:val="99"/>
    <w:semiHidden/>
    <w:rsid w:val="00811205"/>
  </w:style>
  <w:style w:type="table" w:styleId="TableGridLight">
    <w:name w:val="Grid Table Light"/>
    <w:basedOn w:val="TableNormal"/>
    <w:uiPriority w:val="40"/>
    <w:rsid w:val="008851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3C3B73"/>
    <w:rPr>
      <w:b/>
      <w:bCs/>
    </w:rPr>
  </w:style>
  <w:style w:type="paragraph" w:styleId="Footer">
    <w:name w:val="footer"/>
    <w:basedOn w:val="Normal"/>
    <w:link w:val="FooterChar"/>
    <w:uiPriority w:val="99"/>
    <w:unhideWhenUsed/>
    <w:rsid w:val="0032771F"/>
    <w:pPr>
      <w:tabs>
        <w:tab w:val="center" w:pos="4320"/>
        <w:tab w:val="right" w:pos="8640"/>
      </w:tabs>
    </w:pPr>
    <w:rPr>
      <w:rFonts w:ascii="Times New Roman" w:hAnsi="Times New Roman" w:cs="Times New Roman"/>
      <w:color w:val="000000"/>
      <w:sz w:val="22"/>
      <w:szCs w:val="22"/>
      <w:lang w:val="fr-CA"/>
    </w:rPr>
  </w:style>
  <w:style w:type="character" w:customStyle="1" w:styleId="FooterChar">
    <w:name w:val="Footer Char"/>
    <w:basedOn w:val="DefaultParagraphFont"/>
    <w:link w:val="Footer"/>
    <w:uiPriority w:val="99"/>
    <w:rsid w:val="0032771F"/>
    <w:rPr>
      <w:rFonts w:ascii="Times New Roman" w:hAnsi="Times New Roman" w:cs="Times New Roman"/>
      <w:color w:val="000000"/>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06382">
      <w:bodyDiv w:val="1"/>
      <w:marLeft w:val="0"/>
      <w:marRight w:val="0"/>
      <w:marTop w:val="0"/>
      <w:marBottom w:val="0"/>
      <w:divBdr>
        <w:top w:val="none" w:sz="0" w:space="0" w:color="auto"/>
        <w:left w:val="none" w:sz="0" w:space="0" w:color="auto"/>
        <w:bottom w:val="none" w:sz="0" w:space="0" w:color="auto"/>
        <w:right w:val="none" w:sz="0" w:space="0" w:color="auto"/>
      </w:divBdr>
    </w:div>
    <w:div w:id="207760729">
      <w:bodyDiv w:val="1"/>
      <w:marLeft w:val="0"/>
      <w:marRight w:val="0"/>
      <w:marTop w:val="0"/>
      <w:marBottom w:val="0"/>
      <w:divBdr>
        <w:top w:val="none" w:sz="0" w:space="0" w:color="auto"/>
        <w:left w:val="none" w:sz="0" w:space="0" w:color="auto"/>
        <w:bottom w:val="none" w:sz="0" w:space="0" w:color="auto"/>
        <w:right w:val="none" w:sz="0" w:space="0" w:color="auto"/>
      </w:divBdr>
    </w:div>
    <w:div w:id="334262346">
      <w:bodyDiv w:val="1"/>
      <w:marLeft w:val="0"/>
      <w:marRight w:val="0"/>
      <w:marTop w:val="0"/>
      <w:marBottom w:val="0"/>
      <w:divBdr>
        <w:top w:val="none" w:sz="0" w:space="0" w:color="auto"/>
        <w:left w:val="none" w:sz="0" w:space="0" w:color="auto"/>
        <w:bottom w:val="none" w:sz="0" w:space="0" w:color="auto"/>
        <w:right w:val="none" w:sz="0" w:space="0" w:color="auto"/>
      </w:divBdr>
    </w:div>
    <w:div w:id="471951084">
      <w:bodyDiv w:val="1"/>
      <w:marLeft w:val="0"/>
      <w:marRight w:val="0"/>
      <w:marTop w:val="0"/>
      <w:marBottom w:val="0"/>
      <w:divBdr>
        <w:top w:val="none" w:sz="0" w:space="0" w:color="auto"/>
        <w:left w:val="none" w:sz="0" w:space="0" w:color="auto"/>
        <w:bottom w:val="none" w:sz="0" w:space="0" w:color="auto"/>
        <w:right w:val="none" w:sz="0" w:space="0" w:color="auto"/>
      </w:divBdr>
    </w:div>
    <w:div w:id="594437683">
      <w:bodyDiv w:val="1"/>
      <w:marLeft w:val="0"/>
      <w:marRight w:val="0"/>
      <w:marTop w:val="0"/>
      <w:marBottom w:val="0"/>
      <w:divBdr>
        <w:top w:val="none" w:sz="0" w:space="0" w:color="auto"/>
        <w:left w:val="none" w:sz="0" w:space="0" w:color="auto"/>
        <w:bottom w:val="none" w:sz="0" w:space="0" w:color="auto"/>
        <w:right w:val="none" w:sz="0" w:space="0" w:color="auto"/>
      </w:divBdr>
    </w:div>
    <w:div w:id="696544761">
      <w:bodyDiv w:val="1"/>
      <w:marLeft w:val="0"/>
      <w:marRight w:val="0"/>
      <w:marTop w:val="0"/>
      <w:marBottom w:val="0"/>
      <w:divBdr>
        <w:top w:val="none" w:sz="0" w:space="0" w:color="auto"/>
        <w:left w:val="none" w:sz="0" w:space="0" w:color="auto"/>
        <w:bottom w:val="none" w:sz="0" w:space="0" w:color="auto"/>
        <w:right w:val="none" w:sz="0" w:space="0" w:color="auto"/>
      </w:divBdr>
    </w:div>
    <w:div w:id="916599009">
      <w:bodyDiv w:val="1"/>
      <w:marLeft w:val="0"/>
      <w:marRight w:val="0"/>
      <w:marTop w:val="0"/>
      <w:marBottom w:val="0"/>
      <w:divBdr>
        <w:top w:val="none" w:sz="0" w:space="0" w:color="auto"/>
        <w:left w:val="none" w:sz="0" w:space="0" w:color="auto"/>
        <w:bottom w:val="none" w:sz="0" w:space="0" w:color="auto"/>
        <w:right w:val="none" w:sz="0" w:space="0" w:color="auto"/>
      </w:divBdr>
    </w:div>
    <w:div w:id="981156152">
      <w:bodyDiv w:val="1"/>
      <w:marLeft w:val="0"/>
      <w:marRight w:val="0"/>
      <w:marTop w:val="0"/>
      <w:marBottom w:val="0"/>
      <w:divBdr>
        <w:top w:val="none" w:sz="0" w:space="0" w:color="auto"/>
        <w:left w:val="none" w:sz="0" w:space="0" w:color="auto"/>
        <w:bottom w:val="none" w:sz="0" w:space="0" w:color="auto"/>
        <w:right w:val="none" w:sz="0" w:space="0" w:color="auto"/>
      </w:divBdr>
    </w:div>
    <w:div w:id="1159421168">
      <w:bodyDiv w:val="1"/>
      <w:marLeft w:val="0"/>
      <w:marRight w:val="0"/>
      <w:marTop w:val="0"/>
      <w:marBottom w:val="0"/>
      <w:divBdr>
        <w:top w:val="none" w:sz="0" w:space="0" w:color="auto"/>
        <w:left w:val="none" w:sz="0" w:space="0" w:color="auto"/>
        <w:bottom w:val="none" w:sz="0" w:space="0" w:color="auto"/>
        <w:right w:val="none" w:sz="0" w:space="0" w:color="auto"/>
      </w:divBdr>
    </w:div>
    <w:div w:id="1269125245">
      <w:bodyDiv w:val="1"/>
      <w:marLeft w:val="0"/>
      <w:marRight w:val="0"/>
      <w:marTop w:val="0"/>
      <w:marBottom w:val="0"/>
      <w:divBdr>
        <w:top w:val="none" w:sz="0" w:space="0" w:color="auto"/>
        <w:left w:val="none" w:sz="0" w:space="0" w:color="auto"/>
        <w:bottom w:val="none" w:sz="0" w:space="0" w:color="auto"/>
        <w:right w:val="none" w:sz="0" w:space="0" w:color="auto"/>
      </w:divBdr>
    </w:div>
    <w:div w:id="1704212040">
      <w:bodyDiv w:val="1"/>
      <w:marLeft w:val="0"/>
      <w:marRight w:val="0"/>
      <w:marTop w:val="0"/>
      <w:marBottom w:val="0"/>
      <w:divBdr>
        <w:top w:val="none" w:sz="0" w:space="0" w:color="auto"/>
        <w:left w:val="none" w:sz="0" w:space="0" w:color="auto"/>
        <w:bottom w:val="none" w:sz="0" w:space="0" w:color="auto"/>
        <w:right w:val="none" w:sz="0" w:space="0" w:color="auto"/>
      </w:divBdr>
    </w:div>
    <w:div w:id="204932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8593</Words>
  <Characters>48981</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Taschereau</dc:creator>
  <cp:keywords/>
  <dc:description/>
  <cp:lastModifiedBy>Amélie Taschereau</cp:lastModifiedBy>
  <cp:revision>2</cp:revision>
  <dcterms:created xsi:type="dcterms:W3CDTF">2026-03-06T18:43:00Z</dcterms:created>
  <dcterms:modified xsi:type="dcterms:W3CDTF">2026-03-06T18:43:00Z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id="oPQQ1dh3"/&gt;&lt;style id="http://www.zotero.org/styles/sage-vancouver-brackets" hasBibliography="1" bibliographyStyleHasBeenSet="1"/&gt;&lt;prefs&gt;&lt;pref name="fieldType" value="Field"/&gt;&lt;/prefs&gt;&lt;/data&gt;</vt:lpwstr>
  </property>
</Properties>
</file>