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1460DD">
      <w:pPr>
        <w:widowControl/>
        <w:spacing w:after="200" w:line="276" w:lineRule="auto"/>
        <w:jc w:val="left"/>
        <w:rPr>
          <w:rFonts w:hint="default" w:ascii="Arial" w:hAnsi="Arial" w:eastAsia="宋体" w:cs="Arial"/>
          <w:kern w:val="0"/>
          <w:sz w:val="16"/>
          <w:szCs w:val="16"/>
          <w:lang w:eastAsia="en-US"/>
        </w:rPr>
      </w:pPr>
      <w:r>
        <w:rPr>
          <w:rFonts w:hint="default" w:ascii="Arial" w:hAnsi="Arial" w:eastAsia="宋体" w:cs="Arial"/>
          <w:kern w:val="0"/>
          <w:sz w:val="16"/>
          <w:szCs w:val="16"/>
          <w:lang w:eastAsia="en-US"/>
        </w:rPr>
        <w:t xml:space="preserve"> </w:t>
      </w:r>
      <w:r>
        <w:rPr>
          <w:rFonts w:hint="default" w:ascii="Arial" w:hAnsi="Arial" w:eastAsia="宋体" w:cs="Arial"/>
          <w:kern w:val="0"/>
          <w:sz w:val="16"/>
          <w:szCs w:val="16"/>
          <w:lang w:eastAsia="en-US"/>
        </w:rPr>
        <w:drawing>
          <wp:inline distT="0" distB="0" distL="114300" distR="114300">
            <wp:extent cx="5266055" cy="1944370"/>
            <wp:effectExtent l="0" t="0" r="1270" b="8255"/>
            <wp:docPr id="2" name="图片 2" descr="Figure_2修改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_2修改版.ti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kern w:val="0"/>
          <w:sz w:val="16"/>
          <w:szCs w:val="16"/>
          <w:lang w:eastAsia="en-US"/>
        </w:rPr>
        <w:t xml:space="preserve"> </w:t>
      </w:r>
    </w:p>
    <w:p w14:paraId="307A6F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/>
          <w:bCs/>
          <w:kern w:val="0"/>
          <w:sz w:val="20"/>
          <w:szCs w:val="20"/>
          <w:lang w:eastAsia="en-US"/>
        </w:rPr>
        <w:t xml:space="preserve">Supplementary Figure S1. </w:t>
      </w:r>
      <w:r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  <w:t>Linear Trends in the Probability of Advanced DN Across FT3 and FT3/FT4 Ratio Quartiles.</w:t>
      </w:r>
    </w:p>
    <w:p w14:paraId="14706556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  <w:t xml:space="preserve">Association between FT3 quartiles and the probability of advanced DN. </w:t>
      </w:r>
    </w:p>
    <w:p w14:paraId="53EAF45B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  <w:t>Association between FT3/FT4 ratio quartiles and the probability of advanced DN.</w:t>
      </w:r>
    </w:p>
    <w:p w14:paraId="342C64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/>
          <w:bCs/>
          <w:kern w:val="0"/>
          <w:sz w:val="20"/>
          <w:szCs w:val="20"/>
          <w:lang w:eastAsia="en-US"/>
        </w:rPr>
        <w:t>Notes:</w:t>
      </w:r>
      <w:r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  <w:t xml:space="preserve"> Curves were derived from the fully adjusted multivariable logistic regression model (Model 2; n = 362). Shaded areas represent the 95% confidence intervals of the estimated probabilities.</w:t>
      </w:r>
    </w:p>
    <w:p w14:paraId="7BBA33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Arial" w:hAnsi="Arial" w:eastAsia="宋体" w:cs="Arial"/>
          <w:kern w:val="0"/>
          <w:sz w:val="20"/>
          <w:szCs w:val="20"/>
          <w:lang w:eastAsia="en-US"/>
        </w:rPr>
      </w:pPr>
    </w:p>
    <w:p w14:paraId="6ABEBA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Arial" w:eastAsia="宋体" w:cs="Arial"/>
          <w:kern w:val="0"/>
          <w:sz w:val="20"/>
          <w:szCs w:val="20"/>
          <w:lang w:eastAsia="zh-CN"/>
        </w:rPr>
      </w:pPr>
      <w:r>
        <w:rPr>
          <w:rFonts w:hint="eastAsia" w:ascii="Arial" w:hAnsi="Arial" w:eastAsia="宋体" w:cs="Arial"/>
          <w:kern w:val="0"/>
          <w:sz w:val="20"/>
          <w:szCs w:val="20"/>
          <w:lang w:eastAsia="zh-CN"/>
        </w:rPr>
        <w:drawing>
          <wp:inline distT="0" distB="0" distL="114300" distR="114300">
            <wp:extent cx="5266690" cy="1755775"/>
            <wp:effectExtent l="0" t="0" r="635" b="6350"/>
            <wp:docPr id="3" name="图片 3" descr="supplementary 1最终版.tif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1最终版.tif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D4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val="en-US" w:eastAsia="zh-CN"/>
        </w:rPr>
      </w:pPr>
      <w:r>
        <w:rPr>
          <w:rFonts w:hint="default" w:ascii="Arial" w:hAnsi="Arial" w:eastAsia="宋体" w:cs="Arial"/>
          <w:b/>
          <w:bCs/>
          <w:kern w:val="0"/>
          <w:sz w:val="20"/>
          <w:szCs w:val="20"/>
          <w:lang w:val="en-US" w:eastAsia="zh-CN"/>
        </w:rPr>
        <w:t xml:space="preserve">Supplementary Figure </w:t>
      </w:r>
      <w:r>
        <w:rPr>
          <w:rFonts w:hint="eastAsia" w:ascii="Arial" w:hAnsi="Arial" w:eastAsia="宋体" w:cs="Arial"/>
          <w:b/>
          <w:bCs/>
          <w:kern w:val="0"/>
          <w:sz w:val="20"/>
          <w:szCs w:val="20"/>
          <w:lang w:val="en-US" w:eastAsia="zh-CN"/>
        </w:rPr>
        <w:t>S2.</w:t>
      </w:r>
      <w:r>
        <w:rPr>
          <w:rFonts w:hint="default" w:ascii="Arial" w:hAnsi="Arial" w:eastAsia="宋体" w:cs="Arial"/>
          <w:b/>
          <w:bCs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val="en-US" w:eastAsia="zh-CN"/>
        </w:rPr>
        <w:t>Dose–response relationships of FT3 and FT3/FT4 ratio with the risk of advanced DN.</w:t>
      </w:r>
    </w:p>
    <w:p w14:paraId="30392C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/>
          <w:bCs/>
          <w:kern w:val="0"/>
          <w:sz w:val="20"/>
          <w:szCs w:val="20"/>
          <w:lang w:val="en-US" w:eastAsia="zh-CN"/>
        </w:rPr>
        <w:t>Notes:</w:t>
      </w:r>
      <w:r>
        <w:rPr>
          <w:rFonts w:hint="default" w:ascii="Arial" w:hAnsi="Arial" w:eastAsia="宋体" w:cs="Arial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0"/>
          <w:szCs w:val="20"/>
          <w:lang w:eastAsia="en-US"/>
        </w:rPr>
        <w:t>Restricted cubic spline curves illustrating the adjusted associations of FT3 and FT3/FT4 ratio with advanced DN based on the fully adjusted multivariable model (Model 2</w:t>
      </w:r>
      <w:r>
        <w:rPr>
          <w:rFonts w:hint="eastAsia" w:ascii="Arial" w:hAnsi="Arial" w:eastAsia="宋体" w:cs="Arial"/>
          <w:kern w:val="0"/>
          <w:sz w:val="20"/>
          <w:szCs w:val="20"/>
          <w:lang w:val="en-US" w:eastAsia="zh-CN"/>
        </w:rPr>
        <w:t>, n=362</w:t>
      </w:r>
      <w:r>
        <w:rPr>
          <w:rFonts w:hint="default" w:ascii="Arial" w:hAnsi="Arial" w:eastAsia="宋体" w:cs="Arial"/>
          <w:kern w:val="0"/>
          <w:sz w:val="20"/>
          <w:szCs w:val="20"/>
          <w:lang w:eastAsia="en-US"/>
        </w:rPr>
        <w:t>).</w:t>
      </w:r>
      <w:r>
        <w:rPr>
          <w:rFonts w:hint="eastAsia" w:ascii="Arial" w:hAnsi="Arial" w:eastAsia="宋体" w:cs="Arial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0"/>
          <w:szCs w:val="20"/>
          <w:lang w:eastAsia="en-US"/>
        </w:rPr>
        <w:t>Shaded areas represent 95% confidence intervals.</w:t>
      </w:r>
      <w:r>
        <w:rPr>
          <w:rFonts w:hint="eastAsia" w:ascii="Arial" w:hAnsi="Arial" w:eastAsia="宋体" w:cs="Arial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  <w:t>The reference value was set at the median level of FT3 or FT3/FT4 ratio, corresponding to an odds ratio of 1.0.</w:t>
      </w:r>
    </w:p>
    <w:p w14:paraId="6C5C3B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</w:pPr>
    </w:p>
    <w:p w14:paraId="228DAD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Arial" w:eastAsia="宋体" w:cs="Arial"/>
          <w:b/>
          <w:bCs/>
          <w:color w:val="auto"/>
          <w:kern w:val="0"/>
          <w:sz w:val="20"/>
          <w:szCs w:val="20"/>
          <w:lang w:eastAsia="zh-CN"/>
        </w:rPr>
      </w:pPr>
      <w:r>
        <w:rPr>
          <w:rFonts w:hint="eastAsia" w:ascii="Arial" w:hAnsi="Arial" w:eastAsia="宋体" w:cs="Arial"/>
          <w:b/>
          <w:bCs/>
          <w:color w:val="auto"/>
          <w:kern w:val="0"/>
          <w:sz w:val="20"/>
          <w:szCs w:val="20"/>
          <w:lang w:eastAsia="zh-CN"/>
        </w:rPr>
        <w:drawing>
          <wp:inline distT="0" distB="0" distL="114300" distR="114300">
            <wp:extent cx="5266690" cy="1755775"/>
            <wp:effectExtent l="0" t="0" r="635" b="6350"/>
            <wp:docPr id="4" name="图片 4" descr="Figure_4.最终版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_4.最终版t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7C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/>
          <w:bCs/>
          <w:color w:val="auto"/>
          <w:kern w:val="0"/>
          <w:sz w:val="20"/>
          <w:szCs w:val="20"/>
          <w:lang w:eastAsia="en-US"/>
        </w:rPr>
        <w:t>Supplementary Figure S</w:t>
      </w:r>
      <w:r>
        <w:rPr>
          <w:rFonts w:hint="eastAsia" w:ascii="Arial" w:hAnsi="Arial" w:eastAsia="宋体" w:cs="Arial"/>
          <w:b/>
          <w:bCs/>
          <w:color w:val="auto"/>
          <w:kern w:val="0"/>
          <w:sz w:val="20"/>
          <w:szCs w:val="20"/>
          <w:lang w:val="en-US" w:eastAsia="zh-CN"/>
        </w:rPr>
        <w:t>3</w:t>
      </w:r>
      <w:r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  <w:t>. Effect of FT3 and FT3/FT4 Ratio on Advanced DN Risk: Modification by Proteinuria Status.</w:t>
      </w:r>
    </w:p>
    <w:p w14:paraId="2E934581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  <w:t>Effect modification by proteinuria on the association between FT3 and advanced DN.</w:t>
      </w:r>
    </w:p>
    <w:p w14:paraId="147A1052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  <w:t>Effect modification by proteinuria on the association between the FT3/FT4 ratio and advanced DN.</w:t>
      </w:r>
    </w:p>
    <w:p w14:paraId="79A6C5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/>
          <w:bCs/>
          <w:color w:val="auto"/>
          <w:kern w:val="0"/>
          <w:sz w:val="20"/>
          <w:szCs w:val="20"/>
          <w:lang w:eastAsia="en-US"/>
        </w:rPr>
        <w:t>Notes:</w:t>
      </w:r>
      <w:r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  <w:t xml:space="preserve"> Patients were stratified into low (&lt; 3.5 g/24h) and high (≥ 3.5 g/24h) proteinuria groups based on 24-hour urinary protein excretion. The shaded areas represent the 95% confidence intervals.</w:t>
      </w:r>
    </w:p>
    <w:p w14:paraId="77852A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/>
          <w:bCs/>
          <w:color w:val="auto"/>
          <w:kern w:val="0"/>
          <w:sz w:val="20"/>
          <w:szCs w:val="20"/>
          <w:lang w:eastAsia="en-US"/>
        </w:rPr>
        <w:t>Supplementary Table S1</w:t>
      </w:r>
      <w:r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  <w:t xml:space="preserve"> </w:t>
      </w:r>
      <w:r>
        <w:rPr>
          <w:rFonts w:hint="eastAsia" w:ascii="Arial" w:hAnsi="Arial" w:eastAsia="宋体" w:cs="Arial"/>
          <w:color w:val="auto"/>
          <w:kern w:val="0"/>
          <w:sz w:val="20"/>
          <w:szCs w:val="20"/>
          <w:lang w:val="en-US" w:eastAsia="zh-CN"/>
        </w:rPr>
        <w:t>Basic pathological criteria from the Renal Pathology Society classification</w:t>
      </w:r>
    </w:p>
    <w:tbl>
      <w:tblPr>
        <w:tblStyle w:val="2"/>
        <w:tblW w:w="851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8"/>
        <w:gridCol w:w="4658"/>
        <w:gridCol w:w="1413"/>
      </w:tblGrid>
      <w:tr w14:paraId="08B903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2448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6B54AC6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Lesion</w:t>
            </w:r>
          </w:p>
        </w:tc>
        <w:tc>
          <w:tcPr>
            <w:tcW w:w="4658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BC4585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Criteria</w:t>
            </w:r>
          </w:p>
        </w:tc>
        <w:tc>
          <w:tcPr>
            <w:tcW w:w="1413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A0EFDD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Class/Score</w:t>
            </w:r>
          </w:p>
        </w:tc>
      </w:tr>
      <w:tr w14:paraId="40DF1E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B50DF2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Glomerular classification</w:t>
            </w:r>
          </w:p>
        </w:tc>
        <w:tc>
          <w:tcPr>
            <w:tcW w:w="4658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C71EE2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Mild or nonspecific LM changes and</w:t>
            </w:r>
          </w:p>
          <w:p w14:paraId="551E4AF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EM-proven GBM thickening</w:t>
            </w:r>
          </w:p>
        </w:tc>
        <w:tc>
          <w:tcPr>
            <w:tcW w:w="141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73E193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Ⅰ</w:t>
            </w:r>
          </w:p>
        </w:tc>
      </w:tr>
      <w:tr w14:paraId="33094F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2C28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5F2F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Mild mesangial expansion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DDC1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Ⅱ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a</w:t>
            </w:r>
          </w:p>
        </w:tc>
      </w:tr>
      <w:tr w14:paraId="6444C9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7A76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C847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Severe mesangial expansion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ADD2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Ⅱ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b</w:t>
            </w:r>
          </w:p>
        </w:tc>
      </w:tr>
      <w:tr w14:paraId="47A863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E282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802F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Nodular sclerosis</w:t>
            </w:r>
          </w:p>
          <w:p w14:paraId="6DB1D40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(Kimmelstiel–Wilson lesion)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F747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Ⅲ</w:t>
            </w:r>
          </w:p>
        </w:tc>
      </w:tr>
      <w:tr w14:paraId="1B9FC7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7CB0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5BFD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Advanced diabetic</w:t>
            </w:r>
          </w:p>
          <w:p w14:paraId="406A9A6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glomerulosclerosis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F7E1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Ⅳ</w:t>
            </w:r>
          </w:p>
        </w:tc>
      </w:tr>
      <w:tr w14:paraId="02AE99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DAB0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I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 xml:space="preserve">nterstitial fibrosis and </w:t>
            </w:r>
          </w:p>
          <w:p w14:paraId="65F2A17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tubular atrophy</w:t>
            </w:r>
          </w:p>
          <w:p w14:paraId="3708CFC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(IFTA)</w:t>
            </w: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3E5C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  <w:p w14:paraId="03F0BFFD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  <w:p w14:paraId="3B3CE6F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No IFTA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3420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</w:p>
          <w:p w14:paraId="3B6E6CA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</w:p>
          <w:p w14:paraId="720DB83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0</w:t>
            </w:r>
          </w:p>
        </w:tc>
      </w:tr>
      <w:tr w14:paraId="500A19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6B70D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3486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&lt;25%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E2D9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1</w:t>
            </w:r>
          </w:p>
        </w:tc>
      </w:tr>
      <w:tr w14:paraId="3D71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1AC6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7DCD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25% to 50%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C653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2</w:t>
            </w:r>
          </w:p>
        </w:tc>
      </w:tr>
      <w:tr w14:paraId="754FC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1DFC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00D7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&gt;50%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C826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3</w:t>
            </w:r>
          </w:p>
        </w:tc>
      </w:tr>
      <w:tr w14:paraId="739A56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33A9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Interstitial inflammation</w:t>
            </w: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1331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Absent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B31F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0</w:t>
            </w:r>
          </w:p>
        </w:tc>
      </w:tr>
      <w:tr w14:paraId="3565C4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2308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9F1C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Infiltration only in relation to IFTA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CADA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1</w:t>
            </w:r>
          </w:p>
        </w:tc>
      </w:tr>
      <w:tr w14:paraId="2FF6D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506A6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F4F5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Infiltration in areas without IFTA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2FBD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2</w:t>
            </w:r>
          </w:p>
        </w:tc>
      </w:tr>
      <w:tr w14:paraId="78C30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B60C6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Vascular lesions</w:t>
            </w: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379B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783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424039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035A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320" w:firstLineChars="20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arteriolar hyalinosis</w:t>
            </w: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90C7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Absent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EF95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0</w:t>
            </w:r>
          </w:p>
        </w:tc>
      </w:tr>
      <w:tr w14:paraId="5F5C39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8384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42686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At least one area of arteriolar hyalinosis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6DDA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1</w:t>
            </w:r>
          </w:p>
        </w:tc>
      </w:tr>
      <w:tr w14:paraId="7CFCDC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1C61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AEF6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More than one area of arteriolar hyalinosis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5B25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2</w:t>
            </w:r>
          </w:p>
        </w:tc>
      </w:tr>
      <w:tr w14:paraId="7785D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83C4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320" w:firstLineChars="20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arteriosclerosis (score</w:t>
            </w:r>
          </w:p>
          <w:p w14:paraId="43411D6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320" w:firstLineChars="20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worst artery)</w:t>
            </w: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A1A7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  <w:p w14:paraId="4A4ACF7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No intimal thickening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4800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</w:p>
          <w:p w14:paraId="2C2120A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0</w:t>
            </w:r>
          </w:p>
        </w:tc>
      </w:tr>
      <w:tr w14:paraId="564C28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5724D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3FA3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Intimal thickening less than thickness of media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28B4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1</w:t>
            </w:r>
          </w:p>
        </w:tc>
      </w:tr>
      <w:tr w14:paraId="43FEB6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4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0F7065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3127EF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Intimal thickening greater than thickness of media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A05E6D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2</w:t>
            </w:r>
          </w:p>
        </w:tc>
      </w:tr>
    </w:tbl>
    <w:p w14:paraId="75511D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/>
          <w:bCs/>
          <w:color w:val="auto"/>
          <w:kern w:val="0"/>
          <w:sz w:val="20"/>
          <w:szCs w:val="20"/>
          <w:lang w:eastAsia="en-US"/>
        </w:rPr>
        <w:t>Note:</w:t>
      </w:r>
      <w:r>
        <w:rPr>
          <w:rFonts w:hint="default" w:ascii="Arial" w:hAnsi="Arial" w:eastAsia="宋体" w:cs="Arial"/>
          <w:color w:val="auto"/>
          <w:kern w:val="0"/>
          <w:sz w:val="20"/>
          <w:szCs w:val="20"/>
          <w:lang w:eastAsia="en-US"/>
        </w:rPr>
        <w:t xml:space="preserve"> Arteriolar hyalinosis and arteriosclerosis were graded separately on a scale of 0–2. A composite vascular lesion score (range 0–4) was calculated by summing the two scores for statistical analysis. </w:t>
      </w:r>
    </w:p>
    <w:p w14:paraId="761417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rPr>
          <w:rFonts w:hint="default" w:ascii="Arial" w:hAnsi="Arial" w:eastAsia="宋体" w:cs="Arial"/>
          <w:color w:val="C00000"/>
          <w:kern w:val="0"/>
          <w:sz w:val="20"/>
          <w:szCs w:val="20"/>
          <w:lang w:eastAsia="en-US"/>
        </w:rPr>
      </w:pPr>
      <w:r>
        <w:rPr>
          <w:rFonts w:hint="eastAsia" w:ascii="Arial" w:hAnsi="Arial" w:eastAsia="宋体" w:cs="Arial"/>
          <w:b/>
          <w:bCs/>
          <w:color w:val="auto"/>
          <w:kern w:val="0"/>
          <w:sz w:val="20"/>
          <w:szCs w:val="20"/>
          <w:lang w:eastAsia="zh-CN"/>
        </w:rPr>
        <w:t>Abbreviations:</w:t>
      </w:r>
      <w:r>
        <w:rPr>
          <w:rFonts w:hint="eastAsia" w:ascii="Arial" w:hAnsi="Arial" w:eastAsia="宋体" w:cs="Arial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Arial" w:hAnsi="Arial" w:eastAsia="宋体" w:cs="Arial"/>
          <w:b w:val="0"/>
          <w:bCs w:val="0"/>
          <w:color w:val="auto"/>
          <w:kern w:val="0"/>
          <w:sz w:val="20"/>
          <w:szCs w:val="20"/>
          <w:lang w:val="en-US" w:eastAsia="zh-CN"/>
        </w:rPr>
        <w:t>LM, light microscopy; EM, electron microscopy; GBM, glomerular basement membrane.</w:t>
      </w:r>
    </w:p>
    <w:p w14:paraId="156C90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276" w:lineRule="auto"/>
        <w:jc w:val="left"/>
        <w:textAlignment w:val="auto"/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/>
          <w:bCs/>
          <w:kern w:val="0"/>
          <w:sz w:val="20"/>
          <w:szCs w:val="20"/>
          <w:lang w:eastAsia="en-US"/>
        </w:rPr>
        <w:t xml:space="preserve">Supplementary Table </w:t>
      </w:r>
      <w:r>
        <w:rPr>
          <w:rFonts w:hint="eastAsia" w:ascii="Arial" w:hAnsi="Arial" w:eastAsia="宋体" w:cs="Arial"/>
          <w:b/>
          <w:bCs/>
          <w:kern w:val="0"/>
          <w:sz w:val="20"/>
          <w:szCs w:val="20"/>
          <w:lang w:val="en-US" w:eastAsia="zh-CN"/>
        </w:rPr>
        <w:t>S2</w:t>
      </w:r>
      <w:r>
        <w:rPr>
          <w:rFonts w:hint="default" w:ascii="Arial" w:hAnsi="Arial" w:eastAsia="宋体" w:cs="Arial"/>
          <w:b/>
          <w:bCs/>
          <w:kern w:val="0"/>
          <w:sz w:val="20"/>
          <w:szCs w:val="20"/>
          <w:lang w:eastAsia="en-US"/>
        </w:rPr>
        <w:t xml:space="preserve"> </w:t>
      </w:r>
      <w:r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  <w:t>Association of FT3 Quartiles with Renal Pathological Features in Patients with DN</w:t>
      </w:r>
    </w:p>
    <w:tbl>
      <w:tblPr>
        <w:tblStyle w:val="2"/>
        <w:tblW w:w="896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3"/>
        <w:gridCol w:w="1438"/>
        <w:gridCol w:w="1438"/>
        <w:gridCol w:w="1348"/>
        <w:gridCol w:w="1348"/>
        <w:gridCol w:w="859"/>
      </w:tblGrid>
      <w:tr w14:paraId="5A96EF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2533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2F6C044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Variable</w:t>
            </w:r>
          </w:p>
        </w:tc>
        <w:tc>
          <w:tcPr>
            <w:tcW w:w="1438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19701F4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Q1 (n=91)</w:t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≤4.09</w:t>
            </w:r>
          </w:p>
        </w:tc>
        <w:tc>
          <w:tcPr>
            <w:tcW w:w="1438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3DD49C3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Q2 (n=90)</w:t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4.10–4.55</w:t>
            </w:r>
          </w:p>
        </w:tc>
        <w:tc>
          <w:tcPr>
            <w:tcW w:w="1348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3404B6E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Q3 (n=90)</w:t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4.56–5.06</w:t>
            </w:r>
          </w:p>
        </w:tc>
        <w:tc>
          <w:tcPr>
            <w:tcW w:w="1348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20BC968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Q4 (n=91)</w:t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≥5.07</w:t>
            </w:r>
          </w:p>
        </w:tc>
        <w:tc>
          <w:tcPr>
            <w:tcW w:w="859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34B150F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eastAsia" w:ascii="Arial" w:hAnsi="Arial" w:eastAsia="宋体" w:cs="Arial"/>
                <w:b/>
                <w:bCs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i/>
                <w:iCs/>
                <w:kern w:val="0"/>
                <w:sz w:val="16"/>
                <w:szCs w:val="16"/>
                <w:lang w:val="en-US" w:eastAsia="zh-CN"/>
              </w:rPr>
              <w:t>P</w:t>
            </w:r>
          </w:p>
        </w:tc>
      </w:tr>
      <w:tr w14:paraId="77D360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F8D345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Glomerular lesion classification</w:t>
            </w:r>
          </w:p>
        </w:tc>
        <w:tc>
          <w:tcPr>
            <w:tcW w:w="143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1A253F7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3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0D9DA3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19A8E2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6948967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85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09BE1D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&lt;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0.001</w:t>
            </w:r>
          </w:p>
        </w:tc>
      </w:tr>
      <w:tr w14:paraId="2EF2F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685A7D2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Class I/II DN, n (%)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685872FD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23 (25.3)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5B3E486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28 (31.1)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213896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35 (38.9)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50E2AE8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57 (62.6)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16E2545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27D2BE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1669A2A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Class III/IV DN, n (%)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1B837E3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68 (74.7)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0E2BD108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62 (68.9)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47CC4F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55 (61.1)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24B95B9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34 (37.4)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0FB9E68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51FE09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303AA03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Global glomerulosclerosis (%)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2632CA0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24.6 (14.3, 37.5)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4ABF7FB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23.4 (10.0, 38.2)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8C3D35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17.0 (8.9, 43.4)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1166018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14.3 (6.7, 32.0)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3218D23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0.012</w:t>
            </w:r>
          </w:p>
        </w:tc>
      </w:tr>
      <w:tr w14:paraId="77387E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5D71988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Tubular atrophy, n (%)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64BC1AE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19E9ACD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EA42B8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76DA38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36B9157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0.047</w:t>
            </w:r>
          </w:p>
        </w:tc>
      </w:tr>
      <w:tr w14:paraId="0B77AF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6FEB39E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0/1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12498266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29 (31.9)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6A92177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29 (32.2)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0F766CC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34 (37.8)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9BAFF1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47 (51.6)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549D05C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218DA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4A85DD7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4A03883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49 (53.8)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1090BC2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46 (51.1)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0B6405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45 (50.0)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80A65C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29 (31.9)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7C1843B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68584F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6BC9914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76C73578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13 (14.3)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6F12D98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15 (16.7)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7C014E8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11 (12.2)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144446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15 (16.5)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2388768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695AE8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53756058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Interstitial inflammation, n (%)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22C76E9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6954B63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61EB1D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9DDF00D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33497F3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0.499</w:t>
            </w:r>
          </w:p>
        </w:tc>
      </w:tr>
      <w:tr w14:paraId="5781C5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07B5976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0/1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707D21E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68 (74.7)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35C2630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66 (73.3)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710A150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66 (73.3)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542AE80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70 (76.9)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4EE0D2D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09DBF0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1AA045F8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724A3DD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23 (25.3)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467F1C4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24 (26.7)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9CDC31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24 (26.7)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2A3BEC7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21 (23.1)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239D4C7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58278A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1B2532B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Vascular lesion scores, n (%)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255B408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0BDE303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BC2DF16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ABBBEA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37F14BD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&lt;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0.001</w:t>
            </w:r>
          </w:p>
        </w:tc>
      </w:tr>
      <w:tr w14:paraId="286247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45A0A82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0/1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1445848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17 (18.7)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115E895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15 (16.7)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243D34C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37 (41.1)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E441F9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39 (42.9)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535D9E76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12FA55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14:paraId="0D47D13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209C770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35 (38.5)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1FB895F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44 (48.9)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262193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30 (33.3)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7709DA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40 (44.0)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782C72D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681C6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3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74F23A0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3/4</w:t>
            </w:r>
          </w:p>
        </w:tc>
        <w:tc>
          <w:tcPr>
            <w:tcW w:w="1438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0917BFF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39 (42.9)</w:t>
            </w:r>
          </w:p>
        </w:tc>
        <w:tc>
          <w:tcPr>
            <w:tcW w:w="1438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0747364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31 (34.5)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729D44C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23 (25.6)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1F4125A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12 (13.2)</w:t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6F1E613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</w:tbl>
    <w:p w14:paraId="6F4B1348">
      <w:pPr>
        <w:widowControl/>
        <w:spacing w:after="200" w:line="276" w:lineRule="auto"/>
        <w:jc w:val="left"/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  <w:t>Note: Values are presented as n (%) or median (interquartile range, IQR).</w:t>
      </w:r>
    </w:p>
    <w:p w14:paraId="5287A437">
      <w:pPr>
        <w:widowControl/>
        <w:spacing w:after="200" w:line="276" w:lineRule="auto"/>
        <w:jc w:val="left"/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/>
          <w:bCs/>
          <w:kern w:val="0"/>
          <w:sz w:val="20"/>
          <w:szCs w:val="20"/>
          <w:lang w:eastAsia="en-US"/>
        </w:rPr>
        <w:t xml:space="preserve">Supplementary Table </w:t>
      </w:r>
      <w:r>
        <w:rPr>
          <w:rFonts w:hint="eastAsia" w:ascii="Arial" w:hAnsi="Arial" w:eastAsia="宋体" w:cs="Arial"/>
          <w:b/>
          <w:bCs/>
          <w:kern w:val="0"/>
          <w:sz w:val="20"/>
          <w:szCs w:val="20"/>
          <w:lang w:val="en-US" w:eastAsia="zh-CN"/>
        </w:rPr>
        <w:t>S3</w:t>
      </w:r>
      <w:r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  <w:t xml:space="preserve"> Association of FT3/FT4 ratio Quartiles with Renal Pathological Features in Patients with DN</w:t>
      </w:r>
    </w:p>
    <w:tbl>
      <w:tblPr>
        <w:tblStyle w:val="2"/>
        <w:tblW w:w="8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7"/>
        <w:gridCol w:w="1439"/>
        <w:gridCol w:w="1440"/>
        <w:gridCol w:w="1440"/>
        <w:gridCol w:w="1350"/>
        <w:gridCol w:w="645"/>
      </w:tblGrid>
      <w:tr w14:paraId="1E0FF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2537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4FEDB7B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Variable</w:t>
            </w:r>
          </w:p>
        </w:tc>
        <w:tc>
          <w:tcPr>
            <w:tcW w:w="1439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315F914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Q1 (n=102)</w:t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≤0.27</w:t>
            </w:r>
          </w:p>
        </w:tc>
        <w:tc>
          <w:tcPr>
            <w:tcW w:w="144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7037A43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Q2 (n=94)</w:t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0.28–0.32</w:t>
            </w:r>
          </w:p>
        </w:tc>
        <w:tc>
          <w:tcPr>
            <w:tcW w:w="144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3C27674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Q3 (n=83)</w:t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0.33–0.37</w:t>
            </w:r>
          </w:p>
        </w:tc>
        <w:tc>
          <w:tcPr>
            <w:tcW w:w="135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5E2D8DC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Q4 (n=83)</w:t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16"/>
                <w:szCs w:val="16"/>
                <w:lang w:eastAsia="en-US"/>
              </w:rPr>
              <w:t>≥0.38</w:t>
            </w:r>
          </w:p>
        </w:tc>
        <w:tc>
          <w:tcPr>
            <w:tcW w:w="645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top"/>
          </w:tcPr>
          <w:p w14:paraId="35C9D57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eastAsia" w:ascii="Arial" w:hAnsi="Arial" w:eastAsia="宋体" w:cs="Arial"/>
                <w:b/>
                <w:bCs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i/>
                <w:iCs/>
                <w:kern w:val="0"/>
                <w:sz w:val="16"/>
                <w:szCs w:val="16"/>
                <w:lang w:val="en-US" w:eastAsia="zh-CN"/>
              </w:rPr>
              <w:t>P</w:t>
            </w:r>
          </w:p>
        </w:tc>
      </w:tr>
      <w:tr w14:paraId="57098E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49268E1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Glomerular lesion classification</w:t>
            </w:r>
          </w:p>
        </w:tc>
        <w:tc>
          <w:tcPr>
            <w:tcW w:w="143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3596CE8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672EA5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1328090D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1130A78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4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736F1FFD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0.041</w:t>
            </w:r>
          </w:p>
        </w:tc>
      </w:tr>
      <w:tr w14:paraId="3331DC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0AE423A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Class I/II DN, n (%)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BBFC45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32 (31.4)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9442468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37 (39.4)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0FB6B3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31 (37.3)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30FEE6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43 (51.8)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39754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5DBB4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62C97BF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Class III/IV DN, n (%)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02631F7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70 (68.6)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6FA504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57 (60.6)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CFD4E9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52 (62.7)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D57ED9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40 (48.2)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C51D8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7A6296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400773D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Global glomerulosclerosis (%)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0EE05AB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25.0 (10.0, 41.9)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133483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20.0 (10.0, 33.4)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2A3C30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20.0 (10.0, 46.7)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DB1A75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15.4 (7.0, 34.6)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6E049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0.061</w:t>
            </w:r>
          </w:p>
        </w:tc>
      </w:tr>
      <w:tr w14:paraId="6C91DF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71E933C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Tubular atrophy, n (%)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069D879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434D57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4AF189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948E6F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578E6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0.443</w:t>
            </w:r>
          </w:p>
        </w:tc>
      </w:tr>
      <w:tr w14:paraId="620F1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0A2DD6C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0/1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260FCAF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32 (31.4)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24197B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37 (39.4)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8BB8C5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33 (39.8)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B089A1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37 (44.6)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EBEACD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540E0F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62116BA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1AEE58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55 (53.9)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A8AD78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45 (47.9)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E0DEBA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34 (40.9)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5A159A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35 (42.2)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C29D4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1B790F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3CB457A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28F211F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15 (14.7)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62615A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12 (12.8)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9F2BDD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16 (19.3)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B5F24A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11 (13.3)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A6CEB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7EBC9F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3B31364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Interstitial inflammation, n (%)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70535266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0624D5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94B6C0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4C98CA6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B931A2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0.028</w:t>
            </w:r>
          </w:p>
        </w:tc>
      </w:tr>
      <w:tr w14:paraId="2041C7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77B7EE5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0/1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0CE893C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72 (70.6)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7EE894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76 (80.9)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FD897D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54 (65.1)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690ED3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68 (81.9)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33EE2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345A6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5EDBDE5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221B00D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30 (29.4)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34700A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18 (19.1)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B54D90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29 (34.9)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5628BF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15 (18.1)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346E8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799E5E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4303FA4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Vascular lesion scores, n (%)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72A6EAF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1C126A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3417ED0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99E7876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2EAEDF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0.032</w:t>
            </w:r>
          </w:p>
        </w:tc>
      </w:tr>
      <w:tr w14:paraId="79463A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4455D9E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0/1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ECC1C5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22 (21.6)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D52111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22 (23.4)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1659DE7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33 (39.8)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CF5942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17 (20.5)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3D9EC6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68769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4F9525C5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19F997F8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45 (44.1)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10CED4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36 (38.3)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CF126DB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30 (36.1)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5A9345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38 (45.8)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26F78C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  <w:tr w14:paraId="2652C3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7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020E90AE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3/4</w:t>
            </w:r>
          </w:p>
        </w:tc>
        <w:tc>
          <w:tcPr>
            <w:tcW w:w="1439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73B6D81A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35 (34.3)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7BA8AA64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36 (38.3)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5AC4C891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20 (24.1)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08458069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28 (33.7)</w:t>
            </w:r>
          </w:p>
        </w:tc>
        <w:tc>
          <w:tcPr>
            <w:tcW w:w="645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3D43C173"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200" w:line="480" w:lineRule="auto"/>
              <w:jc w:val="left"/>
              <w:textAlignment w:val="auto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</w:p>
        </w:tc>
      </w:tr>
    </w:tbl>
    <w:p w14:paraId="1B6933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276" w:lineRule="auto"/>
        <w:jc w:val="left"/>
        <w:textAlignment w:val="auto"/>
        <w:rPr>
          <w:rFonts w:hint="default" w:ascii="Arial" w:hAnsi="Arial" w:eastAsia="宋体" w:cs="Arial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 w:val="0"/>
          <w:bCs w:val="0"/>
          <w:kern w:val="0"/>
          <w:sz w:val="20"/>
          <w:szCs w:val="20"/>
          <w:lang w:eastAsia="en-US"/>
        </w:rPr>
        <w:t xml:space="preserve">Note: Values are presented as n (%) or median (interquartile range, IQR). </w:t>
      </w:r>
    </w:p>
    <w:p w14:paraId="5FD2E7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276" w:lineRule="auto"/>
        <w:jc w:val="left"/>
        <w:textAlignment w:val="auto"/>
        <w:rPr>
          <w:rFonts w:hint="default" w:ascii="Arial" w:hAnsi="Arial" w:eastAsia="宋体" w:cs="Arial"/>
          <w:kern w:val="0"/>
          <w:sz w:val="16"/>
          <w:szCs w:val="16"/>
          <w:lang w:eastAsia="en-US"/>
        </w:rPr>
      </w:pPr>
      <w:r>
        <w:rPr>
          <w:rFonts w:hint="default" w:ascii="Arial" w:hAnsi="Arial" w:eastAsia="宋体" w:cs="Arial"/>
          <w:b/>
          <w:bCs/>
          <w:kern w:val="0"/>
          <w:sz w:val="20"/>
          <w:szCs w:val="20"/>
          <w:lang w:eastAsia="en-US"/>
        </w:rPr>
        <w:t xml:space="preserve">Supplementary Table </w:t>
      </w:r>
      <w:r>
        <w:rPr>
          <w:rFonts w:hint="eastAsia" w:ascii="Arial" w:hAnsi="Arial" w:eastAsia="宋体" w:cs="Arial"/>
          <w:b/>
          <w:bCs/>
          <w:kern w:val="0"/>
          <w:sz w:val="20"/>
          <w:szCs w:val="20"/>
          <w:lang w:val="en-US" w:eastAsia="zh-CN"/>
        </w:rPr>
        <w:t>S4</w:t>
      </w:r>
      <w:r>
        <w:rPr>
          <w:rFonts w:hint="default" w:ascii="Arial" w:hAnsi="Arial" w:eastAsia="宋体" w:cs="Arial"/>
          <w:kern w:val="0"/>
          <w:sz w:val="20"/>
          <w:szCs w:val="20"/>
          <w:lang w:eastAsia="en-US"/>
        </w:rPr>
        <w:t xml:space="preserve"> Association of FT3 and FT3/FT4 ratio with renal pathological classes in ordinal logistic regression models.</w:t>
      </w:r>
      <w:r>
        <w:rPr>
          <w:rFonts w:hint="default" w:ascii="Arial" w:hAnsi="Arial" w:eastAsia="宋体" w:cs="Arial"/>
          <w:kern w:val="0"/>
          <w:sz w:val="16"/>
          <w:szCs w:val="16"/>
          <w:lang w:eastAsia="en-US"/>
        </w:rPr>
        <w:t xml:space="preserve"> </w:t>
      </w:r>
    </w:p>
    <w:tbl>
      <w:tblPr>
        <w:tblStyle w:val="2"/>
        <w:tblW w:w="8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2423"/>
        <w:gridCol w:w="1061"/>
        <w:gridCol w:w="3105"/>
        <w:gridCol w:w="1043"/>
      </w:tblGrid>
      <w:tr w14:paraId="416567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219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6DF97CF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t>Variable</w:t>
            </w:r>
          </w:p>
        </w:tc>
        <w:tc>
          <w:tcPr>
            <w:tcW w:w="2423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9B73BCF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t>FT3 (pmol/L)</w:t>
            </w: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t>OR (95% CI)</w:t>
            </w:r>
          </w:p>
        </w:tc>
        <w:tc>
          <w:tcPr>
            <w:tcW w:w="1061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D481BD8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i/>
                <w:iCs/>
                <w:kern w:val="0"/>
                <w:sz w:val="16"/>
                <w:szCs w:val="16"/>
                <w:lang w:eastAsia="en-US"/>
              </w:rPr>
              <w:t>P</w:t>
            </w:r>
          </w:p>
        </w:tc>
        <w:tc>
          <w:tcPr>
            <w:tcW w:w="3105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ACD6739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t>FT3/FT4 (per 0.1 increase)</w:t>
            </w: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t>OR (95% CI)</w:t>
            </w:r>
          </w:p>
        </w:tc>
        <w:tc>
          <w:tcPr>
            <w:tcW w:w="1043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D5C4763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i/>
                <w:iCs/>
                <w:kern w:val="0"/>
                <w:sz w:val="16"/>
                <w:szCs w:val="16"/>
                <w:lang w:eastAsia="en-US"/>
              </w:rPr>
              <w:t>P</w:t>
            </w:r>
          </w:p>
        </w:tc>
      </w:tr>
      <w:tr w14:paraId="402E63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1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6006711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 xml:space="preserve">Model 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1</w:t>
            </w:r>
          </w:p>
        </w:tc>
        <w:tc>
          <w:tcPr>
            <w:tcW w:w="242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75BD64D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546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 xml:space="preserve"> (0.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417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–0.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715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06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4FEF8E8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&lt;0.001</w:t>
            </w:r>
          </w:p>
        </w:tc>
        <w:tc>
          <w:tcPr>
            <w:tcW w:w="3105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D7DCD76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0.6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91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 xml:space="preserve"> (0.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531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–0.8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97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58031BB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0.00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6</w:t>
            </w:r>
          </w:p>
        </w:tc>
      </w:tr>
      <w:tr w14:paraId="23BFB9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1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6AFBBE4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 xml:space="preserve">Model 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2</w:t>
            </w:r>
          </w:p>
        </w:tc>
        <w:tc>
          <w:tcPr>
            <w:tcW w:w="242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D3B8C5A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0.5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74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 xml:space="preserve"> (0.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423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–0.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779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061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3CDCE38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&lt;0.001</w:t>
            </w:r>
          </w:p>
        </w:tc>
        <w:tc>
          <w:tcPr>
            <w:tcW w:w="310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265B512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0.6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70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 xml:space="preserve"> (0.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506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–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0.888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04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3C0070B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</w:t>
            </w: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  <w:t>05</w:t>
            </w:r>
          </w:p>
        </w:tc>
      </w:tr>
    </w:tbl>
    <w:p w14:paraId="41742E57">
      <w:pPr>
        <w:rPr>
          <w:rFonts w:hint="default" w:ascii="Arial" w:hAnsi="Arial" w:cs="Arial"/>
        </w:rPr>
      </w:pPr>
    </w:p>
    <w:p w14:paraId="506FAD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textAlignment w:val="auto"/>
        <w:rPr>
          <w:rFonts w:hint="default" w:ascii="Arial" w:hAnsi="Arial" w:cs="Arial"/>
          <w:b w:val="0"/>
          <w:bCs w:val="0"/>
          <w:sz w:val="20"/>
          <w:szCs w:val="20"/>
        </w:rPr>
      </w:pPr>
      <w:r>
        <w:rPr>
          <w:rFonts w:hint="default" w:ascii="Arial" w:hAnsi="Arial" w:cs="Arial"/>
          <w:b/>
          <w:bCs/>
          <w:sz w:val="20"/>
          <w:szCs w:val="20"/>
        </w:rPr>
        <w:t>Notes</w:t>
      </w:r>
      <w:r>
        <w:rPr>
          <w:rFonts w:hint="default" w:ascii="Arial" w:hAnsi="Arial" w:cs="Arial"/>
          <w:b w:val="0"/>
          <w:bCs w:val="0"/>
          <w:sz w:val="20"/>
          <w:szCs w:val="20"/>
        </w:rPr>
        <w:t xml:space="preserve">: 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>O</w:t>
      </w:r>
      <w:r>
        <w:rPr>
          <w:rFonts w:hint="default" w:ascii="Arial" w:hAnsi="Arial" w:cs="Arial"/>
          <w:b w:val="0"/>
          <w:bCs w:val="0"/>
          <w:sz w:val="20"/>
          <w:szCs w:val="20"/>
        </w:rPr>
        <w:t>rdinal logistic regression analyses adjusted according to Models 1 and 2. FT3/FT4 ratio was scaled per 0.1-unit increase in regression models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>.</w:t>
      </w:r>
    </w:p>
    <w:p w14:paraId="0BC869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textAlignment w:val="auto"/>
        <w:rPr>
          <w:rFonts w:hint="default" w:ascii="Arial" w:hAnsi="Arial" w:cs="Arial"/>
        </w:rPr>
      </w:pPr>
      <w:r>
        <w:rPr>
          <w:rFonts w:hint="default" w:ascii="Arial" w:hAnsi="Arial" w:cs="Arial"/>
          <w:b/>
          <w:bCs/>
          <w:sz w:val="20"/>
          <w:szCs w:val="20"/>
        </w:rPr>
        <w:t xml:space="preserve">Supplementary Table 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S5</w:t>
      </w:r>
      <w:r>
        <w:rPr>
          <w:rFonts w:hint="default" w:ascii="Arial" w:hAnsi="Arial" w:cs="Arial"/>
          <w:sz w:val="20"/>
          <w:szCs w:val="20"/>
        </w:rPr>
        <w:t xml:space="preserve"> Sensitivity analyses </w:t>
      </w:r>
      <w:bookmarkStart w:id="0" w:name="_GoBack"/>
      <w:bookmarkEnd w:id="0"/>
      <w:r>
        <w:rPr>
          <w:rFonts w:hint="default" w:ascii="Arial" w:hAnsi="Arial" w:cs="Arial"/>
          <w:sz w:val="20"/>
          <w:szCs w:val="20"/>
        </w:rPr>
        <w:t>of the associations of FT3 and FT3/FT4 ratio with advanced DN.</w:t>
      </w:r>
      <w:r>
        <w:rPr>
          <w:rFonts w:hint="default" w:ascii="Arial" w:hAnsi="Arial" w:cs="Arial"/>
        </w:rPr>
        <w:t xml:space="preserve"> </w:t>
      </w:r>
    </w:p>
    <w:tbl>
      <w:tblPr>
        <w:tblStyle w:val="2"/>
        <w:tblW w:w="8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2423"/>
        <w:gridCol w:w="1061"/>
        <w:gridCol w:w="3105"/>
        <w:gridCol w:w="1043"/>
      </w:tblGrid>
      <w:tr w14:paraId="0D213C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219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F43B4C7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t>Variable</w:t>
            </w:r>
          </w:p>
        </w:tc>
        <w:tc>
          <w:tcPr>
            <w:tcW w:w="2423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8D9C5BB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t>FT3 (pmol/L)</w:t>
            </w: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t>OR (95% CI)</w:t>
            </w:r>
          </w:p>
        </w:tc>
        <w:tc>
          <w:tcPr>
            <w:tcW w:w="1061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9B101AC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eastAsia" w:ascii="Arial" w:hAnsi="Arial" w:eastAsia="宋体" w:cs="Arial"/>
                <w:b/>
                <w:kern w:val="0"/>
                <w:sz w:val="16"/>
                <w:szCs w:val="16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i/>
                <w:iCs/>
                <w:kern w:val="0"/>
                <w:sz w:val="16"/>
                <w:szCs w:val="16"/>
                <w:lang w:val="en-US" w:eastAsia="zh-CN"/>
              </w:rPr>
              <w:t>P</w:t>
            </w:r>
          </w:p>
        </w:tc>
        <w:tc>
          <w:tcPr>
            <w:tcW w:w="3105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24167D4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t>FT3/FT4 (per 0.1 increase)</w:t>
            </w: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br w:type="textWrapping"/>
            </w:r>
            <w:r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  <w:t>OR (95% CI)</w:t>
            </w:r>
          </w:p>
        </w:tc>
        <w:tc>
          <w:tcPr>
            <w:tcW w:w="1043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C705178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b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i/>
                <w:iCs/>
                <w:kern w:val="0"/>
                <w:sz w:val="16"/>
                <w:szCs w:val="16"/>
                <w:lang w:eastAsia="en-US"/>
              </w:rPr>
              <w:t>P</w:t>
            </w:r>
          </w:p>
        </w:tc>
      </w:tr>
      <w:tr w14:paraId="33626F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1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CD0450B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Model 2</w:t>
            </w:r>
          </w:p>
        </w:tc>
        <w:tc>
          <w:tcPr>
            <w:tcW w:w="242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6CDED6D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0.443 (0.294–0.667)</w:t>
            </w:r>
          </w:p>
        </w:tc>
        <w:tc>
          <w:tcPr>
            <w:tcW w:w="106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E82AC14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&lt;0.001</w:t>
            </w:r>
          </w:p>
        </w:tc>
        <w:tc>
          <w:tcPr>
            <w:tcW w:w="3105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6A67462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0.607 (0.416–0.886)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086BB25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10</w:t>
            </w:r>
          </w:p>
        </w:tc>
      </w:tr>
      <w:tr w14:paraId="6F6E8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199A3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Model 3</w:t>
            </w: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DEFC6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0.504 (0.329–0.775)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A8BF6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0.00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78BA0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0.636 (0.424–0.953)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654AC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0.028</w:t>
            </w:r>
          </w:p>
        </w:tc>
      </w:tr>
      <w:tr w14:paraId="590897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1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54D99EE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Model 4</w:t>
            </w:r>
          </w:p>
        </w:tc>
        <w:tc>
          <w:tcPr>
            <w:tcW w:w="242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2BDEFBC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0.519 (0.332–0.813)</w:t>
            </w:r>
          </w:p>
        </w:tc>
        <w:tc>
          <w:tcPr>
            <w:tcW w:w="1061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F5358C0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0.004</w:t>
            </w:r>
          </w:p>
        </w:tc>
        <w:tc>
          <w:tcPr>
            <w:tcW w:w="310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DCEF6C1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0.666 (0.439–1.011)</w:t>
            </w:r>
          </w:p>
        </w:tc>
        <w:tc>
          <w:tcPr>
            <w:tcW w:w="104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B02BEB3">
            <w:pPr>
              <w:widowControl/>
              <w:snapToGrid w:val="0"/>
              <w:spacing w:after="200" w:line="240" w:lineRule="auto"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</w:pPr>
            <w:r>
              <w:rPr>
                <w:rFonts w:hint="default" w:ascii="Arial" w:hAnsi="Arial" w:eastAsia="宋体" w:cs="Arial"/>
                <w:kern w:val="0"/>
                <w:sz w:val="16"/>
                <w:szCs w:val="16"/>
                <w:lang w:eastAsia="en-US"/>
              </w:rPr>
              <w:t>0.056</w:t>
            </w:r>
          </w:p>
        </w:tc>
      </w:tr>
    </w:tbl>
    <w:p w14:paraId="63E47F25">
      <w:pPr>
        <w:rPr>
          <w:rFonts w:hint="default" w:ascii="Arial" w:hAnsi="Arial" w:cs="Arial"/>
          <w:lang w:val="en-US" w:eastAsia="zh-CN"/>
        </w:rPr>
      </w:pPr>
    </w:p>
    <w:p w14:paraId="5E0CB75E">
      <w:pPr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Notes: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cs="Arial"/>
          <w:sz w:val="20"/>
          <w:szCs w:val="20"/>
        </w:rPr>
        <w:t xml:space="preserve">Multivariable logistic regression analyses adjusted according to Models 2, 3, and 4. </w:t>
      </w:r>
    </w:p>
    <w:p w14:paraId="60620412">
      <w:pPr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>FT3/FT4 ratio was scaled per 0.1-unit increase in regression models.</w:t>
      </w:r>
    </w:p>
    <w:sectPr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2D9C19"/>
    <w:multiLevelType w:val="singleLevel"/>
    <w:tmpl w:val="A12D9C19"/>
    <w:lvl w:ilvl="0" w:tentative="0">
      <w:start w:val="1"/>
      <w:numFmt w:val="lowerLetter"/>
      <w:suff w:val="space"/>
      <w:lvlText w:val="(%1)"/>
      <w:lvlJc w:val="left"/>
    </w:lvl>
  </w:abstractNum>
  <w:abstractNum w:abstractNumId="1">
    <w:nsid w:val="66E92F4D"/>
    <w:multiLevelType w:val="singleLevel"/>
    <w:tmpl w:val="66E92F4D"/>
    <w:lvl w:ilvl="0" w:tentative="0">
      <w:start w:val="1"/>
      <w:numFmt w:val="lowerLetter"/>
      <w:suff w:val="space"/>
      <w:lvlText w:val="(%1)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57A74"/>
    <w:rsid w:val="0F9A5A52"/>
    <w:rsid w:val="13AC16D1"/>
    <w:rsid w:val="15C74070"/>
    <w:rsid w:val="15FB06EE"/>
    <w:rsid w:val="16A82624"/>
    <w:rsid w:val="17857881"/>
    <w:rsid w:val="1E171E3D"/>
    <w:rsid w:val="21BC3A1C"/>
    <w:rsid w:val="233E7993"/>
    <w:rsid w:val="281C30A8"/>
    <w:rsid w:val="2A5470B9"/>
    <w:rsid w:val="2F2F1125"/>
    <w:rsid w:val="304E5B92"/>
    <w:rsid w:val="36A22794"/>
    <w:rsid w:val="3C88242C"/>
    <w:rsid w:val="3CA47E2F"/>
    <w:rsid w:val="3D7A5376"/>
    <w:rsid w:val="3E497999"/>
    <w:rsid w:val="41C239F0"/>
    <w:rsid w:val="420B34A1"/>
    <w:rsid w:val="484605A2"/>
    <w:rsid w:val="49AA51FB"/>
    <w:rsid w:val="4CDD2135"/>
    <w:rsid w:val="4E257ADB"/>
    <w:rsid w:val="507B39F7"/>
    <w:rsid w:val="56A925E8"/>
    <w:rsid w:val="5B6B5832"/>
    <w:rsid w:val="5C533A65"/>
    <w:rsid w:val="68EC700B"/>
    <w:rsid w:val="6E8925B0"/>
    <w:rsid w:val="6EDE7B06"/>
    <w:rsid w:val="71E024A7"/>
    <w:rsid w:val="734E4B2E"/>
    <w:rsid w:val="773E7D0A"/>
    <w:rsid w:val="7BBC11CF"/>
    <w:rsid w:val="7C8A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876</Words>
  <Characters>4672</Characters>
  <Lines>0</Lines>
  <Paragraphs>0</Paragraphs>
  <TotalTime>440</TotalTime>
  <ScaleCrop>false</ScaleCrop>
  <LinksUpToDate>false</LinksUpToDate>
  <CharactersWithSpaces>5297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2025-12-11T06:02:00Z</dcterms:created>
  <dc:creator>lenovo</dc:creator>
  <cp:lastModifiedBy>陪蜗牛散步</cp:lastModifiedBy>
  <dcterms:modified xsi:type="dcterms:W3CDTF">2026-02-20T16:02:52Z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eyJoZGlkIjoiYzg3ZDBmNzc1OWRhOTY1YTkzMzlmMzdlNDM3YWU3MDEiLCJ1c2VySWQiOiIyNDE4OTU5NjEifQ==</vt:lpwstr>
  </property>
  <property fmtid="{D5CDD505-2E9C-101B-9397-08002B2CF9AE}" pid="4" name="ICV">
    <vt:lpwstr>40E025427B2E488DBE0DBEAE028F89AE_12</vt:lpwstr>
  </property>
</Properties>
</file>