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21BD9" w14:textId="6FC5DAD7" w:rsidR="00B20922" w:rsidRPr="00845CFE" w:rsidRDefault="00925D88" w:rsidP="001778AA">
      <w:pPr>
        <w:spacing w:line="480" w:lineRule="auto"/>
        <w:jc w:val="center"/>
        <w:rPr>
          <w:rFonts w:ascii="Times New Roman" w:hAnsi="Times New Roman" w:cs="Times New Roman"/>
          <w:b/>
          <w:bCs/>
          <w:sz w:val="24"/>
          <w:szCs w:val="28"/>
        </w:rPr>
      </w:pPr>
      <w:r w:rsidRPr="00845CFE">
        <w:rPr>
          <w:rFonts w:ascii="Times New Roman" w:hAnsi="Times New Roman" w:cs="Times New Roman"/>
          <w:b/>
          <w:bCs/>
          <w:sz w:val="24"/>
          <w:szCs w:val="28"/>
        </w:rPr>
        <w:t>Supplementary Information</w:t>
      </w:r>
      <w:r w:rsidR="001A3274" w:rsidRPr="00845CFE">
        <w:rPr>
          <w:rFonts w:ascii="Times New Roman" w:hAnsi="Times New Roman" w:cs="Times New Roman"/>
          <w:b/>
          <w:bCs/>
          <w:sz w:val="24"/>
          <w:szCs w:val="28"/>
        </w:rPr>
        <w:t xml:space="preserve"> for</w:t>
      </w:r>
    </w:p>
    <w:p w14:paraId="5462E55E" w14:textId="265C7A5B" w:rsidR="00E812C9" w:rsidRDefault="00BC1A31" w:rsidP="009C6440">
      <w:pPr>
        <w:spacing w:line="480" w:lineRule="auto"/>
        <w:jc w:val="center"/>
        <w:rPr>
          <w:rFonts w:ascii="Times New Roman" w:hAnsi="Times New Roman" w:cs="Times New Roman"/>
          <w:b/>
          <w:bCs/>
          <w:sz w:val="32"/>
          <w:szCs w:val="36"/>
        </w:rPr>
      </w:pPr>
      <w:r w:rsidRPr="00BC1A31">
        <w:rPr>
          <w:rFonts w:ascii="Times New Roman" w:hAnsi="Times New Roman" w:cs="Times New Roman" w:hint="eastAsia"/>
          <w:b/>
          <w:bCs/>
          <w:sz w:val="32"/>
          <w:szCs w:val="36"/>
        </w:rPr>
        <w:t>CD71-targeted and ROS-responsive micelles for homoharringtonine delivery to enhance therapeutic efficiency against FLT3-ITD acute myeloid leukemia</w:t>
      </w:r>
    </w:p>
    <w:p w14:paraId="4B3AB25E" w14:textId="77777777" w:rsidR="00BC1A31" w:rsidRPr="00F24599" w:rsidRDefault="00BC1A31" w:rsidP="009C6440">
      <w:pPr>
        <w:spacing w:line="480" w:lineRule="auto"/>
        <w:jc w:val="center"/>
        <w:rPr>
          <w:rFonts w:ascii="Times New Roman" w:hAnsi="Times New Roman" w:cs="Times New Roman"/>
          <w:b/>
          <w:bCs/>
          <w:sz w:val="32"/>
          <w:szCs w:val="36"/>
        </w:rPr>
      </w:pPr>
    </w:p>
    <w:p w14:paraId="0EC9E20B" w14:textId="77777777" w:rsidR="00E812C9" w:rsidRPr="00154DE1" w:rsidRDefault="00E812C9" w:rsidP="00E812C9">
      <w:pPr>
        <w:pStyle w:val="ListParagraph"/>
        <w:numPr>
          <w:ilvl w:val="0"/>
          <w:numId w:val="4"/>
        </w:numPr>
        <w:spacing w:line="480" w:lineRule="auto"/>
        <w:rPr>
          <w:rFonts w:ascii="Times New Roman" w:hAnsi="Times New Roman" w:cs="Times New Roman"/>
          <w:b/>
          <w:bCs/>
          <w:sz w:val="32"/>
          <w:szCs w:val="36"/>
        </w:rPr>
      </w:pPr>
      <w:r w:rsidRPr="00154DE1">
        <w:rPr>
          <w:rFonts w:ascii="Times New Roman" w:hAnsi="Times New Roman" w:cs="Times New Roman" w:hint="eastAsia"/>
          <w:b/>
          <w:bCs/>
          <w:sz w:val="28"/>
          <w:szCs w:val="32"/>
        </w:rPr>
        <w:t>Supplementary methods and materials</w:t>
      </w:r>
    </w:p>
    <w:p w14:paraId="71F16FE9" w14:textId="77777777" w:rsidR="00E812C9" w:rsidRPr="00154DE1" w:rsidRDefault="00E812C9" w:rsidP="00E812C9">
      <w:pPr>
        <w:pStyle w:val="ListParagraph"/>
        <w:numPr>
          <w:ilvl w:val="1"/>
          <w:numId w:val="2"/>
        </w:numPr>
        <w:spacing w:line="480" w:lineRule="auto"/>
        <w:rPr>
          <w:rFonts w:ascii="Times New Roman" w:hAnsi="Times New Roman" w:cs="Times New Roman"/>
          <w:b/>
          <w:bCs/>
          <w:sz w:val="28"/>
          <w:szCs w:val="32"/>
        </w:rPr>
      </w:pPr>
      <w:r w:rsidRPr="00154DE1">
        <w:rPr>
          <w:rFonts w:ascii="Times New Roman" w:hAnsi="Times New Roman" w:cs="Times New Roman" w:hint="eastAsia"/>
          <w:b/>
          <w:bCs/>
          <w:sz w:val="24"/>
          <w:szCs w:val="28"/>
        </w:rPr>
        <w:t>materials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3193"/>
      </w:tblGrid>
      <w:tr w:rsidR="00E812C9" w:rsidRPr="005244DD" w14:paraId="1CDEE630" w14:textId="77777777" w:rsidTr="005402EC">
        <w:tc>
          <w:tcPr>
            <w:tcW w:w="7936" w:type="dxa"/>
            <w:gridSpan w:val="2"/>
            <w:tcBorders>
              <w:bottom w:val="single" w:sz="4" w:space="0" w:color="auto"/>
            </w:tcBorders>
          </w:tcPr>
          <w:p w14:paraId="565F30C5" w14:textId="7D529DA6" w:rsidR="00E812C9" w:rsidRPr="005244DD" w:rsidRDefault="00E812C9" w:rsidP="005402EC">
            <w:pPr>
              <w:widowControl/>
              <w:spacing w:line="360" w:lineRule="auto"/>
              <w:contextualSpacing/>
              <w:jc w:val="center"/>
              <w:rPr>
                <w:rFonts w:ascii="Times New Roman" w:eastAsia="Microsoft YaHei" w:hAnsi="Times New Roman"/>
                <w:b/>
                <w:szCs w:val="24"/>
              </w:rPr>
            </w:pPr>
            <w:r w:rsidRPr="005244DD">
              <w:rPr>
                <w:rFonts w:ascii="Times New Roman" w:eastAsia="Microsoft YaHei" w:hAnsi="Times New Roman"/>
                <w:b/>
                <w:szCs w:val="24"/>
              </w:rPr>
              <w:t xml:space="preserve">Supplement Table </w:t>
            </w:r>
            <w:r>
              <w:rPr>
                <w:rFonts w:ascii="Times New Roman" w:eastAsia="Microsoft YaHei" w:hAnsi="Times New Roman" w:hint="eastAsia"/>
                <w:b/>
                <w:szCs w:val="24"/>
              </w:rPr>
              <w:t>1.</w:t>
            </w:r>
            <w:r w:rsidRPr="00242ACC">
              <w:rPr>
                <w:rFonts w:ascii="Times New Roman" w:eastAsia="Microsoft YaHei" w:hAnsi="Times New Roman"/>
                <w:b/>
                <w:szCs w:val="24"/>
              </w:rPr>
              <w:t xml:space="preserve"> Main reagents and suppliers</w:t>
            </w:r>
          </w:p>
        </w:tc>
      </w:tr>
      <w:tr w:rsidR="00E812C9" w:rsidRPr="00D97379" w14:paraId="35E7C646" w14:textId="77777777" w:rsidTr="005402EC">
        <w:tc>
          <w:tcPr>
            <w:tcW w:w="4743" w:type="dxa"/>
            <w:tcBorders>
              <w:top w:val="single" w:sz="4" w:space="0" w:color="auto"/>
              <w:bottom w:val="single" w:sz="4" w:space="0" w:color="auto"/>
            </w:tcBorders>
          </w:tcPr>
          <w:p w14:paraId="2E317324" w14:textId="77777777" w:rsidR="00E812C9" w:rsidRPr="00D97379" w:rsidRDefault="00E812C9" w:rsidP="005402EC">
            <w:pPr>
              <w:widowControl/>
              <w:spacing w:line="360" w:lineRule="auto"/>
              <w:contextualSpacing/>
              <w:rPr>
                <w:rFonts w:ascii="Times New Roman" w:eastAsia="Microsoft YaHei" w:hAnsi="Times New Roman" w:cs="Times New Roman"/>
                <w:b/>
                <w:szCs w:val="21"/>
              </w:rPr>
            </w:pPr>
            <w:r w:rsidRPr="00D97379">
              <w:rPr>
                <w:rFonts w:ascii="Times New Roman" w:eastAsia="Microsoft YaHei" w:hAnsi="Times New Roman" w:cs="Times New Roman"/>
                <w:b/>
                <w:szCs w:val="21"/>
              </w:rPr>
              <w:t>Reagents</w:t>
            </w:r>
          </w:p>
        </w:tc>
        <w:tc>
          <w:tcPr>
            <w:tcW w:w="3193" w:type="dxa"/>
            <w:tcBorders>
              <w:top w:val="single" w:sz="4" w:space="0" w:color="auto"/>
              <w:bottom w:val="single" w:sz="4" w:space="0" w:color="auto"/>
            </w:tcBorders>
          </w:tcPr>
          <w:p w14:paraId="3A1AEC4B" w14:textId="77777777" w:rsidR="00E812C9" w:rsidRPr="00D97379" w:rsidRDefault="00E812C9" w:rsidP="005402EC">
            <w:pPr>
              <w:widowControl/>
              <w:spacing w:line="360" w:lineRule="auto"/>
              <w:contextualSpacing/>
              <w:rPr>
                <w:rFonts w:ascii="Times New Roman" w:eastAsia="Microsoft YaHei" w:hAnsi="Times New Roman" w:cs="Times New Roman"/>
                <w:b/>
                <w:szCs w:val="21"/>
              </w:rPr>
            </w:pPr>
            <w:r w:rsidRPr="00D97379">
              <w:rPr>
                <w:rFonts w:ascii="Times New Roman" w:eastAsia="Microsoft YaHei" w:hAnsi="Times New Roman" w:cs="Times New Roman"/>
                <w:b/>
                <w:szCs w:val="21"/>
              </w:rPr>
              <w:t>Suppliers</w:t>
            </w:r>
          </w:p>
        </w:tc>
      </w:tr>
      <w:tr w:rsidR="00E812C9" w:rsidRPr="005244DD" w14:paraId="4FC5F85B" w14:textId="77777777" w:rsidTr="005402EC">
        <w:tc>
          <w:tcPr>
            <w:tcW w:w="4743" w:type="dxa"/>
            <w:tcBorders>
              <w:top w:val="single" w:sz="4" w:space="0" w:color="auto"/>
            </w:tcBorders>
          </w:tcPr>
          <w:p w14:paraId="17AE3AC8"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Homoharringtonine</w:t>
            </w:r>
          </w:p>
        </w:tc>
        <w:tc>
          <w:tcPr>
            <w:tcW w:w="3193" w:type="dxa"/>
            <w:tcBorders>
              <w:top w:val="single" w:sz="4" w:space="0" w:color="auto"/>
            </w:tcBorders>
          </w:tcPr>
          <w:p w14:paraId="1211CBD9"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Must (A0289)</w:t>
            </w:r>
          </w:p>
        </w:tc>
      </w:tr>
      <w:tr w:rsidR="00E812C9" w:rsidRPr="005244DD" w14:paraId="468A2B0F" w14:textId="77777777" w:rsidTr="005402EC">
        <w:tc>
          <w:tcPr>
            <w:tcW w:w="4743" w:type="dxa"/>
          </w:tcPr>
          <w:p w14:paraId="78D5A18F"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Gilteritinib</w:t>
            </w:r>
          </w:p>
        </w:tc>
        <w:tc>
          <w:tcPr>
            <w:tcW w:w="3193" w:type="dxa"/>
          </w:tcPr>
          <w:p w14:paraId="36A3D75F"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MCE (HY-12432)</w:t>
            </w:r>
          </w:p>
        </w:tc>
      </w:tr>
      <w:tr w:rsidR="00E812C9" w:rsidRPr="005244DD" w14:paraId="7D923152" w14:textId="77777777" w:rsidTr="005402EC">
        <w:tc>
          <w:tcPr>
            <w:tcW w:w="4743" w:type="dxa"/>
          </w:tcPr>
          <w:p w14:paraId="3DA2A63B"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DSPE-PEG</w:t>
            </w:r>
            <w:r w:rsidRPr="00603C62">
              <w:rPr>
                <w:rFonts w:ascii="Times New Roman" w:hAnsi="Times New Roman" w:cs="Times New Roman"/>
                <w:szCs w:val="21"/>
                <w:vertAlign w:val="subscript"/>
              </w:rPr>
              <w:t>2000</w:t>
            </w:r>
            <w:r w:rsidRPr="00603C62">
              <w:rPr>
                <w:rFonts w:ascii="Times New Roman" w:hAnsi="Times New Roman" w:cs="Times New Roman"/>
                <w:szCs w:val="21"/>
              </w:rPr>
              <w:t>-Mal</w:t>
            </w:r>
          </w:p>
        </w:tc>
        <w:tc>
          <w:tcPr>
            <w:tcW w:w="3193" w:type="dxa"/>
          </w:tcPr>
          <w:p w14:paraId="23CFFFB9"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AVT (474922-22-0)</w:t>
            </w:r>
          </w:p>
        </w:tc>
      </w:tr>
      <w:tr w:rsidR="00E812C9" w:rsidRPr="005244DD" w14:paraId="5060CD01" w14:textId="77777777" w:rsidTr="005402EC">
        <w:tc>
          <w:tcPr>
            <w:tcW w:w="4743" w:type="dxa"/>
          </w:tcPr>
          <w:p w14:paraId="6C7B242D"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DSPE-mPEG</w:t>
            </w:r>
            <w:r w:rsidRPr="00603C62">
              <w:rPr>
                <w:rFonts w:ascii="Times New Roman" w:hAnsi="Times New Roman" w:cs="Times New Roman"/>
                <w:szCs w:val="21"/>
                <w:vertAlign w:val="subscript"/>
              </w:rPr>
              <w:t>2000</w:t>
            </w:r>
          </w:p>
        </w:tc>
        <w:tc>
          <w:tcPr>
            <w:tcW w:w="3193" w:type="dxa"/>
          </w:tcPr>
          <w:p w14:paraId="4B27C942"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rPr>
              <w:t>AVT (247925-28-6)</w:t>
            </w:r>
          </w:p>
        </w:tc>
      </w:tr>
      <w:tr w:rsidR="00E812C9" w:rsidRPr="005244DD" w14:paraId="1F11ED43" w14:textId="77777777" w:rsidTr="005402EC">
        <w:tc>
          <w:tcPr>
            <w:tcW w:w="4743" w:type="dxa"/>
          </w:tcPr>
          <w:p w14:paraId="2CA58C03"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DSPE-TK-PEG</w:t>
            </w:r>
            <w:r w:rsidRPr="00603C62">
              <w:rPr>
                <w:rFonts w:ascii="Times New Roman" w:hAnsi="Times New Roman" w:cs="Times New Roman"/>
                <w:szCs w:val="21"/>
                <w:vertAlign w:val="subscript"/>
              </w:rPr>
              <w:t>2000</w:t>
            </w:r>
          </w:p>
        </w:tc>
        <w:tc>
          <w:tcPr>
            <w:tcW w:w="3193" w:type="dxa"/>
          </w:tcPr>
          <w:p w14:paraId="65F9111A"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 xml:space="preserve">Xi’an Ruixi (R-D526-1) </w:t>
            </w:r>
          </w:p>
        </w:tc>
      </w:tr>
      <w:tr w:rsidR="00E812C9" w:rsidRPr="005244DD" w14:paraId="492AF3A9" w14:textId="77777777" w:rsidTr="005402EC">
        <w:tc>
          <w:tcPr>
            <w:tcW w:w="4743" w:type="dxa"/>
          </w:tcPr>
          <w:p w14:paraId="0DC7DC83"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vertAlign w:val="superscript"/>
              </w:rPr>
              <w:t>D</w:t>
            </w:r>
            <w:r w:rsidRPr="00603C62">
              <w:rPr>
                <w:rFonts w:ascii="Times New Roman" w:hAnsi="Times New Roman" w:cs="Times New Roman"/>
                <w:szCs w:val="21"/>
              </w:rPr>
              <w:t>T7-Cys (</w:t>
            </w:r>
            <w:r w:rsidRPr="00603C62">
              <w:rPr>
                <w:rFonts w:ascii="Times New Roman" w:hAnsi="Times New Roman" w:cs="Times New Roman"/>
                <w:szCs w:val="21"/>
                <w:vertAlign w:val="subscript"/>
              </w:rPr>
              <w:t>D</w:t>
            </w:r>
            <w:r w:rsidRPr="00603C62">
              <w:rPr>
                <w:rFonts w:ascii="Times New Roman" w:hAnsi="Times New Roman" w:cs="Times New Roman"/>
                <w:szCs w:val="21"/>
              </w:rPr>
              <w:t>(HRPYIAHC)) peptide</w:t>
            </w:r>
          </w:p>
        </w:tc>
        <w:tc>
          <w:tcPr>
            <w:tcW w:w="3193" w:type="dxa"/>
          </w:tcPr>
          <w:p w14:paraId="476357C5"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ONTORES (03019)</w:t>
            </w:r>
          </w:p>
        </w:tc>
      </w:tr>
      <w:tr w:rsidR="00E812C9" w:rsidRPr="005244DD" w14:paraId="72892D61" w14:textId="77777777" w:rsidTr="005402EC">
        <w:tc>
          <w:tcPr>
            <w:tcW w:w="4743" w:type="dxa"/>
          </w:tcPr>
          <w:p w14:paraId="0FD28518"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rPr>
              <w:t>4-Chlorobenzenesulfonate salt (DiD)</w:t>
            </w:r>
          </w:p>
        </w:tc>
        <w:tc>
          <w:tcPr>
            <w:tcW w:w="3193" w:type="dxa"/>
          </w:tcPr>
          <w:p w14:paraId="1A48B65F"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eastAsia="Microsoft YaHei" w:hAnsi="Times New Roman" w:cs="Times New Roman"/>
                <w:bCs/>
                <w:szCs w:val="21"/>
              </w:rPr>
              <w:t>Beyotime Biotechnology (C1039)</w:t>
            </w:r>
          </w:p>
        </w:tc>
      </w:tr>
      <w:tr w:rsidR="00E812C9" w:rsidRPr="005244DD" w14:paraId="6F394E5E" w14:textId="77777777" w:rsidTr="005402EC">
        <w:tc>
          <w:tcPr>
            <w:tcW w:w="4743" w:type="dxa"/>
          </w:tcPr>
          <w:p w14:paraId="139EDE66"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rPr>
              <w:t>FITC anti-human CD45 antibody</w:t>
            </w:r>
          </w:p>
        </w:tc>
        <w:tc>
          <w:tcPr>
            <w:tcW w:w="3193" w:type="dxa"/>
          </w:tcPr>
          <w:p w14:paraId="50C6A1C8"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hAnsi="Times New Roman" w:cs="Times New Roman"/>
                <w:szCs w:val="21"/>
              </w:rPr>
              <w:t>BioLegend (304006)</w:t>
            </w:r>
          </w:p>
        </w:tc>
      </w:tr>
      <w:tr w:rsidR="00E812C9" w:rsidRPr="005244DD" w14:paraId="109E2DEA" w14:textId="77777777" w:rsidTr="005402EC">
        <w:tc>
          <w:tcPr>
            <w:tcW w:w="4743" w:type="dxa"/>
          </w:tcPr>
          <w:p w14:paraId="04806EC1"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rPr>
              <w:t xml:space="preserve">APC Mouse IgG2a, κ Isotype control Antibody </w:t>
            </w:r>
          </w:p>
        </w:tc>
        <w:tc>
          <w:tcPr>
            <w:tcW w:w="3193" w:type="dxa"/>
          </w:tcPr>
          <w:p w14:paraId="4E25864E"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rPr>
              <w:t>BioLegend (400222)</w:t>
            </w:r>
          </w:p>
        </w:tc>
      </w:tr>
      <w:tr w:rsidR="00E812C9" w:rsidRPr="005244DD" w14:paraId="6A6790B3" w14:textId="77777777" w:rsidTr="005402EC">
        <w:tc>
          <w:tcPr>
            <w:tcW w:w="4743" w:type="dxa"/>
          </w:tcPr>
          <w:p w14:paraId="1F5419BD"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rPr>
              <w:t>APC/Cyanine7 anti-human CD34 Antibody</w:t>
            </w:r>
          </w:p>
        </w:tc>
        <w:tc>
          <w:tcPr>
            <w:tcW w:w="3193" w:type="dxa"/>
          </w:tcPr>
          <w:p w14:paraId="786C362F"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rPr>
              <w:t>BioLegend (343614)</w:t>
            </w:r>
          </w:p>
        </w:tc>
      </w:tr>
      <w:tr w:rsidR="00E812C9" w:rsidRPr="005244DD" w14:paraId="7477A95E" w14:textId="77777777" w:rsidTr="005402EC">
        <w:tc>
          <w:tcPr>
            <w:tcW w:w="4743" w:type="dxa"/>
          </w:tcPr>
          <w:p w14:paraId="222704F6"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rPr>
              <w:t xml:space="preserve">APC anti-human CD71 Antibody </w:t>
            </w:r>
          </w:p>
        </w:tc>
        <w:tc>
          <w:tcPr>
            <w:tcW w:w="3193" w:type="dxa"/>
          </w:tcPr>
          <w:p w14:paraId="4DF6145A" w14:textId="77777777" w:rsidR="00E812C9" w:rsidRPr="00603C62" w:rsidRDefault="00E812C9" w:rsidP="005402EC">
            <w:pPr>
              <w:widowControl/>
              <w:spacing w:line="360" w:lineRule="auto"/>
              <w:contextualSpacing/>
              <w:rPr>
                <w:rFonts w:ascii="Times New Roman" w:hAnsi="Times New Roman" w:cs="Times New Roman"/>
                <w:szCs w:val="21"/>
              </w:rPr>
            </w:pPr>
            <w:r w:rsidRPr="00603C62">
              <w:rPr>
                <w:rFonts w:ascii="Times New Roman" w:hAnsi="Times New Roman" w:cs="Times New Roman"/>
                <w:szCs w:val="21"/>
              </w:rPr>
              <w:t>BioLegend (334108)</w:t>
            </w:r>
          </w:p>
        </w:tc>
      </w:tr>
      <w:tr w:rsidR="00E812C9" w:rsidRPr="00D91782" w14:paraId="652F506C" w14:textId="77777777" w:rsidTr="005402EC">
        <w:tc>
          <w:tcPr>
            <w:tcW w:w="4743" w:type="dxa"/>
          </w:tcPr>
          <w:p w14:paraId="2DA971D6"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Lymphocyte Separation Medium</w:t>
            </w:r>
          </w:p>
        </w:tc>
        <w:tc>
          <w:tcPr>
            <w:tcW w:w="3193" w:type="dxa"/>
          </w:tcPr>
          <w:p w14:paraId="5880EDCA"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TBD (LTS1077)</w:t>
            </w:r>
          </w:p>
        </w:tc>
      </w:tr>
      <w:tr w:rsidR="00E812C9" w:rsidRPr="005244DD" w14:paraId="604A0E35" w14:textId="77777777" w:rsidTr="005402EC">
        <w:tc>
          <w:tcPr>
            <w:tcW w:w="4743" w:type="dxa"/>
          </w:tcPr>
          <w:p w14:paraId="632D2A9B"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RIPA Lysis Buffer (medium)</w:t>
            </w:r>
          </w:p>
        </w:tc>
        <w:tc>
          <w:tcPr>
            <w:tcW w:w="3193" w:type="dxa"/>
          </w:tcPr>
          <w:p w14:paraId="56C86150"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Beyotime Biotechnology (P0013C)</w:t>
            </w:r>
          </w:p>
        </w:tc>
      </w:tr>
      <w:tr w:rsidR="00E812C9" w:rsidRPr="005244DD" w14:paraId="57E947B3" w14:textId="77777777" w:rsidTr="005402EC">
        <w:tc>
          <w:tcPr>
            <w:tcW w:w="4743" w:type="dxa"/>
          </w:tcPr>
          <w:p w14:paraId="140FE06C"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BCA Protein Assay Kit</w:t>
            </w:r>
          </w:p>
        </w:tc>
        <w:tc>
          <w:tcPr>
            <w:tcW w:w="3193" w:type="dxa"/>
          </w:tcPr>
          <w:p w14:paraId="4021488E"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ComWin Biotech (28523)</w:t>
            </w:r>
          </w:p>
        </w:tc>
      </w:tr>
      <w:tr w:rsidR="00E812C9" w:rsidRPr="005244DD" w14:paraId="24149E11" w14:textId="77777777" w:rsidTr="005402EC">
        <w:tc>
          <w:tcPr>
            <w:tcW w:w="4743" w:type="dxa"/>
          </w:tcPr>
          <w:p w14:paraId="2B708F3F"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5×SDS loading buffer</w:t>
            </w:r>
          </w:p>
        </w:tc>
        <w:tc>
          <w:tcPr>
            <w:tcW w:w="3193" w:type="dxa"/>
          </w:tcPr>
          <w:p w14:paraId="183428F9"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Beyotime Biotechnology (P0285)</w:t>
            </w:r>
          </w:p>
        </w:tc>
      </w:tr>
      <w:tr w:rsidR="00E812C9" w:rsidRPr="005244DD" w14:paraId="40078057" w14:textId="77777777" w:rsidTr="005402EC">
        <w:tc>
          <w:tcPr>
            <w:tcW w:w="4743" w:type="dxa"/>
          </w:tcPr>
          <w:p w14:paraId="4600C233"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Prestained protein marker</w:t>
            </w:r>
          </w:p>
        </w:tc>
        <w:tc>
          <w:tcPr>
            <w:tcW w:w="3193" w:type="dxa"/>
            <w:vAlign w:val="center"/>
          </w:tcPr>
          <w:p w14:paraId="2626F812"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Page ruler (26616)</w:t>
            </w:r>
          </w:p>
        </w:tc>
      </w:tr>
      <w:tr w:rsidR="00E812C9" w:rsidRPr="005244DD" w14:paraId="644F87F6" w14:textId="77777777" w:rsidTr="005402EC">
        <w:tc>
          <w:tcPr>
            <w:tcW w:w="4743" w:type="dxa"/>
          </w:tcPr>
          <w:p w14:paraId="7AD34D1D"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PVDF membrane</w:t>
            </w:r>
          </w:p>
        </w:tc>
        <w:tc>
          <w:tcPr>
            <w:tcW w:w="3193" w:type="dxa"/>
          </w:tcPr>
          <w:p w14:paraId="174244A1"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Millipore (GVHP29325)</w:t>
            </w:r>
          </w:p>
        </w:tc>
      </w:tr>
      <w:tr w:rsidR="00E812C9" w:rsidRPr="005244DD" w14:paraId="1288DB6D" w14:textId="77777777" w:rsidTr="005402EC">
        <w:tc>
          <w:tcPr>
            <w:tcW w:w="4743" w:type="dxa"/>
          </w:tcPr>
          <w:p w14:paraId="5A1FE067" w14:textId="748EA608" w:rsidR="00E812C9" w:rsidRPr="00603C62" w:rsidRDefault="00E812C9" w:rsidP="005432CA">
            <w:pPr>
              <w:widowControl/>
              <w:tabs>
                <w:tab w:val="left" w:pos="2928"/>
              </w:tabs>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Mouse Anti-CD71 antibody</w:t>
            </w:r>
            <w:r w:rsidR="005432CA">
              <w:rPr>
                <w:rFonts w:ascii="Times New Roman" w:eastAsia="SimSun" w:hAnsi="Times New Roman" w:cs="Times New Roman"/>
                <w:szCs w:val="21"/>
              </w:rPr>
              <w:tab/>
            </w:r>
          </w:p>
        </w:tc>
        <w:tc>
          <w:tcPr>
            <w:tcW w:w="3193" w:type="dxa"/>
          </w:tcPr>
          <w:p w14:paraId="13F0A8CF"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Proteintech (66180-1-Ig)</w:t>
            </w:r>
          </w:p>
        </w:tc>
      </w:tr>
      <w:tr w:rsidR="00E812C9" w:rsidRPr="005244DD" w14:paraId="0D62FF5F" w14:textId="77777777" w:rsidTr="005402EC">
        <w:tc>
          <w:tcPr>
            <w:tcW w:w="4743" w:type="dxa"/>
          </w:tcPr>
          <w:p w14:paraId="2756B05A"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lastRenderedPageBreak/>
              <w:t>Phospho-FLT3 (Tyr589/591) Rabbit mAb</w:t>
            </w:r>
          </w:p>
        </w:tc>
        <w:tc>
          <w:tcPr>
            <w:tcW w:w="3193" w:type="dxa"/>
          </w:tcPr>
          <w:p w14:paraId="43B838AC"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CST (3464)</w:t>
            </w:r>
          </w:p>
        </w:tc>
      </w:tr>
      <w:tr w:rsidR="00E812C9" w:rsidRPr="005244DD" w14:paraId="318B6048" w14:textId="77777777" w:rsidTr="005402EC">
        <w:trPr>
          <w:trHeight w:val="58"/>
        </w:trPr>
        <w:tc>
          <w:tcPr>
            <w:tcW w:w="4743" w:type="dxa"/>
          </w:tcPr>
          <w:p w14:paraId="29EB8DAB"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Rabbit Anti-</w:t>
            </w:r>
            <w:r w:rsidRPr="00603C62">
              <w:rPr>
                <w:rFonts w:ascii="Times New Roman" w:hAnsi="Times New Roman" w:cs="Times New Roman"/>
                <w:szCs w:val="21"/>
              </w:rPr>
              <w:t xml:space="preserve"> FLT3 </w:t>
            </w:r>
            <w:r w:rsidRPr="00603C62">
              <w:rPr>
                <w:rFonts w:ascii="Times New Roman" w:eastAsia="SimSun" w:hAnsi="Times New Roman" w:cs="Times New Roman"/>
                <w:szCs w:val="21"/>
              </w:rPr>
              <w:t>antibody</w:t>
            </w:r>
          </w:p>
        </w:tc>
        <w:tc>
          <w:tcPr>
            <w:tcW w:w="3193" w:type="dxa"/>
          </w:tcPr>
          <w:p w14:paraId="4CA6AEC4"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Proteintech (30297-1-AP)</w:t>
            </w:r>
          </w:p>
        </w:tc>
      </w:tr>
      <w:tr w:rsidR="00E812C9" w:rsidRPr="005244DD" w14:paraId="3CFE46DF" w14:textId="77777777" w:rsidTr="005402EC">
        <w:tc>
          <w:tcPr>
            <w:tcW w:w="4743" w:type="dxa"/>
          </w:tcPr>
          <w:p w14:paraId="4AF98425"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Phospho-c-Raf (Ser259) Rabbit mAb</w:t>
            </w:r>
          </w:p>
        </w:tc>
        <w:tc>
          <w:tcPr>
            <w:tcW w:w="3193" w:type="dxa"/>
          </w:tcPr>
          <w:p w14:paraId="614F5F0C"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CST (9421)</w:t>
            </w:r>
          </w:p>
        </w:tc>
      </w:tr>
      <w:tr w:rsidR="00E812C9" w:rsidRPr="00603C62" w14:paraId="0A68F1E6" w14:textId="77777777" w:rsidTr="005402EC">
        <w:tc>
          <w:tcPr>
            <w:tcW w:w="4743" w:type="dxa"/>
          </w:tcPr>
          <w:p w14:paraId="01F1A7FE"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Rabbit Anti-c-Raf antibody</w:t>
            </w:r>
          </w:p>
        </w:tc>
        <w:tc>
          <w:tcPr>
            <w:tcW w:w="3193" w:type="dxa"/>
          </w:tcPr>
          <w:p w14:paraId="2EC6599F"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HuaBio</w:t>
            </w:r>
            <w:r>
              <w:rPr>
                <w:rFonts w:ascii="Times New Roman" w:eastAsia="SimSun" w:hAnsi="Times New Roman" w:cs="Times New Roman" w:hint="eastAsia"/>
                <w:szCs w:val="21"/>
              </w:rPr>
              <w:t xml:space="preserve"> (</w:t>
            </w:r>
            <w:r w:rsidRPr="00603C62">
              <w:rPr>
                <w:rFonts w:ascii="Times New Roman" w:eastAsia="SimSun" w:hAnsi="Times New Roman" w:cs="Times New Roman"/>
                <w:szCs w:val="21"/>
              </w:rPr>
              <w:t>ET1701-21</w:t>
            </w:r>
            <w:r>
              <w:rPr>
                <w:rFonts w:ascii="Times New Roman" w:eastAsia="SimSun" w:hAnsi="Times New Roman" w:cs="Times New Roman" w:hint="eastAsia"/>
                <w:szCs w:val="21"/>
              </w:rPr>
              <w:t>)</w:t>
            </w:r>
          </w:p>
        </w:tc>
      </w:tr>
      <w:tr w:rsidR="00E812C9" w:rsidRPr="005244DD" w14:paraId="5027B7E6" w14:textId="77777777" w:rsidTr="005402EC">
        <w:tc>
          <w:tcPr>
            <w:tcW w:w="4743" w:type="dxa"/>
          </w:tcPr>
          <w:p w14:paraId="7714B375"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Phospho-ERK1/2 (Thr202/204) Rabbit mAb</w:t>
            </w:r>
          </w:p>
        </w:tc>
        <w:tc>
          <w:tcPr>
            <w:tcW w:w="3193" w:type="dxa"/>
          </w:tcPr>
          <w:p w14:paraId="70358477"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Proteintech (28733-1-AP)</w:t>
            </w:r>
          </w:p>
        </w:tc>
      </w:tr>
      <w:tr w:rsidR="00E812C9" w:rsidRPr="005244DD" w14:paraId="2154FD37" w14:textId="77777777" w:rsidTr="005402EC">
        <w:tc>
          <w:tcPr>
            <w:tcW w:w="4743" w:type="dxa"/>
          </w:tcPr>
          <w:p w14:paraId="1EC6D756"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Rabbit Anti-ERK1/2 antibody</w:t>
            </w:r>
          </w:p>
        </w:tc>
        <w:tc>
          <w:tcPr>
            <w:tcW w:w="3193" w:type="dxa"/>
          </w:tcPr>
          <w:p w14:paraId="4D3FBD7B"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Zenbio (343830)</w:t>
            </w:r>
          </w:p>
        </w:tc>
      </w:tr>
      <w:tr w:rsidR="00E812C9" w:rsidRPr="005244DD" w14:paraId="357982DA" w14:textId="77777777" w:rsidTr="005402EC">
        <w:tc>
          <w:tcPr>
            <w:tcW w:w="4743" w:type="dxa"/>
          </w:tcPr>
          <w:p w14:paraId="5482DF2D"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Phospho-AKT (Ser473) Mouse mAb</w:t>
            </w:r>
          </w:p>
        </w:tc>
        <w:tc>
          <w:tcPr>
            <w:tcW w:w="3193" w:type="dxa"/>
          </w:tcPr>
          <w:p w14:paraId="3BB8A407"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Proteintech (66444-1-Ig)</w:t>
            </w:r>
          </w:p>
        </w:tc>
      </w:tr>
      <w:tr w:rsidR="00E812C9" w:rsidRPr="005244DD" w14:paraId="349E966E" w14:textId="77777777" w:rsidTr="005402EC">
        <w:tc>
          <w:tcPr>
            <w:tcW w:w="4743" w:type="dxa"/>
          </w:tcPr>
          <w:p w14:paraId="119DA4AA"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Rabbit Anti-AKT antibody</w:t>
            </w:r>
          </w:p>
        </w:tc>
        <w:tc>
          <w:tcPr>
            <w:tcW w:w="3193" w:type="dxa"/>
          </w:tcPr>
          <w:p w14:paraId="67C2BB76"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Zenbio (342529)</w:t>
            </w:r>
          </w:p>
        </w:tc>
      </w:tr>
      <w:tr w:rsidR="00E812C9" w:rsidRPr="005244DD" w14:paraId="19326D46" w14:textId="77777777" w:rsidTr="005402EC">
        <w:tc>
          <w:tcPr>
            <w:tcW w:w="4743" w:type="dxa"/>
          </w:tcPr>
          <w:p w14:paraId="42FDB767"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Phospho-mTOR (Ser2448) Rabbit mAb</w:t>
            </w:r>
          </w:p>
        </w:tc>
        <w:tc>
          <w:tcPr>
            <w:tcW w:w="3193" w:type="dxa"/>
          </w:tcPr>
          <w:p w14:paraId="1A71C229"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Zenbio (381557)</w:t>
            </w:r>
          </w:p>
        </w:tc>
      </w:tr>
      <w:tr w:rsidR="00E812C9" w:rsidRPr="005244DD" w14:paraId="1CD48840" w14:textId="77777777" w:rsidTr="005402EC">
        <w:tc>
          <w:tcPr>
            <w:tcW w:w="4743" w:type="dxa"/>
          </w:tcPr>
          <w:p w14:paraId="3E96C9C2"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Rabbit Anti-mTOR antibody</w:t>
            </w:r>
          </w:p>
        </w:tc>
        <w:tc>
          <w:tcPr>
            <w:tcW w:w="3193" w:type="dxa"/>
          </w:tcPr>
          <w:p w14:paraId="39C6DB36"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Zenbio (R380411)</w:t>
            </w:r>
          </w:p>
        </w:tc>
      </w:tr>
      <w:tr w:rsidR="00E812C9" w:rsidRPr="005244DD" w14:paraId="1E1EBAFA" w14:textId="77777777" w:rsidTr="005402EC">
        <w:tc>
          <w:tcPr>
            <w:tcW w:w="4743" w:type="dxa"/>
          </w:tcPr>
          <w:p w14:paraId="207BCCBA"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Phospho-4E-BP1 (Thr37/46) Rabbit mAb</w:t>
            </w:r>
          </w:p>
        </w:tc>
        <w:tc>
          <w:tcPr>
            <w:tcW w:w="3193" w:type="dxa"/>
          </w:tcPr>
          <w:p w14:paraId="4869CE5E" w14:textId="6F9530BF"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CST (2855)</w:t>
            </w:r>
          </w:p>
        </w:tc>
      </w:tr>
      <w:tr w:rsidR="00E812C9" w:rsidRPr="005244DD" w14:paraId="1E29B3BD" w14:textId="77777777" w:rsidTr="005402EC">
        <w:tc>
          <w:tcPr>
            <w:tcW w:w="4743" w:type="dxa"/>
          </w:tcPr>
          <w:p w14:paraId="1BF7BF98"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Rabbit Anti-4E-BP1 antibody</w:t>
            </w:r>
          </w:p>
        </w:tc>
        <w:tc>
          <w:tcPr>
            <w:tcW w:w="3193" w:type="dxa"/>
          </w:tcPr>
          <w:p w14:paraId="0A7DFB98"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Zenbio (306002)</w:t>
            </w:r>
          </w:p>
        </w:tc>
      </w:tr>
      <w:tr w:rsidR="00E812C9" w:rsidRPr="005244DD" w14:paraId="6938973F" w14:textId="77777777" w:rsidTr="005402EC">
        <w:tc>
          <w:tcPr>
            <w:tcW w:w="4743" w:type="dxa"/>
          </w:tcPr>
          <w:p w14:paraId="40E11202"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Phospho-JAK2 (Tyr1007/1008) Rabbit mAb</w:t>
            </w:r>
          </w:p>
        </w:tc>
        <w:tc>
          <w:tcPr>
            <w:tcW w:w="3193" w:type="dxa"/>
          </w:tcPr>
          <w:p w14:paraId="157CA0FC"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HuaBio</w:t>
            </w:r>
            <w:r>
              <w:rPr>
                <w:rFonts w:ascii="Times New Roman" w:eastAsia="SimSun" w:hAnsi="Times New Roman" w:cs="Times New Roman" w:hint="eastAsia"/>
                <w:szCs w:val="21"/>
              </w:rPr>
              <w:t xml:space="preserve"> (</w:t>
            </w:r>
            <w:r w:rsidRPr="00603C62">
              <w:rPr>
                <w:rFonts w:ascii="Times New Roman" w:eastAsia="SimSun" w:hAnsi="Times New Roman" w:cs="Times New Roman"/>
                <w:szCs w:val="21"/>
              </w:rPr>
              <w:t>ET1607-34</w:t>
            </w:r>
            <w:r>
              <w:rPr>
                <w:rFonts w:ascii="Times New Roman" w:eastAsia="SimSun" w:hAnsi="Times New Roman" w:cs="Times New Roman" w:hint="eastAsia"/>
                <w:szCs w:val="21"/>
              </w:rPr>
              <w:t>)</w:t>
            </w:r>
          </w:p>
        </w:tc>
      </w:tr>
      <w:tr w:rsidR="00E812C9" w:rsidRPr="005244DD" w14:paraId="661BCF53" w14:textId="77777777" w:rsidTr="005402EC">
        <w:tc>
          <w:tcPr>
            <w:tcW w:w="4743" w:type="dxa"/>
          </w:tcPr>
          <w:p w14:paraId="3B0F3277"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Rabbit Anti-JAK2 antibody</w:t>
            </w:r>
          </w:p>
        </w:tc>
        <w:tc>
          <w:tcPr>
            <w:tcW w:w="3193" w:type="dxa"/>
          </w:tcPr>
          <w:p w14:paraId="510FCC42"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Zenbio (R24775)</w:t>
            </w:r>
          </w:p>
        </w:tc>
      </w:tr>
      <w:tr w:rsidR="00E812C9" w:rsidRPr="005244DD" w14:paraId="1C6AE84C" w14:textId="77777777" w:rsidTr="005402EC">
        <w:tc>
          <w:tcPr>
            <w:tcW w:w="4743" w:type="dxa"/>
          </w:tcPr>
          <w:p w14:paraId="53ED8AB4"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Phospho-STAT5a (Tyr694) Rabbit mAb</w:t>
            </w:r>
          </w:p>
        </w:tc>
        <w:tc>
          <w:tcPr>
            <w:tcW w:w="3193" w:type="dxa"/>
          </w:tcPr>
          <w:p w14:paraId="5AEEF647"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CST (4322)</w:t>
            </w:r>
          </w:p>
        </w:tc>
      </w:tr>
      <w:tr w:rsidR="00E812C9" w:rsidRPr="005244DD" w14:paraId="2BC10809" w14:textId="77777777" w:rsidTr="005402EC">
        <w:tc>
          <w:tcPr>
            <w:tcW w:w="4743" w:type="dxa"/>
          </w:tcPr>
          <w:p w14:paraId="4C5E71AB"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Rabbit Anti-STAT5a antibody</w:t>
            </w:r>
          </w:p>
        </w:tc>
        <w:tc>
          <w:tcPr>
            <w:tcW w:w="3193" w:type="dxa"/>
          </w:tcPr>
          <w:p w14:paraId="5E3B8097"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Zenbio (R380706)</w:t>
            </w:r>
          </w:p>
        </w:tc>
      </w:tr>
      <w:tr w:rsidR="00E812C9" w:rsidRPr="005244DD" w14:paraId="3892F52B" w14:textId="77777777" w:rsidTr="005402EC">
        <w:tc>
          <w:tcPr>
            <w:tcW w:w="4743" w:type="dxa"/>
          </w:tcPr>
          <w:p w14:paraId="275DF951"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Rabbit Anti-c-Myc antibody</w:t>
            </w:r>
          </w:p>
        </w:tc>
        <w:tc>
          <w:tcPr>
            <w:tcW w:w="3193" w:type="dxa"/>
          </w:tcPr>
          <w:p w14:paraId="5B326D2B"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CST (5605)</w:t>
            </w:r>
          </w:p>
        </w:tc>
      </w:tr>
      <w:tr w:rsidR="00E812C9" w:rsidRPr="005244DD" w14:paraId="6843BF1F" w14:textId="77777777" w:rsidTr="005402EC">
        <w:tc>
          <w:tcPr>
            <w:tcW w:w="4743" w:type="dxa"/>
          </w:tcPr>
          <w:p w14:paraId="78D457B2"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Rabbit Anti-MCL-1 antibody</w:t>
            </w:r>
          </w:p>
        </w:tc>
        <w:tc>
          <w:tcPr>
            <w:tcW w:w="3193" w:type="dxa"/>
          </w:tcPr>
          <w:p w14:paraId="05354925"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Proteintech (16225-1-AP)</w:t>
            </w:r>
          </w:p>
        </w:tc>
      </w:tr>
      <w:tr w:rsidR="00E812C9" w:rsidRPr="005244DD" w14:paraId="7C2C9A36" w14:textId="77777777" w:rsidTr="005402EC">
        <w:tc>
          <w:tcPr>
            <w:tcW w:w="4743" w:type="dxa"/>
          </w:tcPr>
          <w:p w14:paraId="0A07E853"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Rabbit Anti-BCL-2 antibody</w:t>
            </w:r>
          </w:p>
        </w:tc>
        <w:tc>
          <w:tcPr>
            <w:tcW w:w="3193" w:type="dxa"/>
          </w:tcPr>
          <w:p w14:paraId="6C686661"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Proteintech (26593-1-AP)</w:t>
            </w:r>
          </w:p>
        </w:tc>
      </w:tr>
      <w:tr w:rsidR="00E812C9" w:rsidRPr="005244DD" w14:paraId="3189F02E" w14:textId="77777777" w:rsidTr="005402EC">
        <w:tc>
          <w:tcPr>
            <w:tcW w:w="4743" w:type="dxa"/>
          </w:tcPr>
          <w:p w14:paraId="5624F6F0"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Rabbit Anti-</w:t>
            </w:r>
            <w:r w:rsidRPr="00603C62">
              <w:rPr>
                <w:rFonts w:ascii="Times New Roman" w:hAnsi="Times New Roman" w:cs="Times New Roman"/>
                <w:szCs w:val="21"/>
              </w:rPr>
              <w:t xml:space="preserve"> </w:t>
            </w:r>
            <w:r w:rsidRPr="00603C62">
              <w:rPr>
                <w:rFonts w:ascii="Times New Roman" w:eastAsia="SimSun" w:hAnsi="Times New Roman" w:cs="Times New Roman"/>
                <w:szCs w:val="21"/>
              </w:rPr>
              <w:t>BCL-xL antibody</w:t>
            </w:r>
          </w:p>
        </w:tc>
        <w:tc>
          <w:tcPr>
            <w:tcW w:w="3193" w:type="dxa"/>
          </w:tcPr>
          <w:p w14:paraId="63222FA0"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Beyotime (AB126)</w:t>
            </w:r>
          </w:p>
        </w:tc>
      </w:tr>
      <w:tr w:rsidR="00E812C9" w:rsidRPr="005244DD" w14:paraId="118F3F5E" w14:textId="77777777" w:rsidTr="005402EC">
        <w:tc>
          <w:tcPr>
            <w:tcW w:w="4743" w:type="dxa"/>
          </w:tcPr>
          <w:p w14:paraId="13CFF380"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Rabbit Anti-BAX antibody</w:t>
            </w:r>
          </w:p>
        </w:tc>
        <w:tc>
          <w:tcPr>
            <w:tcW w:w="3193" w:type="dxa"/>
          </w:tcPr>
          <w:p w14:paraId="2BBD205C"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Proteintech (50599-2-Ig)</w:t>
            </w:r>
          </w:p>
        </w:tc>
      </w:tr>
      <w:tr w:rsidR="00E812C9" w:rsidRPr="005244DD" w14:paraId="033E995E" w14:textId="77777777" w:rsidTr="005402EC">
        <w:tc>
          <w:tcPr>
            <w:tcW w:w="4743" w:type="dxa"/>
          </w:tcPr>
          <w:p w14:paraId="3F7EB9BD"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Rabbit Anti-BAK antibody</w:t>
            </w:r>
          </w:p>
        </w:tc>
        <w:tc>
          <w:tcPr>
            <w:tcW w:w="3193" w:type="dxa"/>
          </w:tcPr>
          <w:p w14:paraId="7BA85129"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Bioss (bs-1284R)</w:t>
            </w:r>
          </w:p>
        </w:tc>
      </w:tr>
      <w:tr w:rsidR="00E812C9" w:rsidRPr="005244DD" w14:paraId="1F0F18C3" w14:textId="77777777" w:rsidTr="005402EC">
        <w:tc>
          <w:tcPr>
            <w:tcW w:w="4743" w:type="dxa"/>
          </w:tcPr>
          <w:p w14:paraId="138E6E36" w14:textId="77777777" w:rsidR="00E812C9" w:rsidRPr="00603C62" w:rsidRDefault="00E812C9" w:rsidP="005402EC">
            <w:pPr>
              <w:widowControl/>
              <w:spacing w:line="360" w:lineRule="auto"/>
              <w:contextualSpacing/>
              <w:rPr>
                <w:rFonts w:ascii="Times New Roman" w:eastAsia="Microsoft YaHei" w:hAnsi="Times New Roman" w:cs="Times New Roman"/>
                <w:bCs/>
                <w:color w:val="666666"/>
                <w:szCs w:val="21"/>
              </w:rPr>
            </w:pPr>
            <w:r w:rsidRPr="00603C62">
              <w:rPr>
                <w:rFonts w:ascii="Times New Roman" w:eastAsia="SimSun" w:hAnsi="Times New Roman" w:cs="Times New Roman"/>
                <w:szCs w:val="21"/>
              </w:rPr>
              <w:t>Mouse Anti-β-actin antibody</w:t>
            </w:r>
          </w:p>
        </w:tc>
        <w:tc>
          <w:tcPr>
            <w:tcW w:w="3193" w:type="dxa"/>
          </w:tcPr>
          <w:p w14:paraId="5A26D6E6"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Proteintech (66009-1-Ig)</w:t>
            </w:r>
          </w:p>
        </w:tc>
      </w:tr>
      <w:tr w:rsidR="00E812C9" w:rsidRPr="005244DD" w14:paraId="3E0199EB" w14:textId="77777777" w:rsidTr="005402EC">
        <w:tc>
          <w:tcPr>
            <w:tcW w:w="4743" w:type="dxa"/>
          </w:tcPr>
          <w:p w14:paraId="2135B733"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Mouse Anti-Tubulin antibody</w:t>
            </w:r>
          </w:p>
        </w:tc>
        <w:tc>
          <w:tcPr>
            <w:tcW w:w="3193" w:type="dxa"/>
          </w:tcPr>
          <w:p w14:paraId="24C1E882" w14:textId="77777777" w:rsidR="00E812C9" w:rsidRPr="00603C62" w:rsidRDefault="00E812C9" w:rsidP="005402EC">
            <w:pPr>
              <w:widowControl/>
              <w:spacing w:line="360" w:lineRule="auto"/>
              <w:contextualSpacing/>
              <w:rPr>
                <w:rFonts w:ascii="Times New Roman" w:eastAsia="SimSun" w:hAnsi="Times New Roman" w:cs="Times New Roman"/>
                <w:szCs w:val="21"/>
              </w:rPr>
            </w:pPr>
            <w:r w:rsidRPr="00603C62">
              <w:rPr>
                <w:rFonts w:ascii="Times New Roman" w:eastAsia="SimSun" w:hAnsi="Times New Roman" w:cs="Times New Roman"/>
                <w:szCs w:val="21"/>
              </w:rPr>
              <w:t>Proteintech (66240-1-Ig)</w:t>
            </w:r>
          </w:p>
        </w:tc>
      </w:tr>
      <w:tr w:rsidR="00E812C9" w:rsidRPr="005244DD" w14:paraId="05686C6B" w14:textId="77777777" w:rsidTr="005402EC">
        <w:tc>
          <w:tcPr>
            <w:tcW w:w="4743" w:type="dxa"/>
          </w:tcPr>
          <w:p w14:paraId="5E7AAC47"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MTT</w:t>
            </w:r>
          </w:p>
        </w:tc>
        <w:tc>
          <w:tcPr>
            <w:tcW w:w="3193" w:type="dxa"/>
          </w:tcPr>
          <w:p w14:paraId="23300CD1" w14:textId="77777777" w:rsidR="00E812C9" w:rsidRPr="00603C62" w:rsidRDefault="00E812C9" w:rsidP="005402EC">
            <w:pPr>
              <w:rPr>
                <w:rFonts w:ascii="Times New Roman" w:eastAsia="Microsoft YaHei" w:hAnsi="Times New Roman" w:cs="Times New Roman"/>
                <w:bCs/>
                <w:szCs w:val="21"/>
              </w:rPr>
            </w:pPr>
            <w:r w:rsidRPr="00603C62">
              <w:rPr>
                <w:rFonts w:ascii="Times New Roman" w:eastAsia="Microsoft YaHei" w:hAnsi="Times New Roman" w:cs="Times New Roman"/>
                <w:bCs/>
                <w:szCs w:val="21"/>
              </w:rPr>
              <w:t>Solarbio (298-93-1)</w:t>
            </w:r>
          </w:p>
        </w:tc>
      </w:tr>
      <w:tr w:rsidR="00E812C9" w:rsidRPr="005244DD" w14:paraId="7E06A86A" w14:textId="77777777" w:rsidTr="005402EC">
        <w:tc>
          <w:tcPr>
            <w:tcW w:w="4743" w:type="dxa"/>
          </w:tcPr>
          <w:p w14:paraId="12140B15"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Annexin V-APC</w:t>
            </w:r>
          </w:p>
        </w:tc>
        <w:tc>
          <w:tcPr>
            <w:tcW w:w="3193" w:type="dxa"/>
          </w:tcPr>
          <w:p w14:paraId="25F9DFAD"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US Everbright(Y-6026)</w:t>
            </w:r>
          </w:p>
        </w:tc>
      </w:tr>
      <w:tr w:rsidR="00E812C9" w:rsidRPr="005244DD" w14:paraId="5D9B51C0" w14:textId="77777777" w:rsidTr="005402EC">
        <w:tc>
          <w:tcPr>
            <w:tcW w:w="4743" w:type="dxa"/>
            <w:tcBorders>
              <w:bottom w:val="single" w:sz="4" w:space="0" w:color="auto"/>
            </w:tcBorders>
          </w:tcPr>
          <w:p w14:paraId="6077F007"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Microsoft YaHei" w:hAnsi="Times New Roman" w:cs="Times New Roman"/>
                <w:bCs/>
                <w:szCs w:val="21"/>
              </w:rPr>
              <w:t>PI</w:t>
            </w:r>
          </w:p>
        </w:tc>
        <w:tc>
          <w:tcPr>
            <w:tcW w:w="3193" w:type="dxa"/>
            <w:tcBorders>
              <w:bottom w:val="single" w:sz="4" w:space="0" w:color="auto"/>
            </w:tcBorders>
          </w:tcPr>
          <w:p w14:paraId="744030C1" w14:textId="77777777" w:rsidR="00E812C9" w:rsidRPr="00603C62" w:rsidRDefault="00E812C9" w:rsidP="005402EC">
            <w:pPr>
              <w:widowControl/>
              <w:spacing w:line="360" w:lineRule="auto"/>
              <w:contextualSpacing/>
              <w:rPr>
                <w:rFonts w:ascii="Times New Roman" w:eastAsia="Microsoft YaHei" w:hAnsi="Times New Roman" w:cs="Times New Roman"/>
                <w:bCs/>
                <w:szCs w:val="21"/>
              </w:rPr>
            </w:pPr>
            <w:r w:rsidRPr="00603C62">
              <w:rPr>
                <w:rFonts w:ascii="Times New Roman" w:eastAsia="SimSun" w:hAnsi="Times New Roman" w:cs="Times New Roman"/>
                <w:szCs w:val="21"/>
              </w:rPr>
              <w:t>US Everbright(Y-6026)</w:t>
            </w:r>
          </w:p>
        </w:tc>
      </w:tr>
    </w:tbl>
    <w:p w14:paraId="2A9C137C" w14:textId="77777777" w:rsidR="00E812C9" w:rsidRDefault="00E812C9" w:rsidP="00E812C9">
      <w:pPr>
        <w:spacing w:line="480" w:lineRule="auto"/>
        <w:rPr>
          <w:rFonts w:ascii="Times New Roman" w:hAnsi="Times New Roman" w:cs="Times New Roman"/>
          <w:b/>
          <w:bCs/>
          <w:sz w:val="24"/>
          <w:szCs w:val="28"/>
        </w:rPr>
      </w:pPr>
    </w:p>
    <w:p w14:paraId="40A442A1" w14:textId="77777777" w:rsidR="00E812C9" w:rsidRPr="00154DE1" w:rsidRDefault="00E812C9" w:rsidP="00E812C9">
      <w:pPr>
        <w:pStyle w:val="ListParagraph"/>
        <w:numPr>
          <w:ilvl w:val="1"/>
          <w:numId w:val="2"/>
        </w:numPr>
        <w:spacing w:line="480" w:lineRule="auto"/>
        <w:rPr>
          <w:rFonts w:ascii="Times New Roman" w:hAnsi="Times New Roman" w:cs="Times New Roman"/>
          <w:b/>
          <w:bCs/>
          <w:sz w:val="24"/>
          <w:szCs w:val="28"/>
        </w:rPr>
      </w:pPr>
      <w:r w:rsidRPr="00154DE1">
        <w:rPr>
          <w:rFonts w:ascii="Times New Roman" w:hAnsi="Times New Roman" w:cs="Times New Roman"/>
          <w:b/>
          <w:bCs/>
          <w:sz w:val="24"/>
          <w:szCs w:val="28"/>
        </w:rPr>
        <w:t>Cell culture</w:t>
      </w:r>
    </w:p>
    <w:p w14:paraId="789CF85F" w14:textId="09C2E3F4" w:rsidR="00E812C9" w:rsidRPr="00845CFE" w:rsidRDefault="00114777" w:rsidP="00C96643">
      <w:pPr>
        <w:spacing w:line="480" w:lineRule="auto"/>
        <w:ind w:firstLineChars="200" w:firstLine="420"/>
        <w:rPr>
          <w:rFonts w:ascii="Times New Roman" w:hAnsi="Times New Roman" w:cs="Times New Roman"/>
        </w:rPr>
      </w:pPr>
      <w:r w:rsidRPr="00114777">
        <w:rPr>
          <w:rFonts w:ascii="Times New Roman" w:hAnsi="Times New Roman" w:cs="Times New Roman" w:hint="eastAsia"/>
        </w:rPr>
        <w:lastRenderedPageBreak/>
        <w:t>KG-1a, MOLM-13, MV4-11, and THP-1 cells were obtained from the American Type Culture Collection (ATCC, Manassas, VA, USA). Human umbilical vein endothelial cells (HUVECs), HEL, HL-60, Kasumi-1, and NB4 cells were obtained from the Cell Bank of the Chinese Academy of Sciences (Shanghai, China).</w:t>
      </w:r>
      <w:r>
        <w:rPr>
          <w:rFonts w:ascii="Times New Roman" w:hAnsi="Times New Roman" w:cs="Times New Roman" w:hint="eastAsia"/>
        </w:rPr>
        <w:t xml:space="preserve"> </w:t>
      </w:r>
      <w:r w:rsidR="00293BBE">
        <w:rPr>
          <w:rFonts w:ascii="Times New Roman" w:hAnsi="Times New Roman" w:cs="Times New Roman" w:hint="eastAsia"/>
        </w:rPr>
        <w:t>HUVEC</w:t>
      </w:r>
      <w:r w:rsidR="00833FCA">
        <w:rPr>
          <w:rFonts w:ascii="Times New Roman" w:hAnsi="Times New Roman" w:cs="Times New Roman" w:hint="eastAsia"/>
        </w:rPr>
        <w:t>s</w:t>
      </w:r>
      <w:r w:rsidR="00293BBE">
        <w:rPr>
          <w:rFonts w:ascii="Times New Roman" w:hAnsi="Times New Roman" w:cs="Times New Roman" w:hint="eastAsia"/>
        </w:rPr>
        <w:t xml:space="preserve"> </w:t>
      </w:r>
      <w:r w:rsidR="00374933" w:rsidRPr="00374933">
        <w:rPr>
          <w:rFonts w:ascii="Times New Roman" w:hAnsi="Times New Roman" w:cs="Times New Roman" w:hint="eastAsia"/>
        </w:rPr>
        <w:t>were cultured in DMEM</w:t>
      </w:r>
      <w:r w:rsidR="00833FCA">
        <w:rPr>
          <w:rFonts w:ascii="Times New Roman" w:hAnsi="Times New Roman" w:cs="Times New Roman" w:hint="eastAsia"/>
        </w:rPr>
        <w:t xml:space="preserve"> medium</w:t>
      </w:r>
      <w:r w:rsidR="00374933" w:rsidRPr="00374933">
        <w:rPr>
          <w:rFonts w:ascii="Times New Roman" w:hAnsi="Times New Roman" w:cs="Times New Roman" w:hint="eastAsia"/>
        </w:rPr>
        <w:t>. HEL, HL-60, Kasumi-1, MOLM-13, THP-1, and U937 cells were cultured in RPMI-1640 medium, while KG-1a, MV4-11, and NB4 cells were cultured in IMDM</w:t>
      </w:r>
      <w:r w:rsidR="00833FCA">
        <w:rPr>
          <w:rFonts w:ascii="Times New Roman" w:hAnsi="Times New Roman" w:cs="Times New Roman" w:hint="eastAsia"/>
        </w:rPr>
        <w:t xml:space="preserve"> medium. </w:t>
      </w:r>
      <w:r w:rsidR="00833FCA">
        <w:rPr>
          <w:rFonts w:ascii="Times New Roman" w:hAnsi="Times New Roman" w:cs="Times New Roman"/>
        </w:rPr>
        <w:t>A</w:t>
      </w:r>
      <w:r w:rsidR="00833FCA">
        <w:rPr>
          <w:rFonts w:ascii="Times New Roman" w:hAnsi="Times New Roman" w:cs="Times New Roman" w:hint="eastAsia"/>
        </w:rPr>
        <w:t>ll media were</w:t>
      </w:r>
      <w:r w:rsidR="00374933" w:rsidRPr="00374933">
        <w:rPr>
          <w:rFonts w:ascii="Times New Roman" w:hAnsi="Times New Roman" w:cs="Times New Roman" w:hint="eastAsia"/>
        </w:rPr>
        <w:t xml:space="preserve"> </w:t>
      </w:r>
      <w:r w:rsidR="0063385C" w:rsidRPr="00374933">
        <w:rPr>
          <w:rFonts w:ascii="Times New Roman" w:hAnsi="Times New Roman" w:cs="Times New Roman" w:hint="eastAsia"/>
        </w:rPr>
        <w:t>supplemented with 10% fetal bovine serum (FBS) and 1% penicillin-streptomycin</w:t>
      </w:r>
      <w:r w:rsidR="00833FCA">
        <w:rPr>
          <w:rFonts w:ascii="Times New Roman" w:hAnsi="Times New Roman" w:cs="Times New Roman" w:hint="eastAsia"/>
        </w:rPr>
        <w:t xml:space="preserve">, </w:t>
      </w:r>
      <w:r w:rsidR="00833FCA" w:rsidRPr="00833FCA">
        <w:rPr>
          <w:rFonts w:ascii="Times New Roman" w:hAnsi="Times New Roman" w:cs="Times New Roman" w:hint="eastAsia"/>
        </w:rPr>
        <w:t xml:space="preserve">and cells were maintained </w:t>
      </w:r>
      <w:r w:rsidR="00833FCA" w:rsidRPr="00374933">
        <w:rPr>
          <w:rFonts w:ascii="Times New Roman" w:hAnsi="Times New Roman" w:cs="Times New Roman" w:hint="eastAsia"/>
        </w:rPr>
        <w:t xml:space="preserve">at 37 </w:t>
      </w:r>
      <w:r w:rsidR="00833FCA" w:rsidRPr="00BB5FB1">
        <w:rPr>
          <w:rFonts w:ascii="Times New Roman" w:hAnsi="Times New Roman" w:cs="Times New Roman"/>
        </w:rPr>
        <w:t>℃</w:t>
      </w:r>
      <w:r w:rsidR="00833FCA">
        <w:rPr>
          <w:rFonts w:ascii="Times New Roman" w:hAnsi="Times New Roman" w:cs="Times New Roman" w:hint="eastAsia"/>
        </w:rPr>
        <w:t xml:space="preserve"> </w:t>
      </w:r>
      <w:r w:rsidR="00833FCA" w:rsidRPr="00833FCA">
        <w:rPr>
          <w:rFonts w:ascii="Times New Roman" w:hAnsi="Times New Roman" w:cs="Times New Roman" w:hint="eastAsia"/>
        </w:rPr>
        <w:t xml:space="preserve">in a humidified incubator with </w:t>
      </w:r>
      <w:r w:rsidR="0063385C" w:rsidRPr="00374933">
        <w:rPr>
          <w:rFonts w:ascii="Times New Roman" w:hAnsi="Times New Roman" w:cs="Times New Roman" w:hint="eastAsia"/>
        </w:rPr>
        <w:t>5% CO</w:t>
      </w:r>
      <w:r w:rsidR="0005311E" w:rsidRPr="0005311E">
        <w:rPr>
          <w:rFonts w:ascii="Times New Roman" w:hAnsi="Times New Roman" w:cs="Times New Roman" w:hint="eastAsia"/>
          <w:vertAlign w:val="subscript"/>
        </w:rPr>
        <w:t>2</w:t>
      </w:r>
      <w:r w:rsidR="0063385C" w:rsidRPr="00374933">
        <w:rPr>
          <w:rFonts w:ascii="Times New Roman" w:hAnsi="Times New Roman" w:cs="Times New Roman" w:hint="eastAsia"/>
        </w:rPr>
        <w:t>.</w:t>
      </w:r>
    </w:p>
    <w:p w14:paraId="38F14534" w14:textId="77777777" w:rsidR="00E812C9" w:rsidRPr="0005311E" w:rsidRDefault="00E812C9" w:rsidP="00E812C9">
      <w:pPr>
        <w:spacing w:line="480" w:lineRule="auto"/>
        <w:rPr>
          <w:rFonts w:ascii="Times New Roman" w:hAnsi="Times New Roman" w:cs="Times New Roman"/>
        </w:rPr>
      </w:pPr>
    </w:p>
    <w:p w14:paraId="1AF8BCED" w14:textId="77777777" w:rsidR="00E812C9" w:rsidRPr="00154DE1" w:rsidRDefault="00E812C9" w:rsidP="00E812C9">
      <w:pPr>
        <w:pStyle w:val="ListParagraph"/>
        <w:numPr>
          <w:ilvl w:val="1"/>
          <w:numId w:val="2"/>
        </w:numPr>
        <w:spacing w:line="480" w:lineRule="auto"/>
        <w:rPr>
          <w:rFonts w:ascii="Times New Roman" w:hAnsi="Times New Roman" w:cs="Times New Roman"/>
          <w:b/>
          <w:bCs/>
          <w:sz w:val="24"/>
          <w:szCs w:val="28"/>
        </w:rPr>
      </w:pPr>
      <w:r w:rsidRPr="00154DE1">
        <w:rPr>
          <w:rFonts w:ascii="Times New Roman" w:hAnsi="Times New Roman" w:cs="Times New Roman"/>
          <w:b/>
          <w:bCs/>
          <w:sz w:val="24"/>
          <w:szCs w:val="28"/>
        </w:rPr>
        <w:t>Collection and procession of AML patients bone marrow (BM) samples</w:t>
      </w:r>
    </w:p>
    <w:p w14:paraId="53748C30" w14:textId="79A22714" w:rsidR="00E812C9" w:rsidRDefault="00E812C9" w:rsidP="00E812C9">
      <w:pPr>
        <w:spacing w:line="480" w:lineRule="auto"/>
        <w:ind w:leftChars="50" w:left="105" w:firstLine="315"/>
        <w:rPr>
          <w:rFonts w:ascii="Times New Roman" w:hAnsi="Times New Roman" w:cs="Times New Roman"/>
        </w:rPr>
      </w:pPr>
      <w:r w:rsidRPr="00845CFE">
        <w:rPr>
          <w:rFonts w:ascii="Times New Roman" w:hAnsi="Times New Roman" w:cs="Times New Roman"/>
        </w:rPr>
        <w:t>BM samples were obtained from primary AML patients at the Department of Hematology, West China Hospital. This study was approved by Biomedical Ethics Committee of West China Hospital, Sichuan University</w:t>
      </w:r>
      <w:r w:rsidR="001E314B">
        <w:rPr>
          <w:rFonts w:ascii="Times New Roman" w:hAnsi="Times New Roman" w:cs="Times New Roman" w:hint="eastAsia"/>
        </w:rPr>
        <w:t xml:space="preserve"> </w:t>
      </w:r>
      <w:r w:rsidR="001E314B" w:rsidRPr="001E314B">
        <w:rPr>
          <w:rFonts w:ascii="Times New Roman" w:hAnsi="Times New Roman" w:cs="Times New Roman" w:hint="eastAsia"/>
        </w:rPr>
        <w:t>(Approval No. 1182 (2024))</w:t>
      </w:r>
      <w:r w:rsidRPr="00845CFE">
        <w:rPr>
          <w:rFonts w:ascii="Times New Roman" w:hAnsi="Times New Roman" w:cs="Times New Roman"/>
        </w:rPr>
        <w:t xml:space="preserve">, and informed consent had received from all patients. Mononuclear cells were isolated using </w:t>
      </w:r>
      <w:bookmarkStart w:id="0" w:name="OLE_LINK7"/>
      <w:r w:rsidRPr="00845CFE">
        <w:rPr>
          <w:rFonts w:ascii="Times New Roman" w:hAnsi="Times New Roman" w:cs="Times New Roman"/>
        </w:rPr>
        <w:t xml:space="preserve">human lymphocyte separation </w:t>
      </w:r>
      <w:bookmarkEnd w:id="0"/>
      <w:r w:rsidRPr="00845CFE">
        <w:rPr>
          <w:rFonts w:ascii="Times New Roman" w:hAnsi="Times New Roman" w:cs="Times New Roman"/>
        </w:rPr>
        <w:t>medium. The interphase layer was collected, washed with PBS, treated with red blood cell lysis buffer for 3-5 min, and then neutralized with an equal volume of PBS. The resulting cell suspension was used for subsequent experiments.</w:t>
      </w:r>
    </w:p>
    <w:p w14:paraId="39330134" w14:textId="77777777" w:rsidR="00E812C9" w:rsidRDefault="00E812C9" w:rsidP="00E812C9">
      <w:pPr>
        <w:spacing w:line="480" w:lineRule="auto"/>
        <w:rPr>
          <w:rFonts w:ascii="Times New Roman" w:hAnsi="Times New Roman" w:cs="Times New Roman"/>
        </w:rPr>
      </w:pPr>
    </w:p>
    <w:p w14:paraId="7F1C62EB" w14:textId="77777777" w:rsidR="00E812C9" w:rsidRPr="00154DE1" w:rsidRDefault="00E812C9" w:rsidP="00E812C9">
      <w:pPr>
        <w:pStyle w:val="ListParagraph"/>
        <w:numPr>
          <w:ilvl w:val="1"/>
          <w:numId w:val="2"/>
        </w:numPr>
        <w:spacing w:line="480" w:lineRule="auto"/>
        <w:rPr>
          <w:rFonts w:ascii="Times New Roman" w:hAnsi="Times New Roman" w:cs="Times New Roman"/>
          <w:b/>
          <w:bCs/>
          <w:sz w:val="24"/>
          <w:szCs w:val="28"/>
        </w:rPr>
      </w:pPr>
      <w:r w:rsidRPr="00154DE1">
        <w:rPr>
          <w:rFonts w:ascii="Times New Roman" w:hAnsi="Times New Roman" w:cs="Times New Roman"/>
          <w:b/>
          <w:bCs/>
          <w:sz w:val="24"/>
          <w:szCs w:val="28"/>
        </w:rPr>
        <w:t>Synthesis of DSPE-PEG2000-</w:t>
      </w:r>
      <w:r w:rsidRPr="00897F8D">
        <w:rPr>
          <w:rFonts w:ascii="Times New Roman" w:hAnsi="Times New Roman" w:cs="Times New Roman"/>
          <w:b/>
          <w:bCs/>
          <w:sz w:val="24"/>
          <w:szCs w:val="28"/>
          <w:vertAlign w:val="superscript"/>
        </w:rPr>
        <w:t>D</w:t>
      </w:r>
      <w:r w:rsidRPr="00154DE1">
        <w:rPr>
          <w:rFonts w:ascii="Times New Roman" w:hAnsi="Times New Roman" w:cs="Times New Roman"/>
          <w:b/>
          <w:bCs/>
          <w:sz w:val="24"/>
          <w:szCs w:val="28"/>
        </w:rPr>
        <w:t>T7</w:t>
      </w:r>
    </w:p>
    <w:p w14:paraId="7F0BD731" w14:textId="77777777" w:rsidR="00E812C9" w:rsidRPr="00845CFE" w:rsidRDefault="00E812C9" w:rsidP="00E812C9">
      <w:pPr>
        <w:spacing w:line="480" w:lineRule="auto"/>
        <w:ind w:firstLine="420"/>
        <w:rPr>
          <w:rFonts w:ascii="Times New Roman" w:hAnsi="Times New Roman" w:cs="Times New Roman"/>
        </w:rPr>
      </w:pPr>
      <w:r w:rsidRPr="00845CFE">
        <w:rPr>
          <w:rFonts w:ascii="Times New Roman" w:hAnsi="Times New Roman" w:cs="Times New Roman"/>
        </w:rPr>
        <w:t>DSPE-PEG</w:t>
      </w:r>
      <w:r w:rsidRPr="00845CFE">
        <w:rPr>
          <w:rFonts w:ascii="Times New Roman" w:hAnsi="Times New Roman" w:cs="Times New Roman"/>
          <w:vertAlign w:val="subscript"/>
        </w:rPr>
        <w:t>2000</w:t>
      </w:r>
      <w:r w:rsidRPr="00845CFE">
        <w:rPr>
          <w:rFonts w:ascii="Times New Roman" w:hAnsi="Times New Roman" w:cs="Times New Roman"/>
        </w:rPr>
        <w:t xml:space="preserve">-Mal was dissolved in chloroform, and </w:t>
      </w:r>
      <w:r w:rsidRPr="00845CFE">
        <w:rPr>
          <w:rFonts w:ascii="Times New Roman" w:hAnsi="Times New Roman" w:cs="Times New Roman"/>
          <w:vertAlign w:val="superscript"/>
        </w:rPr>
        <w:t>D</w:t>
      </w:r>
      <w:r w:rsidRPr="00845CFE">
        <w:rPr>
          <w:rFonts w:ascii="Times New Roman" w:hAnsi="Times New Roman" w:cs="Times New Roman"/>
        </w:rPr>
        <w:t>T7-Cys in methanol at half the volume. The molar ratio of DSPE-PEG</w:t>
      </w:r>
      <w:r w:rsidRPr="00845CFE">
        <w:rPr>
          <w:rFonts w:ascii="Times New Roman" w:hAnsi="Times New Roman" w:cs="Times New Roman"/>
          <w:vertAlign w:val="subscript"/>
        </w:rPr>
        <w:t>2000</w:t>
      </w:r>
      <w:r w:rsidRPr="00845CFE">
        <w:rPr>
          <w:rFonts w:ascii="Times New Roman" w:hAnsi="Times New Roman" w:cs="Times New Roman"/>
        </w:rPr>
        <w:t xml:space="preserve">-Mal to </w:t>
      </w:r>
      <w:r w:rsidRPr="00845CFE">
        <w:rPr>
          <w:rFonts w:ascii="Times New Roman" w:hAnsi="Times New Roman" w:cs="Times New Roman"/>
          <w:vertAlign w:val="superscript"/>
        </w:rPr>
        <w:t>D</w:t>
      </w:r>
      <w:r w:rsidRPr="00845CFE">
        <w:rPr>
          <w:rFonts w:ascii="Times New Roman" w:hAnsi="Times New Roman" w:cs="Times New Roman"/>
        </w:rPr>
        <w:t xml:space="preserve">T7-Cys was 1:1.5. Then </w:t>
      </w:r>
      <w:r w:rsidRPr="00845CFE">
        <w:rPr>
          <w:rFonts w:ascii="Times New Roman" w:hAnsi="Times New Roman" w:cs="Times New Roman"/>
          <w:vertAlign w:val="superscript"/>
        </w:rPr>
        <w:t>D</w:t>
      </w:r>
      <w:r w:rsidRPr="00845CFE">
        <w:rPr>
          <w:rFonts w:ascii="Times New Roman" w:hAnsi="Times New Roman" w:cs="Times New Roman"/>
        </w:rPr>
        <w:t>T7-Cys was slowly added to the DSPE-PEG</w:t>
      </w:r>
      <w:r w:rsidRPr="00845CFE">
        <w:rPr>
          <w:rFonts w:ascii="Times New Roman" w:hAnsi="Times New Roman" w:cs="Times New Roman"/>
          <w:vertAlign w:val="subscript"/>
        </w:rPr>
        <w:t>2000</w:t>
      </w:r>
      <w:r w:rsidRPr="00845CFE">
        <w:rPr>
          <w:rFonts w:ascii="Times New Roman" w:hAnsi="Times New Roman" w:cs="Times New Roman"/>
        </w:rPr>
        <w:t xml:space="preserve">-Mal solution under nitrogen protection and stirred at room temperature for 48 h. </w:t>
      </w:r>
      <w:r w:rsidRPr="00845CFE">
        <w:rPr>
          <w:rFonts w:ascii="Times New Roman" w:hAnsi="Times New Roman" w:cs="Times New Roman"/>
        </w:rPr>
        <w:lastRenderedPageBreak/>
        <w:t>Solvents were removed by rotary evaporator, and the residue was dissolved in DMSO and dialyzed against ultrapure water using a 2000 Da MWCO membrane for 72 h. The final product was lyophilized and characterized by ¹H NMR spectroscopy (INOVA-400MHz, Varian, USA) and high-resolution mass spectrometry (HRMS) (Orbitrap Fusion Lumos Tribrid, Thermo, USA).</w:t>
      </w:r>
    </w:p>
    <w:p w14:paraId="044B5C87" w14:textId="77777777" w:rsidR="00E812C9" w:rsidRPr="00845CFE" w:rsidRDefault="00E812C9" w:rsidP="00E812C9">
      <w:pPr>
        <w:spacing w:line="480" w:lineRule="auto"/>
        <w:rPr>
          <w:rFonts w:ascii="Times New Roman" w:hAnsi="Times New Roman" w:cs="Times New Roman"/>
        </w:rPr>
      </w:pPr>
    </w:p>
    <w:p w14:paraId="5A2965E8" w14:textId="77777777" w:rsidR="00E812C9" w:rsidRPr="00154DE1" w:rsidRDefault="00E812C9" w:rsidP="00E812C9">
      <w:pPr>
        <w:pStyle w:val="ListParagraph"/>
        <w:numPr>
          <w:ilvl w:val="1"/>
          <w:numId w:val="2"/>
        </w:numPr>
        <w:spacing w:line="480" w:lineRule="auto"/>
        <w:rPr>
          <w:rFonts w:ascii="Times New Roman" w:hAnsi="Times New Roman" w:cs="Times New Roman"/>
          <w:b/>
          <w:bCs/>
          <w:sz w:val="24"/>
          <w:szCs w:val="28"/>
        </w:rPr>
      </w:pPr>
      <w:r w:rsidRPr="00154DE1">
        <w:rPr>
          <w:rFonts w:ascii="Times New Roman" w:hAnsi="Times New Roman" w:cs="Times New Roman"/>
          <w:b/>
          <w:bCs/>
          <w:sz w:val="24"/>
          <w:szCs w:val="28"/>
        </w:rPr>
        <w:t>Hematolysis assay</w:t>
      </w:r>
    </w:p>
    <w:p w14:paraId="01375E56" w14:textId="011C147A" w:rsidR="00E812C9" w:rsidRPr="00845CFE" w:rsidRDefault="00E812C9" w:rsidP="00A004D2">
      <w:pPr>
        <w:spacing w:line="480" w:lineRule="auto"/>
        <w:ind w:firstLineChars="200" w:firstLine="420"/>
        <w:rPr>
          <w:rFonts w:ascii="Times New Roman" w:hAnsi="Times New Roman" w:cs="Times New Roman"/>
        </w:rPr>
      </w:pPr>
      <w:r w:rsidRPr="00845CFE">
        <w:rPr>
          <w:rFonts w:ascii="Times New Roman" w:hAnsi="Times New Roman" w:cs="Times New Roman"/>
        </w:rPr>
        <w:t>EDTA-anticoagulated peripheral blood from two AML patients was centrifuged to isolate plasma and red blood cells (RBCs). RBCs were diluted to 7% in PBS and incubated with micelles (2 mg/mL) at a 1:1 ratio (v/v). PBS and ultrapure water were used as negative and positive controls, respectively. Samples (200 μL) were collected at 1, 2, 4, and 8 h and the absorbance at 540 nm was measured to assess hemolysis</w:t>
      </w:r>
      <w:r>
        <w:rPr>
          <w:rFonts w:ascii="Times New Roman" w:hAnsi="Times New Roman" w:cs="Times New Roman" w:hint="eastAsia"/>
        </w:rPr>
        <w:t>:</w:t>
      </w:r>
      <w:r w:rsidRPr="00521B2B">
        <w:rPr>
          <w:rFonts w:hint="eastAsia"/>
        </w:rPr>
        <w:t xml:space="preserve"> </w:t>
      </w:r>
      <w:r w:rsidRPr="00521B2B">
        <w:rPr>
          <w:rFonts w:ascii="Times New Roman" w:hAnsi="Times New Roman" w:cs="Times New Roman" w:hint="eastAsia"/>
        </w:rPr>
        <w:t>Hemolysis (%)=(</w:t>
      </w:r>
      <w:r>
        <w:rPr>
          <w:rFonts w:ascii="Times New Roman" w:hAnsi="Times New Roman" w:cs="Times New Roman" w:hint="eastAsia"/>
        </w:rPr>
        <w:t>OD</w:t>
      </w:r>
      <w:r w:rsidRPr="00521B2B">
        <w:rPr>
          <w:rFonts w:ascii="Times New Roman" w:hAnsi="Times New Roman" w:cs="Times New Roman" w:hint="eastAsia"/>
          <w:vertAlign w:val="subscript"/>
        </w:rPr>
        <w:t>sample</w:t>
      </w:r>
      <w:r>
        <w:rPr>
          <w:rFonts w:ascii="Times New Roman" w:hAnsi="Times New Roman" w:cs="Times New Roman" w:hint="eastAsia"/>
        </w:rPr>
        <w:t>-OD</w:t>
      </w:r>
      <w:r w:rsidRPr="00521B2B">
        <w:rPr>
          <w:rFonts w:ascii="Times New Roman" w:hAnsi="Times New Roman" w:cs="Times New Roman" w:hint="eastAsia"/>
          <w:vertAlign w:val="subscript"/>
        </w:rPr>
        <w:t>negative</w:t>
      </w:r>
      <w:r w:rsidRPr="00521B2B">
        <w:rPr>
          <w:rFonts w:ascii="Times New Roman" w:hAnsi="Times New Roman" w:cs="Times New Roman" w:hint="eastAsia"/>
        </w:rPr>
        <w:t>)/(</w:t>
      </w:r>
      <w:r>
        <w:rPr>
          <w:rFonts w:ascii="Times New Roman" w:hAnsi="Times New Roman" w:cs="Times New Roman" w:hint="eastAsia"/>
        </w:rPr>
        <w:t>OD</w:t>
      </w:r>
      <w:r w:rsidRPr="00521B2B">
        <w:rPr>
          <w:rFonts w:ascii="Times New Roman" w:hAnsi="Times New Roman" w:cs="Times New Roman" w:hint="eastAsia"/>
          <w:vertAlign w:val="subscript"/>
        </w:rPr>
        <w:t>positive</w:t>
      </w:r>
      <w:r>
        <w:rPr>
          <w:rFonts w:ascii="Times New Roman" w:hAnsi="Times New Roman" w:cs="Times New Roman" w:hint="eastAsia"/>
        </w:rPr>
        <w:t>-</w:t>
      </w:r>
      <w:r w:rsidRPr="00521B2B">
        <w:rPr>
          <w:rFonts w:ascii="Times New Roman" w:hAnsi="Times New Roman" w:cs="Times New Roman" w:hint="eastAsia"/>
        </w:rPr>
        <w:t>OD</w:t>
      </w:r>
      <w:r w:rsidRPr="00521B2B">
        <w:rPr>
          <w:rFonts w:ascii="Times New Roman" w:hAnsi="Times New Roman" w:cs="Times New Roman" w:hint="eastAsia"/>
          <w:vertAlign w:val="subscript"/>
        </w:rPr>
        <w:t>negative</w:t>
      </w:r>
      <w:r w:rsidRPr="00521B2B">
        <w:rPr>
          <w:rFonts w:ascii="Times New Roman" w:hAnsi="Times New Roman" w:cs="Times New Roman" w:hint="eastAsia"/>
        </w:rPr>
        <w:t>)</w:t>
      </w:r>
      <w:r w:rsidRPr="00521B2B">
        <w:rPr>
          <w:rFonts w:ascii="Times New Roman" w:hAnsi="Times New Roman" w:cs="Times New Roman" w:hint="eastAsia"/>
        </w:rPr>
        <w:t>×</w:t>
      </w:r>
      <w:r w:rsidRPr="00521B2B">
        <w:rPr>
          <w:rFonts w:ascii="Times New Roman" w:hAnsi="Times New Roman" w:cs="Times New Roman" w:hint="eastAsia"/>
        </w:rPr>
        <w:t>100</w:t>
      </w:r>
      <w:r w:rsidRPr="00845CFE">
        <w:rPr>
          <w:rFonts w:ascii="Times New Roman" w:hAnsi="Times New Roman" w:cs="Times New Roman"/>
        </w:rPr>
        <w:t>.</w:t>
      </w:r>
    </w:p>
    <w:p w14:paraId="442AAFAE" w14:textId="77777777" w:rsidR="00E812C9" w:rsidRPr="00845CFE" w:rsidRDefault="00E812C9" w:rsidP="00E812C9">
      <w:pPr>
        <w:spacing w:line="360" w:lineRule="auto"/>
        <w:rPr>
          <w:rFonts w:ascii="Times New Roman" w:hAnsi="Times New Roman" w:cs="Times New Roman"/>
        </w:rPr>
      </w:pPr>
    </w:p>
    <w:p w14:paraId="34A28705" w14:textId="77777777" w:rsidR="00E812C9" w:rsidRPr="00154DE1" w:rsidRDefault="00E812C9" w:rsidP="00E812C9">
      <w:pPr>
        <w:pStyle w:val="ListParagraph"/>
        <w:numPr>
          <w:ilvl w:val="1"/>
          <w:numId w:val="2"/>
        </w:numPr>
        <w:spacing w:line="480" w:lineRule="auto"/>
        <w:rPr>
          <w:rFonts w:ascii="Times New Roman" w:hAnsi="Times New Roman" w:cs="Times New Roman"/>
          <w:b/>
          <w:bCs/>
          <w:sz w:val="24"/>
          <w:szCs w:val="28"/>
        </w:rPr>
      </w:pPr>
      <w:r w:rsidRPr="00154DE1">
        <w:rPr>
          <w:rFonts w:ascii="Times New Roman" w:hAnsi="Times New Roman" w:cs="Times New Roman"/>
          <w:b/>
          <w:bCs/>
          <w:sz w:val="24"/>
          <w:szCs w:val="28"/>
        </w:rPr>
        <w:t>Plasma stability</w:t>
      </w:r>
    </w:p>
    <w:p w14:paraId="5A22A3D4" w14:textId="5281E406" w:rsidR="00E812C9" w:rsidRPr="00845CFE" w:rsidRDefault="00E812C9" w:rsidP="0084512C">
      <w:pPr>
        <w:spacing w:line="480" w:lineRule="auto"/>
        <w:ind w:firstLineChars="200" w:firstLine="420"/>
        <w:rPr>
          <w:rFonts w:ascii="Times New Roman" w:hAnsi="Times New Roman" w:cs="Times New Roman"/>
        </w:rPr>
      </w:pPr>
      <w:r w:rsidRPr="00845CFE">
        <w:rPr>
          <w:rFonts w:ascii="Times New Roman" w:hAnsi="Times New Roman" w:cs="Times New Roman"/>
        </w:rPr>
        <w:t xml:space="preserve">Micelles were mixed with patient-derived plasma at 9:1 and 1:1 (v/v) to a final concentration of 1 mg/mL. Samples (200 μL) were incubated at 37°C with gentle shaking, and absorbance at 750 nm was measured at 0, 1, 2, 4, 8, 12, and 24 h. </w:t>
      </w:r>
    </w:p>
    <w:p w14:paraId="7DF3F41F" w14:textId="77777777" w:rsidR="00E812C9" w:rsidRPr="00845CFE" w:rsidRDefault="00E812C9" w:rsidP="00E812C9">
      <w:pPr>
        <w:spacing w:line="480" w:lineRule="auto"/>
        <w:rPr>
          <w:rFonts w:ascii="Times New Roman" w:hAnsi="Times New Roman" w:cs="Times New Roman"/>
        </w:rPr>
      </w:pPr>
    </w:p>
    <w:p w14:paraId="12B1B859" w14:textId="1BA3D81A" w:rsidR="00E812C9" w:rsidRPr="00154DE1" w:rsidRDefault="00E812C9" w:rsidP="00E812C9">
      <w:pPr>
        <w:pStyle w:val="ListParagraph"/>
        <w:numPr>
          <w:ilvl w:val="1"/>
          <w:numId w:val="2"/>
        </w:numPr>
        <w:spacing w:line="480" w:lineRule="auto"/>
        <w:rPr>
          <w:rFonts w:ascii="Times New Roman" w:hAnsi="Times New Roman" w:cs="Times New Roman"/>
          <w:b/>
          <w:bCs/>
          <w:sz w:val="24"/>
          <w:szCs w:val="28"/>
        </w:rPr>
      </w:pPr>
      <w:r w:rsidRPr="00E812C9">
        <w:rPr>
          <w:rFonts w:ascii="Times New Roman" w:hAnsi="Times New Roman" w:cs="Times New Roman"/>
          <w:b/>
          <w:bCs/>
          <w:i/>
          <w:iCs/>
          <w:sz w:val="24"/>
          <w:szCs w:val="28"/>
        </w:rPr>
        <w:t>In vivo</w:t>
      </w:r>
      <w:r w:rsidRPr="00154DE1">
        <w:rPr>
          <w:rFonts w:ascii="Times New Roman" w:hAnsi="Times New Roman" w:cs="Times New Roman"/>
          <w:b/>
          <w:bCs/>
          <w:sz w:val="24"/>
          <w:szCs w:val="28"/>
        </w:rPr>
        <w:t xml:space="preserve"> </w:t>
      </w:r>
      <w:r w:rsidR="00E1702A" w:rsidRPr="00E1702A">
        <w:rPr>
          <w:rFonts w:ascii="Times New Roman" w:hAnsi="Times New Roman" w:cs="Times New Roman" w:hint="eastAsia"/>
          <w:b/>
          <w:bCs/>
          <w:sz w:val="24"/>
          <w:szCs w:val="28"/>
        </w:rPr>
        <w:t>biodistribution</w:t>
      </w:r>
    </w:p>
    <w:p w14:paraId="46F9FB5C" w14:textId="442F8C85" w:rsidR="00E812C9" w:rsidRPr="00845CFE" w:rsidRDefault="00E812C9" w:rsidP="008C56C0">
      <w:pPr>
        <w:spacing w:line="480" w:lineRule="auto"/>
        <w:ind w:firstLineChars="200" w:firstLine="420"/>
        <w:rPr>
          <w:rFonts w:ascii="Times New Roman" w:hAnsi="Times New Roman" w:cs="Times New Roman"/>
        </w:rPr>
      </w:pPr>
      <w:r w:rsidRPr="00845CFE">
        <w:rPr>
          <w:rFonts w:ascii="Times New Roman" w:hAnsi="Times New Roman" w:cs="Times New Roman"/>
        </w:rPr>
        <w:t xml:space="preserve">Six female BALB/c mice (6 weeks old; purchased from GemPharmatech) were randomly divided into two groups, and shaved prior to imaging. Mice received tail vein injections of DiD-labeled DTP/DiD or TDTP/DiD micelles (200 μg/kg). Fluorescence distribution was monitored using an </w:t>
      </w:r>
      <w:bookmarkStart w:id="1" w:name="OLE_LINK21"/>
      <w:r w:rsidRPr="00845CFE">
        <w:rPr>
          <w:rFonts w:ascii="Times New Roman" w:hAnsi="Times New Roman" w:cs="Times New Roman"/>
          <w:i/>
          <w:iCs/>
        </w:rPr>
        <w:t>in vivo</w:t>
      </w:r>
      <w:r w:rsidRPr="00845CFE">
        <w:rPr>
          <w:rFonts w:ascii="Times New Roman" w:hAnsi="Times New Roman" w:cs="Times New Roman"/>
        </w:rPr>
        <w:t xml:space="preserve"> imaging system (IVIS, IVIS Spectrum, PerkinElmer, USA)</w:t>
      </w:r>
      <w:bookmarkEnd w:id="1"/>
      <w:r w:rsidRPr="00845CFE">
        <w:rPr>
          <w:rFonts w:ascii="Times New Roman" w:hAnsi="Times New Roman" w:cs="Times New Roman"/>
        </w:rPr>
        <w:t xml:space="preserve">, and mice were </w:t>
      </w:r>
      <w:r w:rsidRPr="00845CFE">
        <w:rPr>
          <w:rFonts w:ascii="Times New Roman" w:hAnsi="Times New Roman" w:cs="Times New Roman"/>
        </w:rPr>
        <w:lastRenderedPageBreak/>
        <w:t>euthanized under deep anesthesia at the study endpoint.</w:t>
      </w:r>
    </w:p>
    <w:p w14:paraId="217AC995" w14:textId="77777777" w:rsidR="00E812C9" w:rsidRPr="0029711A" w:rsidRDefault="00E812C9" w:rsidP="00E812C9">
      <w:pPr>
        <w:spacing w:line="480" w:lineRule="auto"/>
        <w:rPr>
          <w:rFonts w:ascii="Times New Roman" w:hAnsi="Times New Roman" w:cs="Times New Roman"/>
        </w:rPr>
      </w:pPr>
    </w:p>
    <w:p w14:paraId="7E942614" w14:textId="77777777" w:rsidR="00E812C9" w:rsidRPr="00154DE1" w:rsidRDefault="00E812C9" w:rsidP="00E812C9">
      <w:pPr>
        <w:pStyle w:val="ListParagraph"/>
        <w:numPr>
          <w:ilvl w:val="1"/>
          <w:numId w:val="2"/>
        </w:numPr>
        <w:spacing w:line="480" w:lineRule="auto"/>
        <w:rPr>
          <w:rFonts w:ascii="Times New Roman" w:hAnsi="Times New Roman" w:cs="Times New Roman"/>
          <w:b/>
          <w:bCs/>
          <w:sz w:val="24"/>
          <w:szCs w:val="28"/>
        </w:rPr>
      </w:pPr>
      <w:r w:rsidRPr="00154DE1">
        <w:rPr>
          <w:rFonts w:ascii="Times New Roman" w:hAnsi="Times New Roman" w:cs="Times New Roman"/>
          <w:b/>
          <w:bCs/>
          <w:sz w:val="24"/>
          <w:szCs w:val="28"/>
        </w:rPr>
        <w:t>Apoptosis assay</w:t>
      </w:r>
    </w:p>
    <w:p w14:paraId="1485BC03" w14:textId="60A71F0E" w:rsidR="00E812C9" w:rsidRPr="00845CFE" w:rsidRDefault="00E812C9" w:rsidP="008C56C0">
      <w:pPr>
        <w:spacing w:line="480" w:lineRule="auto"/>
        <w:ind w:firstLineChars="200" w:firstLine="420"/>
        <w:rPr>
          <w:rFonts w:ascii="Times New Roman" w:hAnsi="Times New Roman" w:cs="Times New Roman"/>
        </w:rPr>
      </w:pPr>
      <w:r w:rsidRPr="00845CFE">
        <w:rPr>
          <w:rFonts w:ascii="Times New Roman" w:hAnsi="Times New Roman" w:cs="Times New Roman"/>
        </w:rPr>
        <w:t>Cells in logarithmic growth phase were collected and seeded in to 12-well plates at a density of 1×10</w:t>
      </w:r>
      <w:r w:rsidRPr="00845CFE">
        <w:rPr>
          <w:rFonts w:ascii="Times New Roman" w:hAnsi="Times New Roman" w:cs="Times New Roman"/>
          <w:vertAlign w:val="superscript"/>
        </w:rPr>
        <w:t>5</w:t>
      </w:r>
      <w:r w:rsidRPr="00845CFE">
        <w:rPr>
          <w:rFonts w:ascii="Times New Roman" w:hAnsi="Times New Roman" w:cs="Times New Roman"/>
        </w:rPr>
        <w:t xml:space="preserve"> per well in 1 mL of medium. PBS or various HHT formulations were added to corresponding wells. After 48 h of incubation, cells were collected and washed with PBS. </w:t>
      </w:r>
      <w:bookmarkStart w:id="2" w:name="OLE_LINK2"/>
      <w:r w:rsidRPr="00845CFE">
        <w:rPr>
          <w:rFonts w:ascii="Times New Roman" w:hAnsi="Times New Roman" w:cs="Times New Roman"/>
        </w:rPr>
        <w:t>Each sample was stained on ice with 100 μL</w:t>
      </w:r>
      <w:bookmarkEnd w:id="2"/>
      <w:r w:rsidRPr="00845CFE">
        <w:rPr>
          <w:rFonts w:ascii="Times New Roman" w:hAnsi="Times New Roman" w:cs="Times New Roman"/>
        </w:rPr>
        <w:t xml:space="preserve"> of buffer containing 1μL Annexin Ⅴ and 0.5 μL propidium iodide (PI) (Y6026S, UE) for 15 min. An additional 200 μL of PBS was added, and samples were analyzed by flow cytometry to determine apoptosis rates.</w:t>
      </w:r>
    </w:p>
    <w:p w14:paraId="698A848C" w14:textId="77777777" w:rsidR="00E812C9" w:rsidRPr="00845CFE" w:rsidRDefault="00E812C9" w:rsidP="00E812C9">
      <w:pPr>
        <w:spacing w:line="480" w:lineRule="auto"/>
        <w:rPr>
          <w:rFonts w:ascii="Times New Roman" w:hAnsi="Times New Roman" w:cs="Times New Roman"/>
        </w:rPr>
      </w:pPr>
    </w:p>
    <w:p w14:paraId="020BD750" w14:textId="77777777" w:rsidR="00E812C9" w:rsidRPr="00154DE1" w:rsidRDefault="00E812C9" w:rsidP="00E812C9">
      <w:pPr>
        <w:pStyle w:val="ListParagraph"/>
        <w:numPr>
          <w:ilvl w:val="1"/>
          <w:numId w:val="2"/>
        </w:numPr>
        <w:spacing w:line="480" w:lineRule="auto"/>
        <w:rPr>
          <w:rFonts w:ascii="Times New Roman" w:hAnsi="Times New Roman" w:cs="Times New Roman"/>
          <w:b/>
          <w:bCs/>
          <w:sz w:val="24"/>
          <w:szCs w:val="28"/>
        </w:rPr>
      </w:pPr>
      <w:r w:rsidRPr="00154DE1">
        <w:rPr>
          <w:rFonts w:ascii="Times New Roman" w:hAnsi="Times New Roman" w:cs="Times New Roman"/>
          <w:b/>
          <w:bCs/>
          <w:sz w:val="24"/>
          <w:szCs w:val="28"/>
        </w:rPr>
        <w:t>Soft agar clone formation experiment</w:t>
      </w:r>
    </w:p>
    <w:p w14:paraId="1B4FD37C" w14:textId="3C6879CF" w:rsidR="00E812C9" w:rsidRPr="00845CFE" w:rsidRDefault="00E812C9" w:rsidP="008C56C0">
      <w:pPr>
        <w:spacing w:line="480" w:lineRule="auto"/>
        <w:ind w:firstLineChars="200" w:firstLine="420"/>
        <w:rPr>
          <w:rFonts w:ascii="Times New Roman" w:hAnsi="Times New Roman" w:cs="Times New Roman"/>
        </w:rPr>
      </w:pPr>
      <w:r w:rsidRPr="00845CFE">
        <w:rPr>
          <w:rFonts w:ascii="Times New Roman" w:hAnsi="Times New Roman" w:cs="Times New Roman"/>
        </w:rPr>
        <w:t>A 2% agarose solution was prepared and sterilized by autoclaving. Before use, it was melted and equilibrated in a 55 °C water bath alongside 15% FBS-supplemented culture medium. The two components were mixed at a 1:3 volume ratio. For the bottom layer, 1 mL of the mixture was added to each well of a 6-well plate and allowed to solidify at room temperature for 30 min. For the upper layer, cells in logarithmic growth phase were washed with PBS and resuspended in 15% FBS medium. The 2% agarose and culture medium were equilibrated at 42 °C and mixed at a 1:5 ratio. Cell suspension was added to achieve a final density of 4,000 cells/mL. Then, 1 mL of the cell-containing mixture was added to each well and gently swirled to distribute evenly. The plate was left at room temperature for 30 min to allow the gel to solidify. Finally, 1 mL of complete culture medium was added to each well. After 5 days, PBS or HHT-containing formulations were added. Plates were incubated for two weeks, with media refreshed every 3-4 days.</w:t>
      </w:r>
    </w:p>
    <w:p w14:paraId="6070F119" w14:textId="77777777" w:rsidR="00E812C9" w:rsidRPr="00845CFE" w:rsidRDefault="00E812C9" w:rsidP="00E812C9">
      <w:pPr>
        <w:spacing w:line="480" w:lineRule="auto"/>
        <w:rPr>
          <w:rFonts w:ascii="Times New Roman" w:hAnsi="Times New Roman" w:cs="Times New Roman"/>
        </w:rPr>
      </w:pPr>
    </w:p>
    <w:p w14:paraId="67DE2DA3" w14:textId="77777777" w:rsidR="00E812C9" w:rsidRPr="00154DE1" w:rsidRDefault="00E812C9" w:rsidP="00E812C9">
      <w:pPr>
        <w:pStyle w:val="ListParagraph"/>
        <w:numPr>
          <w:ilvl w:val="1"/>
          <w:numId w:val="2"/>
        </w:numPr>
        <w:spacing w:line="480" w:lineRule="auto"/>
        <w:rPr>
          <w:rFonts w:ascii="Times New Roman" w:hAnsi="Times New Roman" w:cs="Times New Roman"/>
          <w:b/>
          <w:bCs/>
          <w:sz w:val="24"/>
          <w:szCs w:val="28"/>
        </w:rPr>
      </w:pPr>
      <w:r w:rsidRPr="00154DE1">
        <w:rPr>
          <w:rFonts w:ascii="Times New Roman" w:hAnsi="Times New Roman" w:cs="Times New Roman"/>
          <w:b/>
          <w:bCs/>
          <w:sz w:val="24"/>
          <w:szCs w:val="28"/>
        </w:rPr>
        <w:t>Western blot analysis</w:t>
      </w:r>
    </w:p>
    <w:p w14:paraId="5189B316" w14:textId="77777777" w:rsidR="00E812C9" w:rsidRPr="00845CFE" w:rsidRDefault="00E812C9" w:rsidP="00E812C9">
      <w:pPr>
        <w:spacing w:line="480" w:lineRule="auto"/>
        <w:rPr>
          <w:rFonts w:ascii="Times New Roman" w:hAnsi="Times New Roman" w:cs="Times New Roman"/>
        </w:rPr>
      </w:pPr>
      <w:r w:rsidRPr="00845CFE">
        <w:rPr>
          <w:rFonts w:ascii="Times New Roman" w:hAnsi="Times New Roman" w:cs="Times New Roman"/>
        </w:rPr>
        <w:tab/>
        <w:t>Cells were collected, washed with PBS, and lysed in RIPA buffer supplemented with PMSF and phosphatase inhibitors. Samples were vortexed and incubated on ice for 20 min, followed by centrifugation at 12,000 g for 20 min at 4 °C. The supernatant was collected, and protein concentrations were determined using a BCA protein assay kit. SDS loading buffer was added to each sample to ensure that 10 µL contained 40 µg of total protein. Equal amounts (40 µg) were loaded per lane for SDS-PAGE.</w:t>
      </w:r>
    </w:p>
    <w:p w14:paraId="2AA829E9" w14:textId="0A9DF585" w:rsidR="00374933" w:rsidRDefault="00374933">
      <w:pPr>
        <w:widowControl/>
        <w:jc w:val="left"/>
        <w:rPr>
          <w:rFonts w:ascii="Times New Roman" w:hAnsi="Times New Roman" w:cs="Times New Roman"/>
        </w:rPr>
      </w:pPr>
      <w:r>
        <w:rPr>
          <w:rFonts w:ascii="Times New Roman" w:hAnsi="Times New Roman" w:cs="Times New Roman"/>
        </w:rPr>
        <w:br w:type="page"/>
      </w:r>
    </w:p>
    <w:p w14:paraId="0B5EC586" w14:textId="7BBB6720" w:rsidR="002318D0" w:rsidRPr="00154DE1" w:rsidRDefault="00904E74" w:rsidP="00154DE1">
      <w:pPr>
        <w:pStyle w:val="ListParagraph"/>
        <w:numPr>
          <w:ilvl w:val="0"/>
          <w:numId w:val="2"/>
        </w:numPr>
        <w:spacing w:line="480" w:lineRule="auto"/>
        <w:rPr>
          <w:rFonts w:ascii="Times New Roman" w:hAnsi="Times New Roman" w:cs="Times New Roman"/>
          <w:b/>
          <w:bCs/>
          <w:sz w:val="28"/>
          <w:szCs w:val="32"/>
        </w:rPr>
      </w:pPr>
      <w:r w:rsidRPr="00154DE1">
        <w:rPr>
          <w:rFonts w:ascii="Times New Roman" w:hAnsi="Times New Roman" w:cs="Times New Roman" w:hint="eastAsia"/>
          <w:b/>
          <w:bCs/>
          <w:sz w:val="28"/>
          <w:szCs w:val="32"/>
        </w:rPr>
        <w:lastRenderedPageBreak/>
        <w:t xml:space="preserve">Supplementary </w:t>
      </w:r>
      <w:r>
        <w:rPr>
          <w:rFonts w:ascii="Times New Roman" w:hAnsi="Times New Roman" w:cs="Times New Roman" w:hint="eastAsia"/>
          <w:b/>
          <w:bCs/>
          <w:sz w:val="28"/>
          <w:szCs w:val="32"/>
        </w:rPr>
        <w:t>r</w:t>
      </w:r>
      <w:r w:rsidR="002318D0" w:rsidRPr="00154DE1">
        <w:rPr>
          <w:rFonts w:ascii="Times New Roman" w:hAnsi="Times New Roman" w:cs="Times New Roman"/>
          <w:b/>
          <w:bCs/>
          <w:sz w:val="28"/>
          <w:szCs w:val="32"/>
        </w:rPr>
        <w:t>esults</w:t>
      </w:r>
    </w:p>
    <w:p w14:paraId="58EAA801" w14:textId="79B70E82" w:rsidR="0023487F" w:rsidRPr="00845CFE" w:rsidRDefault="00107F82" w:rsidP="0023487F">
      <w:pPr>
        <w:spacing w:line="480" w:lineRule="auto"/>
        <w:rPr>
          <w:rFonts w:ascii="Times New Roman" w:hAnsi="Times New Roman" w:cs="Times New Roman"/>
        </w:rPr>
      </w:pPr>
      <w:r>
        <w:rPr>
          <w:rFonts w:ascii="Times New Roman" w:hAnsi="Times New Roman" w:cs="Times New Roman"/>
          <w:noProof/>
        </w:rPr>
        <w:drawing>
          <wp:inline distT="0" distB="0" distL="0" distR="0" wp14:anchorId="7EB49253" wp14:editId="5FC313BC">
            <wp:extent cx="5274310" cy="7618730"/>
            <wp:effectExtent l="0" t="0" r="2540" b="1270"/>
            <wp:docPr id="2201493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4930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618730"/>
                    </a:xfrm>
                    <a:prstGeom prst="rect">
                      <a:avLst/>
                    </a:prstGeom>
                  </pic:spPr>
                </pic:pic>
              </a:graphicData>
            </a:graphic>
          </wp:inline>
        </w:drawing>
      </w:r>
    </w:p>
    <w:p w14:paraId="2084FD10" w14:textId="009F7DA3" w:rsidR="00374933" w:rsidRDefault="0023487F" w:rsidP="00374933">
      <w:pPr>
        <w:spacing w:line="480" w:lineRule="auto"/>
        <w:rPr>
          <w:rFonts w:ascii="Times New Roman" w:hAnsi="Times New Roman" w:cs="Times New Roman"/>
        </w:rPr>
      </w:pPr>
      <w:r w:rsidRPr="00845CFE">
        <w:rPr>
          <w:rFonts w:ascii="Times New Roman" w:hAnsi="Times New Roman" w:cs="Times New Roman"/>
          <w:b/>
          <w:bCs/>
        </w:rPr>
        <w:t xml:space="preserve">Supplementary Figure 1. </w:t>
      </w:r>
      <w:r w:rsidR="00440B83">
        <w:rPr>
          <w:rFonts w:ascii="Times New Roman" w:hAnsi="Times New Roman" w:cs="Times New Roman" w:hint="eastAsia"/>
          <w:b/>
          <w:bCs/>
        </w:rPr>
        <w:t>CD71 is highly expressed in AML.</w:t>
      </w:r>
      <w:r w:rsidR="0012470B" w:rsidRPr="00845CFE">
        <w:rPr>
          <w:rFonts w:ascii="Times New Roman" w:hAnsi="Times New Roman" w:cs="Times New Roman"/>
          <w:b/>
          <w:bCs/>
        </w:rPr>
        <w:t xml:space="preserve"> </w:t>
      </w:r>
      <w:bookmarkStart w:id="3" w:name="OLE_LINK49"/>
      <w:r w:rsidR="00374933" w:rsidRPr="00374933">
        <w:rPr>
          <w:rFonts w:ascii="Times New Roman" w:hAnsi="Times New Roman" w:cs="Times New Roman" w:hint="eastAsia"/>
        </w:rPr>
        <w:t>(</w:t>
      </w:r>
      <w:r w:rsidR="00440B83">
        <w:rPr>
          <w:rFonts w:ascii="Times New Roman" w:hAnsi="Times New Roman" w:cs="Times New Roman" w:hint="eastAsia"/>
        </w:rPr>
        <w:t>A</w:t>
      </w:r>
      <w:r w:rsidR="00374933" w:rsidRPr="00374933">
        <w:rPr>
          <w:rFonts w:ascii="Times New Roman" w:hAnsi="Times New Roman" w:cs="Times New Roman" w:hint="eastAsia"/>
        </w:rPr>
        <w:t xml:space="preserve">) </w:t>
      </w:r>
      <w:r w:rsidR="007F2B07" w:rsidRPr="007F2B07">
        <w:rPr>
          <w:rFonts w:ascii="Times New Roman" w:hAnsi="Times New Roman" w:cs="Times New Roman" w:hint="eastAsia"/>
        </w:rPr>
        <w:t xml:space="preserve">Gating strategy and representative flow cytometry histograms showing CD71 expression in leukemia cells (LCs), </w:t>
      </w:r>
      <w:r w:rsidR="007F2B07" w:rsidRPr="007F2B07">
        <w:rPr>
          <w:rFonts w:ascii="Times New Roman" w:hAnsi="Times New Roman" w:cs="Times New Roman" w:hint="eastAsia"/>
        </w:rPr>
        <w:lastRenderedPageBreak/>
        <w:t>leukemia stem cells (LSCs), lymphocytes (L), granulocytes (G), monocytes (M), and nucleated red blood cells (R).</w:t>
      </w:r>
      <w:r w:rsidR="00374933" w:rsidRPr="00374933">
        <w:rPr>
          <w:rFonts w:ascii="Times New Roman" w:hAnsi="Times New Roman" w:cs="Times New Roman" w:hint="eastAsia"/>
        </w:rPr>
        <w:t xml:space="preserve"> (</w:t>
      </w:r>
      <w:r w:rsidR="00440B83">
        <w:rPr>
          <w:rFonts w:ascii="Times New Roman" w:hAnsi="Times New Roman" w:cs="Times New Roman" w:hint="eastAsia"/>
        </w:rPr>
        <w:t>B</w:t>
      </w:r>
      <w:r w:rsidR="00374933" w:rsidRPr="00374933">
        <w:rPr>
          <w:rFonts w:ascii="Times New Roman" w:hAnsi="Times New Roman" w:cs="Times New Roman" w:hint="eastAsia"/>
        </w:rPr>
        <w:t xml:space="preserve">) </w:t>
      </w:r>
      <w:r w:rsidR="007F2B07" w:rsidRPr="007F2B07">
        <w:rPr>
          <w:rFonts w:ascii="Times New Roman" w:hAnsi="Times New Roman" w:cs="Times New Roman" w:hint="eastAsia"/>
        </w:rPr>
        <w:t>Gating strategy and representative flow cytometry histograms showing CD71 expression in HUVEC, HEL, MOLM-13, and MV4-11 cells selected for subsequent experiments.</w:t>
      </w:r>
    </w:p>
    <w:bookmarkEnd w:id="3"/>
    <w:p w14:paraId="69109AE0" w14:textId="62A9A0A6" w:rsidR="00384B8D" w:rsidRPr="00845CFE" w:rsidRDefault="002842CE" w:rsidP="00374933">
      <w:pPr>
        <w:spacing w:line="480" w:lineRule="auto"/>
        <w:rPr>
          <w:rFonts w:ascii="Times New Roman" w:hAnsi="Times New Roman" w:cs="Times New Roman"/>
        </w:rPr>
      </w:pPr>
      <w:r w:rsidRPr="00845CFE">
        <w:rPr>
          <w:rFonts w:ascii="Times New Roman" w:hAnsi="Times New Roman" w:cs="Times New Roman"/>
          <w:noProof/>
        </w:rPr>
        <w:lastRenderedPageBreak/>
        <w:drawing>
          <wp:inline distT="0" distB="0" distL="0" distR="0" wp14:anchorId="241C84B9" wp14:editId="170CF341">
            <wp:extent cx="5220000" cy="8784755"/>
            <wp:effectExtent l="0" t="0" r="0" b="0"/>
            <wp:docPr id="1250806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06691" name="图片 12508066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0000" cy="8784755"/>
                    </a:xfrm>
                    <a:prstGeom prst="rect">
                      <a:avLst/>
                    </a:prstGeom>
                  </pic:spPr>
                </pic:pic>
              </a:graphicData>
            </a:graphic>
          </wp:inline>
        </w:drawing>
      </w:r>
    </w:p>
    <w:p w14:paraId="3E78A028" w14:textId="5E275416" w:rsidR="006D60B3" w:rsidRDefault="006D60B3" w:rsidP="001778AA">
      <w:pPr>
        <w:spacing w:line="480" w:lineRule="auto"/>
        <w:rPr>
          <w:rFonts w:ascii="Times New Roman" w:hAnsi="Times New Roman" w:cs="Times New Roman"/>
        </w:rPr>
      </w:pPr>
      <w:r w:rsidRPr="00845CFE">
        <w:rPr>
          <w:rFonts w:ascii="Times New Roman" w:hAnsi="Times New Roman" w:cs="Times New Roman"/>
          <w:b/>
          <w:bCs/>
        </w:rPr>
        <w:lastRenderedPageBreak/>
        <w:t xml:space="preserve">Supplementary </w:t>
      </w:r>
      <w:r w:rsidR="00245EE8" w:rsidRPr="00845CFE">
        <w:rPr>
          <w:rFonts w:ascii="Times New Roman" w:hAnsi="Times New Roman" w:cs="Times New Roman"/>
          <w:b/>
          <w:bCs/>
        </w:rPr>
        <w:t>F</w:t>
      </w:r>
      <w:r w:rsidRPr="00845CFE">
        <w:rPr>
          <w:rFonts w:ascii="Times New Roman" w:hAnsi="Times New Roman" w:cs="Times New Roman"/>
          <w:b/>
          <w:bCs/>
        </w:rPr>
        <w:t xml:space="preserve">igure </w:t>
      </w:r>
      <w:r w:rsidR="0023487F" w:rsidRPr="00845CFE">
        <w:rPr>
          <w:rFonts w:ascii="Times New Roman" w:hAnsi="Times New Roman" w:cs="Times New Roman"/>
          <w:b/>
          <w:bCs/>
        </w:rPr>
        <w:t>2</w:t>
      </w:r>
      <w:r w:rsidRPr="00845CFE">
        <w:rPr>
          <w:rFonts w:ascii="Times New Roman" w:hAnsi="Times New Roman" w:cs="Times New Roman"/>
          <w:b/>
          <w:bCs/>
        </w:rPr>
        <w:t>. Characterization of DSPEG-PEG</w:t>
      </w:r>
      <w:r w:rsidR="00F65BE0" w:rsidRPr="00845CFE">
        <w:rPr>
          <w:rFonts w:ascii="Times New Roman" w:hAnsi="Times New Roman" w:cs="Times New Roman"/>
          <w:b/>
          <w:bCs/>
          <w:vertAlign w:val="subscript"/>
        </w:rPr>
        <w:t>2000</w:t>
      </w:r>
      <w:r w:rsidRPr="00845CFE">
        <w:rPr>
          <w:rFonts w:ascii="Times New Roman" w:hAnsi="Times New Roman" w:cs="Times New Roman"/>
          <w:b/>
          <w:bCs/>
        </w:rPr>
        <w:t>-</w:t>
      </w:r>
      <w:r w:rsidRPr="00845CFE">
        <w:rPr>
          <w:rFonts w:ascii="Times New Roman" w:hAnsi="Times New Roman" w:cs="Times New Roman"/>
          <w:b/>
          <w:bCs/>
          <w:vertAlign w:val="superscript"/>
        </w:rPr>
        <w:t>D</w:t>
      </w:r>
      <w:r w:rsidRPr="00845CFE">
        <w:rPr>
          <w:rFonts w:ascii="Times New Roman" w:hAnsi="Times New Roman" w:cs="Times New Roman"/>
          <w:b/>
          <w:bCs/>
        </w:rPr>
        <w:t>T7.</w:t>
      </w:r>
      <w:r w:rsidRPr="00845CFE">
        <w:rPr>
          <w:rFonts w:ascii="Times New Roman" w:hAnsi="Times New Roman" w:cs="Times New Roman"/>
        </w:rPr>
        <w:t xml:space="preserve"> (A) </w:t>
      </w:r>
      <w:r w:rsidR="00EE611E" w:rsidRPr="00845CFE">
        <w:rPr>
          <w:rFonts w:ascii="Times New Roman" w:hAnsi="Times New Roman" w:cs="Times New Roman"/>
        </w:rPr>
        <w:t> ¹H NMR spectrum of DSPE-PEG</w:t>
      </w:r>
      <w:r w:rsidR="00BE6B8D" w:rsidRPr="00845CFE">
        <w:rPr>
          <w:rFonts w:ascii="Times New Roman" w:hAnsi="Times New Roman" w:cs="Times New Roman"/>
          <w:vertAlign w:val="subscript"/>
        </w:rPr>
        <w:t>2000</w:t>
      </w:r>
      <w:r w:rsidR="00EE611E" w:rsidRPr="00845CFE">
        <w:rPr>
          <w:rFonts w:ascii="Times New Roman" w:hAnsi="Times New Roman" w:cs="Times New Roman"/>
        </w:rPr>
        <w:t>-Mal. A characteristic peak corresponding to the maleimide group was observed at 7.0 ppm, confirming the presence of the maleimide moiety in DSPE-PEG</w:t>
      </w:r>
      <w:r w:rsidR="00BE6B8D" w:rsidRPr="00845CFE">
        <w:rPr>
          <w:rFonts w:ascii="Times New Roman" w:hAnsi="Times New Roman" w:cs="Times New Roman"/>
          <w:vertAlign w:val="subscript"/>
        </w:rPr>
        <w:t>2000</w:t>
      </w:r>
      <w:r w:rsidR="00EE611E" w:rsidRPr="00845CFE">
        <w:rPr>
          <w:rFonts w:ascii="Times New Roman" w:hAnsi="Times New Roman" w:cs="Times New Roman"/>
        </w:rPr>
        <w:t>-Mal</w:t>
      </w:r>
      <w:r w:rsidR="00E60255" w:rsidRPr="00845CFE">
        <w:rPr>
          <w:rFonts w:ascii="Times New Roman" w:hAnsi="Times New Roman" w:cs="Times New Roman"/>
        </w:rPr>
        <w:t>; (B)</w:t>
      </w:r>
      <w:r w:rsidR="00EE611E" w:rsidRPr="00845CFE">
        <w:rPr>
          <w:rFonts w:ascii="Times New Roman" w:hAnsi="Times New Roman" w:cs="Times New Roman"/>
        </w:rPr>
        <w:t> ¹H NMR spectrum of DSPE-PEG</w:t>
      </w:r>
      <w:r w:rsidR="00BE6B8D" w:rsidRPr="00845CFE">
        <w:rPr>
          <w:rFonts w:ascii="Times New Roman" w:hAnsi="Times New Roman" w:cs="Times New Roman"/>
          <w:vertAlign w:val="subscript"/>
        </w:rPr>
        <w:t>2000</w:t>
      </w:r>
      <w:r w:rsidR="00EE611E" w:rsidRPr="00845CFE">
        <w:rPr>
          <w:rFonts w:ascii="Times New Roman" w:hAnsi="Times New Roman" w:cs="Times New Roman"/>
        </w:rPr>
        <w:t>-</w:t>
      </w:r>
      <w:r w:rsidR="00EE611E" w:rsidRPr="00845CFE">
        <w:rPr>
          <w:rFonts w:ascii="Times New Roman" w:hAnsi="Times New Roman" w:cs="Times New Roman"/>
          <w:vertAlign w:val="superscript"/>
        </w:rPr>
        <w:t>D</w:t>
      </w:r>
      <w:r w:rsidR="00EE611E" w:rsidRPr="00845CFE">
        <w:rPr>
          <w:rFonts w:ascii="Times New Roman" w:hAnsi="Times New Roman" w:cs="Times New Roman"/>
        </w:rPr>
        <w:t>T7. The disappearance of the maleimide peak in the spectrum of DSPE-PEG</w:t>
      </w:r>
      <w:r w:rsidR="00BE6B8D" w:rsidRPr="00845CFE">
        <w:rPr>
          <w:rFonts w:ascii="Times New Roman" w:hAnsi="Times New Roman" w:cs="Times New Roman"/>
          <w:vertAlign w:val="subscript"/>
        </w:rPr>
        <w:t>2000</w:t>
      </w:r>
      <w:r w:rsidR="00EE611E" w:rsidRPr="00845CFE">
        <w:rPr>
          <w:rFonts w:ascii="Times New Roman" w:hAnsi="Times New Roman" w:cs="Times New Roman"/>
        </w:rPr>
        <w:t>-</w:t>
      </w:r>
      <w:r w:rsidR="00EE611E" w:rsidRPr="00845CFE">
        <w:rPr>
          <w:rFonts w:ascii="Times New Roman" w:hAnsi="Times New Roman" w:cs="Times New Roman"/>
          <w:vertAlign w:val="superscript"/>
        </w:rPr>
        <w:t>D</w:t>
      </w:r>
      <w:r w:rsidR="00EE611E" w:rsidRPr="00845CFE">
        <w:rPr>
          <w:rFonts w:ascii="Times New Roman" w:hAnsi="Times New Roman" w:cs="Times New Roman"/>
        </w:rPr>
        <w:t xml:space="preserve">T7 indicates complete conjugation of the maleimide group with the thiol group of </w:t>
      </w:r>
      <w:r w:rsidR="00EE611E" w:rsidRPr="00845CFE">
        <w:rPr>
          <w:rFonts w:ascii="Times New Roman" w:hAnsi="Times New Roman" w:cs="Times New Roman"/>
          <w:vertAlign w:val="superscript"/>
        </w:rPr>
        <w:t>D</w:t>
      </w:r>
      <w:r w:rsidR="00EE611E" w:rsidRPr="00845CFE">
        <w:rPr>
          <w:rFonts w:ascii="Times New Roman" w:hAnsi="Times New Roman" w:cs="Times New Roman"/>
        </w:rPr>
        <w:t>T7-Cys</w:t>
      </w:r>
      <w:r w:rsidR="00E60255" w:rsidRPr="00845CFE">
        <w:rPr>
          <w:rFonts w:ascii="Times New Roman" w:hAnsi="Times New Roman" w:cs="Times New Roman"/>
        </w:rPr>
        <w:t xml:space="preserve">; (C) </w:t>
      </w:r>
      <w:r w:rsidR="00EE611E" w:rsidRPr="00845CFE">
        <w:rPr>
          <w:rFonts w:ascii="Times New Roman" w:hAnsi="Times New Roman" w:cs="Times New Roman"/>
        </w:rPr>
        <w:t>High-resolution mass spectrum (HRMS) of DSPE-PEG</w:t>
      </w:r>
      <w:r w:rsidR="00BE6B8D" w:rsidRPr="00845CFE">
        <w:rPr>
          <w:rFonts w:ascii="Times New Roman" w:hAnsi="Times New Roman" w:cs="Times New Roman"/>
          <w:vertAlign w:val="subscript"/>
        </w:rPr>
        <w:t>2000</w:t>
      </w:r>
      <w:r w:rsidR="00EE611E" w:rsidRPr="00845CFE">
        <w:rPr>
          <w:rFonts w:ascii="Times New Roman" w:hAnsi="Times New Roman" w:cs="Times New Roman"/>
        </w:rPr>
        <w:t>-</w:t>
      </w:r>
      <w:r w:rsidR="00EE611E" w:rsidRPr="00845CFE">
        <w:rPr>
          <w:rFonts w:ascii="Times New Roman" w:hAnsi="Times New Roman" w:cs="Times New Roman"/>
          <w:vertAlign w:val="superscript"/>
        </w:rPr>
        <w:t>D</w:t>
      </w:r>
      <w:r w:rsidR="00EE611E" w:rsidRPr="00845CFE">
        <w:rPr>
          <w:rFonts w:ascii="Times New Roman" w:hAnsi="Times New Roman" w:cs="Times New Roman"/>
        </w:rPr>
        <w:t>T7</w:t>
      </w:r>
      <w:r w:rsidR="00665A57">
        <w:rPr>
          <w:rFonts w:ascii="Times New Roman" w:hAnsi="Times New Roman" w:cs="Times New Roman" w:hint="eastAsia"/>
        </w:rPr>
        <w:t>.</w:t>
      </w:r>
      <w:r w:rsidR="00EE611E" w:rsidRPr="00845CFE">
        <w:rPr>
          <w:rFonts w:ascii="Times New Roman" w:hAnsi="Times New Roman" w:cs="Times New Roman"/>
        </w:rPr>
        <w:t xml:space="preserve"> </w:t>
      </w:r>
      <w:r w:rsidR="00665A57" w:rsidRPr="00665A57">
        <w:rPr>
          <w:rFonts w:ascii="Times New Roman" w:hAnsi="Times New Roman" w:cs="Times New Roman" w:hint="eastAsia"/>
        </w:rPr>
        <w:t>DSPE-PEG</w:t>
      </w:r>
      <w:r w:rsidR="00665A57" w:rsidRPr="00665A57">
        <w:rPr>
          <w:rFonts w:ascii="Times New Roman" w:hAnsi="Times New Roman" w:cs="Times New Roman" w:hint="eastAsia"/>
          <w:vertAlign w:val="subscript"/>
        </w:rPr>
        <w:t>2000</w:t>
      </w:r>
      <w:r w:rsidR="00665A57" w:rsidRPr="00665A57">
        <w:rPr>
          <w:rFonts w:ascii="Times New Roman" w:hAnsi="Times New Roman" w:cs="Times New Roman" w:hint="eastAsia"/>
        </w:rPr>
        <w:t xml:space="preserve">-Mal (MW ~2890) was conjugated with a cysteine-terminated </w:t>
      </w:r>
      <w:r w:rsidR="00665A57">
        <w:rPr>
          <w:rFonts w:ascii="Times New Roman" w:hAnsi="Times New Roman" w:cs="Times New Roman" w:hint="eastAsia"/>
        </w:rPr>
        <w:t>peptide</w:t>
      </w:r>
      <w:r w:rsidR="00665A57" w:rsidRPr="00665A57">
        <w:rPr>
          <w:rFonts w:ascii="Times New Roman" w:hAnsi="Times New Roman" w:cs="Times New Roman" w:hint="eastAsia"/>
        </w:rPr>
        <w:t xml:space="preserve"> (MW ~996) to yield a product with a theoretical MW of ~3886, consistent with the HRMS result.</w:t>
      </w:r>
    </w:p>
    <w:p w14:paraId="5F57D0C1" w14:textId="77777777" w:rsidR="00665A57" w:rsidRPr="00665A57" w:rsidRDefault="00665A57" w:rsidP="001778AA">
      <w:pPr>
        <w:spacing w:line="480" w:lineRule="auto"/>
        <w:rPr>
          <w:rFonts w:ascii="Times New Roman" w:hAnsi="Times New Roman" w:cs="Times New Roman"/>
        </w:rPr>
      </w:pPr>
    </w:p>
    <w:p w14:paraId="37C22738" w14:textId="5204D361" w:rsidR="006D60B3" w:rsidRPr="00845CFE" w:rsidRDefault="007F4BCC" w:rsidP="001778AA">
      <w:pPr>
        <w:spacing w:line="480" w:lineRule="auto"/>
        <w:rPr>
          <w:rFonts w:ascii="Times New Roman" w:hAnsi="Times New Roman" w:cs="Times New Roman"/>
        </w:rPr>
      </w:pPr>
      <w:r>
        <w:rPr>
          <w:rFonts w:ascii="Times New Roman" w:hAnsi="Times New Roman" w:cs="Times New Roman"/>
          <w:noProof/>
        </w:rPr>
        <w:drawing>
          <wp:inline distT="0" distB="0" distL="0" distR="0" wp14:anchorId="1E2E1791" wp14:editId="1B607046">
            <wp:extent cx="5274310" cy="2968625"/>
            <wp:effectExtent l="0" t="0" r="2540" b="3175"/>
            <wp:docPr id="16255863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8637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8625"/>
                    </a:xfrm>
                    <a:prstGeom prst="rect">
                      <a:avLst/>
                    </a:prstGeom>
                  </pic:spPr>
                </pic:pic>
              </a:graphicData>
            </a:graphic>
          </wp:inline>
        </w:drawing>
      </w:r>
    </w:p>
    <w:p w14:paraId="133D774A" w14:textId="0809433C" w:rsidR="006D60B3" w:rsidRDefault="006D60B3" w:rsidP="001778AA">
      <w:pPr>
        <w:spacing w:line="480" w:lineRule="auto"/>
        <w:rPr>
          <w:rFonts w:ascii="Times New Roman" w:hAnsi="Times New Roman" w:cs="Times New Roman"/>
        </w:rPr>
      </w:pPr>
      <w:r w:rsidRPr="00845CFE">
        <w:rPr>
          <w:rFonts w:ascii="Times New Roman" w:hAnsi="Times New Roman" w:cs="Times New Roman"/>
          <w:b/>
          <w:bCs/>
        </w:rPr>
        <w:t xml:space="preserve">Supplementary </w:t>
      </w:r>
      <w:r w:rsidR="00245EE8" w:rsidRPr="00845CFE">
        <w:rPr>
          <w:rFonts w:ascii="Times New Roman" w:hAnsi="Times New Roman" w:cs="Times New Roman"/>
          <w:b/>
          <w:bCs/>
        </w:rPr>
        <w:t>F</w:t>
      </w:r>
      <w:r w:rsidRPr="00845CFE">
        <w:rPr>
          <w:rFonts w:ascii="Times New Roman" w:hAnsi="Times New Roman" w:cs="Times New Roman"/>
          <w:b/>
          <w:bCs/>
        </w:rPr>
        <w:t xml:space="preserve">igure </w:t>
      </w:r>
      <w:r w:rsidR="0023487F" w:rsidRPr="00845CFE">
        <w:rPr>
          <w:rFonts w:ascii="Times New Roman" w:hAnsi="Times New Roman" w:cs="Times New Roman"/>
          <w:b/>
          <w:bCs/>
        </w:rPr>
        <w:t>3</w:t>
      </w:r>
      <w:r w:rsidRPr="00845CFE">
        <w:rPr>
          <w:rFonts w:ascii="Times New Roman" w:hAnsi="Times New Roman" w:cs="Times New Roman"/>
          <w:b/>
          <w:bCs/>
        </w:rPr>
        <w:t>.</w:t>
      </w:r>
      <w:r w:rsidRPr="00845CFE">
        <w:rPr>
          <w:rFonts w:ascii="Times New Roman" w:hAnsi="Times New Roman" w:cs="Times New Roman"/>
        </w:rPr>
        <w:t xml:space="preserve"> </w:t>
      </w:r>
      <w:r w:rsidR="00E60255" w:rsidRPr="00845CFE">
        <w:rPr>
          <w:rFonts w:ascii="Times New Roman" w:hAnsi="Times New Roman" w:cs="Times New Roman"/>
          <w:b/>
          <w:bCs/>
        </w:rPr>
        <w:t>Cellular uptake of micelles with varying DSPE-PEG</w:t>
      </w:r>
      <w:r w:rsidR="000B1C72" w:rsidRPr="00845CFE">
        <w:rPr>
          <w:rFonts w:ascii="Times New Roman" w:hAnsi="Times New Roman" w:cs="Times New Roman"/>
          <w:b/>
          <w:bCs/>
          <w:vertAlign w:val="subscript"/>
        </w:rPr>
        <w:t>2000</w:t>
      </w:r>
      <w:r w:rsidR="00E60255" w:rsidRPr="00845CFE">
        <w:rPr>
          <w:rFonts w:ascii="Times New Roman" w:hAnsi="Times New Roman" w:cs="Times New Roman"/>
          <w:b/>
          <w:bCs/>
        </w:rPr>
        <w:t>-</w:t>
      </w:r>
      <w:r w:rsidR="00E60255" w:rsidRPr="00845CFE">
        <w:rPr>
          <w:rFonts w:ascii="Times New Roman" w:hAnsi="Times New Roman" w:cs="Times New Roman"/>
          <w:b/>
          <w:bCs/>
          <w:vertAlign w:val="superscript"/>
        </w:rPr>
        <w:t>D</w:t>
      </w:r>
      <w:r w:rsidR="00E60255" w:rsidRPr="00845CFE">
        <w:rPr>
          <w:rFonts w:ascii="Times New Roman" w:hAnsi="Times New Roman" w:cs="Times New Roman"/>
          <w:b/>
          <w:bCs/>
        </w:rPr>
        <w:t>T7 ratios.</w:t>
      </w:r>
      <w:r w:rsidR="00E60255" w:rsidRPr="00845CFE">
        <w:rPr>
          <w:rFonts w:ascii="Times New Roman" w:hAnsi="Times New Roman" w:cs="Times New Roman"/>
        </w:rPr>
        <w:t xml:space="preserve"> HEL, MOLM-13, and MV4-11 cells were incubated with DiD-labeled micelles containing different proportions of DSPE-PEG</w:t>
      </w:r>
      <w:r w:rsidR="000B1C72" w:rsidRPr="00845CFE">
        <w:rPr>
          <w:rFonts w:ascii="Times New Roman" w:hAnsi="Times New Roman" w:cs="Times New Roman"/>
          <w:vertAlign w:val="subscript"/>
        </w:rPr>
        <w:t>2000</w:t>
      </w:r>
      <w:r w:rsidR="00E60255" w:rsidRPr="00845CFE">
        <w:rPr>
          <w:rFonts w:ascii="Times New Roman" w:hAnsi="Times New Roman" w:cs="Times New Roman"/>
        </w:rPr>
        <w:t>-</w:t>
      </w:r>
      <w:r w:rsidR="00E60255" w:rsidRPr="00845CFE">
        <w:rPr>
          <w:rFonts w:ascii="Times New Roman" w:hAnsi="Times New Roman" w:cs="Times New Roman"/>
          <w:vertAlign w:val="superscript"/>
        </w:rPr>
        <w:t>D</w:t>
      </w:r>
      <w:r w:rsidR="00E60255" w:rsidRPr="00845CFE">
        <w:rPr>
          <w:rFonts w:ascii="Times New Roman" w:hAnsi="Times New Roman" w:cs="Times New Roman"/>
        </w:rPr>
        <w:t>T7</w:t>
      </w:r>
      <w:r w:rsidR="00EE611E" w:rsidRPr="00845CFE">
        <w:rPr>
          <w:rFonts w:ascii="Times New Roman" w:hAnsi="Times New Roman" w:cs="Times New Roman"/>
        </w:rPr>
        <w:t xml:space="preserve"> (w/w)</w:t>
      </w:r>
      <w:r w:rsidR="00E60255" w:rsidRPr="00845CFE">
        <w:rPr>
          <w:rFonts w:ascii="Times New Roman" w:hAnsi="Times New Roman" w:cs="Times New Roman"/>
        </w:rPr>
        <w:t xml:space="preserve"> for 2 and 4 h. </w:t>
      </w:r>
      <w:r w:rsidR="00E064C2" w:rsidRPr="00845CFE">
        <w:rPr>
          <w:rFonts w:ascii="Times New Roman" w:hAnsi="Times New Roman" w:cs="Times New Roman"/>
        </w:rPr>
        <w:t xml:space="preserve">Flow cytometry analysis of fluorescence intensity revealed that micelle uptake increased with the degree of </w:t>
      </w:r>
      <w:r w:rsidR="000B1C72" w:rsidRPr="00845CFE">
        <w:rPr>
          <w:rFonts w:ascii="Times New Roman" w:hAnsi="Times New Roman" w:cs="Times New Roman"/>
        </w:rPr>
        <w:t>DSPE-PEG</w:t>
      </w:r>
      <w:r w:rsidR="000B1C72" w:rsidRPr="00845CFE">
        <w:rPr>
          <w:rFonts w:ascii="Times New Roman" w:hAnsi="Times New Roman" w:cs="Times New Roman"/>
          <w:vertAlign w:val="subscript"/>
        </w:rPr>
        <w:t>2000</w:t>
      </w:r>
      <w:r w:rsidR="000B1C72" w:rsidRPr="00845CFE">
        <w:rPr>
          <w:rFonts w:ascii="Times New Roman" w:hAnsi="Times New Roman" w:cs="Times New Roman"/>
        </w:rPr>
        <w:t>-</w:t>
      </w:r>
      <w:r w:rsidR="000B1C72" w:rsidRPr="00845CFE">
        <w:rPr>
          <w:rFonts w:ascii="Times New Roman" w:hAnsi="Times New Roman" w:cs="Times New Roman"/>
          <w:vertAlign w:val="superscript"/>
        </w:rPr>
        <w:t>D</w:t>
      </w:r>
      <w:r w:rsidR="000B1C72" w:rsidRPr="00845CFE">
        <w:rPr>
          <w:rFonts w:ascii="Times New Roman" w:hAnsi="Times New Roman" w:cs="Times New Roman"/>
        </w:rPr>
        <w:t xml:space="preserve">T7 </w:t>
      </w:r>
      <w:r w:rsidR="00E064C2" w:rsidRPr="00845CFE">
        <w:rPr>
          <w:rFonts w:ascii="Times New Roman" w:hAnsi="Times New Roman" w:cs="Times New Roman"/>
        </w:rPr>
        <w:t>modification and reached a plateau at around 8%.</w:t>
      </w:r>
      <w:r w:rsidR="00214753">
        <w:rPr>
          <w:rFonts w:ascii="Times New Roman" w:hAnsi="Times New Roman" w:cs="Times New Roman" w:hint="eastAsia"/>
        </w:rPr>
        <w:t xml:space="preserve"> </w:t>
      </w:r>
      <w:r w:rsidR="00214753" w:rsidRPr="00214753">
        <w:rPr>
          <w:rFonts w:ascii="Times New Roman" w:hAnsi="Times New Roman" w:cs="Times New Roman" w:hint="eastAsia"/>
        </w:rPr>
        <w:t xml:space="preserve">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0.05;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0.01;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0.0001; ns, not significant.</w:t>
      </w:r>
    </w:p>
    <w:p w14:paraId="07138017" w14:textId="77777777" w:rsidR="007F4BCC" w:rsidRDefault="007F4BCC" w:rsidP="001778AA">
      <w:pPr>
        <w:spacing w:line="480" w:lineRule="auto"/>
        <w:rPr>
          <w:rFonts w:ascii="Times New Roman" w:hAnsi="Times New Roman" w:cs="Times New Roman"/>
        </w:rPr>
      </w:pPr>
    </w:p>
    <w:p w14:paraId="51E3C18C" w14:textId="1E380353" w:rsidR="007F4BCC" w:rsidRDefault="007F4BCC" w:rsidP="001778AA">
      <w:pPr>
        <w:spacing w:line="480" w:lineRule="auto"/>
        <w:rPr>
          <w:rFonts w:ascii="Times New Roman" w:hAnsi="Times New Roman" w:cs="Times New Roman"/>
        </w:rPr>
      </w:pPr>
      <w:r>
        <w:rPr>
          <w:rFonts w:ascii="Times New Roman" w:hAnsi="Times New Roman" w:cs="Times New Roman"/>
          <w:noProof/>
        </w:rPr>
        <w:drawing>
          <wp:inline distT="0" distB="0" distL="0" distR="0" wp14:anchorId="65E45B12" wp14:editId="2EF580F1">
            <wp:extent cx="5039868" cy="5039868"/>
            <wp:effectExtent l="0" t="0" r="8890" b="8890"/>
            <wp:docPr id="17215953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95351" name="图片 17215953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868" cy="5039868"/>
                    </a:xfrm>
                    <a:prstGeom prst="rect">
                      <a:avLst/>
                    </a:prstGeom>
                  </pic:spPr>
                </pic:pic>
              </a:graphicData>
            </a:graphic>
          </wp:inline>
        </w:drawing>
      </w:r>
    </w:p>
    <w:p w14:paraId="6F470E85" w14:textId="3B0C6F7D" w:rsidR="007F4BCC" w:rsidRPr="00845CFE" w:rsidRDefault="00196184" w:rsidP="001778AA">
      <w:pPr>
        <w:spacing w:line="480" w:lineRule="auto"/>
        <w:rPr>
          <w:rFonts w:ascii="Times New Roman" w:hAnsi="Times New Roman" w:cs="Times New Roman"/>
        </w:rPr>
      </w:pPr>
      <w:r w:rsidRPr="00845CFE">
        <w:rPr>
          <w:rFonts w:ascii="Times New Roman" w:hAnsi="Times New Roman" w:cs="Times New Roman"/>
          <w:b/>
          <w:bCs/>
        </w:rPr>
        <w:t xml:space="preserve">Supplementary Figure </w:t>
      </w:r>
      <w:r>
        <w:rPr>
          <w:rFonts w:ascii="Times New Roman" w:hAnsi="Times New Roman" w:cs="Times New Roman" w:hint="eastAsia"/>
          <w:b/>
          <w:bCs/>
        </w:rPr>
        <w:t>4</w:t>
      </w:r>
      <w:r w:rsidRPr="00845CFE">
        <w:rPr>
          <w:rFonts w:ascii="Times New Roman" w:hAnsi="Times New Roman" w:cs="Times New Roman"/>
          <w:b/>
          <w:bCs/>
        </w:rPr>
        <w:t>.</w:t>
      </w:r>
      <w:r w:rsidRPr="00845CFE">
        <w:rPr>
          <w:rFonts w:ascii="Times New Roman" w:hAnsi="Times New Roman" w:cs="Times New Roman"/>
        </w:rPr>
        <w:t xml:space="preserve"> </w:t>
      </w:r>
      <w:r>
        <w:rPr>
          <w:rFonts w:ascii="Times New Roman" w:hAnsi="Times New Roman" w:cs="Times New Roman"/>
          <w:b/>
          <w:bCs/>
        </w:rPr>
        <w:t>Characterization</w:t>
      </w:r>
      <w:r>
        <w:rPr>
          <w:rFonts w:ascii="Times New Roman" w:hAnsi="Times New Roman" w:cs="Times New Roman" w:hint="eastAsia"/>
          <w:b/>
          <w:bCs/>
        </w:rPr>
        <w:t xml:space="preserve"> of HHT-loaded micelles</w:t>
      </w:r>
      <w:r w:rsidRPr="00845CFE">
        <w:rPr>
          <w:rFonts w:ascii="Times New Roman" w:hAnsi="Times New Roman" w:cs="Times New Roman"/>
          <w:b/>
          <w:bCs/>
        </w:rPr>
        <w:t>.</w:t>
      </w:r>
      <w:r w:rsidRPr="00845CFE">
        <w:rPr>
          <w:rFonts w:ascii="Times New Roman" w:hAnsi="Times New Roman" w:cs="Times New Roman"/>
        </w:rPr>
        <w:t xml:space="preserve"> </w:t>
      </w:r>
      <w:r>
        <w:rPr>
          <w:rFonts w:ascii="Times New Roman" w:hAnsi="Times New Roman" w:cs="Times New Roman"/>
        </w:rPr>
        <w:t>T</w:t>
      </w:r>
      <w:r>
        <w:rPr>
          <w:rFonts w:ascii="Times New Roman" w:hAnsi="Times New Roman" w:cs="Times New Roman" w:hint="eastAsia"/>
        </w:rPr>
        <w:t>he size, PDI, zeta potential and encapsulation rate of DTP/HHT and TDTP/HHT.</w:t>
      </w:r>
    </w:p>
    <w:p w14:paraId="5300C2E0" w14:textId="3121810C" w:rsidR="006D60B3" w:rsidRPr="00845CFE" w:rsidRDefault="00790346" w:rsidP="001778AA">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D606D18" wp14:editId="3DA66F17">
            <wp:extent cx="5274310" cy="3052445"/>
            <wp:effectExtent l="0" t="0" r="2540" b="0"/>
            <wp:docPr id="1383332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3216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052445"/>
                    </a:xfrm>
                    <a:prstGeom prst="rect">
                      <a:avLst/>
                    </a:prstGeom>
                  </pic:spPr>
                </pic:pic>
              </a:graphicData>
            </a:graphic>
          </wp:inline>
        </w:drawing>
      </w:r>
    </w:p>
    <w:p w14:paraId="3E6F3597" w14:textId="006E65DD" w:rsidR="006D60B3" w:rsidRPr="00845CFE" w:rsidRDefault="006D60B3" w:rsidP="001778AA">
      <w:pPr>
        <w:spacing w:line="480" w:lineRule="auto"/>
        <w:rPr>
          <w:rFonts w:ascii="Times New Roman" w:hAnsi="Times New Roman" w:cs="Times New Roman"/>
        </w:rPr>
      </w:pPr>
      <w:bookmarkStart w:id="4" w:name="OLE_LINK22"/>
      <w:r w:rsidRPr="00845CFE">
        <w:rPr>
          <w:rFonts w:ascii="Times New Roman" w:hAnsi="Times New Roman" w:cs="Times New Roman"/>
          <w:b/>
          <w:bCs/>
        </w:rPr>
        <w:t xml:space="preserve">Supplementary </w:t>
      </w:r>
      <w:r w:rsidR="00245EE8" w:rsidRPr="00845CFE">
        <w:rPr>
          <w:rFonts w:ascii="Times New Roman" w:hAnsi="Times New Roman" w:cs="Times New Roman"/>
          <w:b/>
          <w:bCs/>
        </w:rPr>
        <w:t>F</w:t>
      </w:r>
      <w:r w:rsidRPr="00845CFE">
        <w:rPr>
          <w:rFonts w:ascii="Times New Roman" w:hAnsi="Times New Roman" w:cs="Times New Roman"/>
          <w:b/>
          <w:bCs/>
        </w:rPr>
        <w:t xml:space="preserve">igure </w:t>
      </w:r>
      <w:r w:rsidR="00656656">
        <w:rPr>
          <w:rFonts w:ascii="Times New Roman" w:hAnsi="Times New Roman" w:cs="Times New Roman" w:hint="eastAsia"/>
          <w:b/>
          <w:bCs/>
        </w:rPr>
        <w:t>5</w:t>
      </w:r>
      <w:r w:rsidRPr="00845CFE">
        <w:rPr>
          <w:rFonts w:ascii="Times New Roman" w:hAnsi="Times New Roman" w:cs="Times New Roman"/>
          <w:b/>
          <w:bCs/>
        </w:rPr>
        <w:t>.</w:t>
      </w:r>
      <w:bookmarkEnd w:id="4"/>
      <w:r w:rsidR="00E60255" w:rsidRPr="00845CFE">
        <w:rPr>
          <w:rFonts w:ascii="Times New Roman" w:hAnsi="Times New Roman" w:cs="Times New Roman"/>
        </w:rPr>
        <w:t xml:space="preserve"> </w:t>
      </w:r>
      <w:r w:rsidR="00E60255" w:rsidRPr="00845CFE">
        <w:rPr>
          <w:rFonts w:ascii="Times New Roman" w:hAnsi="Times New Roman" w:cs="Times New Roman"/>
          <w:b/>
          <w:bCs/>
        </w:rPr>
        <w:t xml:space="preserve">Morphological changes of HUVEC cells after plasma co-incubation. </w:t>
      </w:r>
      <w:r w:rsidR="00E60255" w:rsidRPr="00845CFE">
        <w:rPr>
          <w:rFonts w:ascii="Times New Roman" w:hAnsi="Times New Roman" w:cs="Times New Roman"/>
        </w:rPr>
        <w:t xml:space="preserve">Compared to the DTP/DiD group, cells in the TDTP/DiD </w:t>
      </w:r>
      <w:r w:rsidR="00417BED">
        <w:rPr>
          <w:rFonts w:ascii="Times New Roman" w:hAnsi="Times New Roman" w:cs="Times New Roman" w:hint="eastAsia"/>
        </w:rPr>
        <w:t>with</w:t>
      </w:r>
      <w:r w:rsidR="00E60255" w:rsidRPr="00845CFE">
        <w:rPr>
          <w:rFonts w:ascii="Times New Roman" w:hAnsi="Times New Roman" w:cs="Times New Roman"/>
        </w:rPr>
        <w:t xml:space="preserve"> plasma group exhibited a transition from adherent to suspended morphology, as observed under microscopy.</w:t>
      </w:r>
    </w:p>
    <w:p w14:paraId="28CBD2F7" w14:textId="2BF99506" w:rsidR="0025282A" w:rsidRPr="00845CFE" w:rsidRDefault="002F5B62" w:rsidP="001778AA">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20D6CCA4" wp14:editId="4EE081FC">
            <wp:extent cx="5274310" cy="5274310"/>
            <wp:effectExtent l="0" t="0" r="2540" b="2540"/>
            <wp:docPr id="16450739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7392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137FC0C3" w14:textId="6AF795BD" w:rsidR="00525D53" w:rsidRPr="00845CFE" w:rsidRDefault="0025282A" w:rsidP="00525D53">
      <w:pPr>
        <w:spacing w:line="480" w:lineRule="auto"/>
        <w:rPr>
          <w:rFonts w:ascii="Times New Roman" w:hAnsi="Times New Roman" w:cs="Times New Roman"/>
        </w:rPr>
      </w:pPr>
      <w:r w:rsidRPr="00845CFE">
        <w:rPr>
          <w:rFonts w:ascii="Times New Roman" w:hAnsi="Times New Roman" w:cs="Times New Roman"/>
          <w:b/>
          <w:bCs/>
        </w:rPr>
        <w:t xml:space="preserve">Supplementary Figure </w:t>
      </w:r>
      <w:r w:rsidR="00656656">
        <w:rPr>
          <w:rFonts w:ascii="Times New Roman" w:hAnsi="Times New Roman" w:cs="Times New Roman" w:hint="eastAsia"/>
          <w:b/>
          <w:bCs/>
        </w:rPr>
        <w:t>6</w:t>
      </w:r>
      <w:r w:rsidRPr="00845CFE">
        <w:rPr>
          <w:rFonts w:ascii="Times New Roman" w:hAnsi="Times New Roman" w:cs="Times New Roman"/>
          <w:b/>
          <w:bCs/>
        </w:rPr>
        <w:t>.</w:t>
      </w:r>
      <w:r w:rsidR="00525D53" w:rsidRPr="00845CFE">
        <w:rPr>
          <w:rFonts w:ascii="Times New Roman" w:hAnsi="Times New Roman" w:cs="Times New Roman"/>
          <w:b/>
          <w:bCs/>
        </w:rPr>
        <w:t xml:space="preserve"> Evidence of </w:t>
      </w:r>
      <w:r w:rsidR="00525D53" w:rsidRPr="00AA3A8E">
        <w:rPr>
          <w:rFonts w:ascii="Times New Roman" w:hAnsi="Times New Roman" w:cs="Times New Roman"/>
          <w:b/>
          <w:bCs/>
          <w:vertAlign w:val="superscript"/>
        </w:rPr>
        <w:t>D</w:t>
      </w:r>
      <w:r w:rsidR="00525D53" w:rsidRPr="00845CFE">
        <w:rPr>
          <w:rFonts w:ascii="Times New Roman" w:hAnsi="Times New Roman" w:cs="Times New Roman"/>
          <w:b/>
          <w:bCs/>
        </w:rPr>
        <w:t>T7 targeting ability and non-Tf competitive binding.</w:t>
      </w:r>
      <w:r w:rsidR="00525D53" w:rsidRPr="00845CFE">
        <w:rPr>
          <w:rFonts w:ascii="Times New Roman" w:hAnsi="Times New Roman" w:cs="Times New Roman"/>
        </w:rPr>
        <w:t xml:space="preserve"> </w:t>
      </w:r>
      <w:r w:rsidR="001812C2" w:rsidRPr="000F1239">
        <w:rPr>
          <w:rFonts w:ascii="Times New Roman" w:hAnsi="Times New Roman" w:cs="Times New Roman" w:hint="eastAsia"/>
        </w:rPr>
        <w:t xml:space="preserve">Representative flow cytometry histograms of </w:t>
      </w:r>
      <w:r w:rsidR="001812C2">
        <w:rPr>
          <w:rFonts w:ascii="Times New Roman" w:hAnsi="Times New Roman" w:cs="Times New Roman" w:hint="eastAsia"/>
        </w:rPr>
        <w:t>MV4-11</w:t>
      </w:r>
      <w:r w:rsidR="001812C2" w:rsidRPr="000F1239">
        <w:rPr>
          <w:rFonts w:ascii="Times New Roman" w:hAnsi="Times New Roman" w:cs="Times New Roman" w:hint="eastAsia"/>
        </w:rPr>
        <w:t xml:space="preserve"> (</w:t>
      </w:r>
      <w:r w:rsidR="001812C2">
        <w:rPr>
          <w:rFonts w:ascii="Times New Roman" w:hAnsi="Times New Roman" w:cs="Times New Roman" w:hint="eastAsia"/>
        </w:rPr>
        <w:t>A</w:t>
      </w:r>
      <w:r w:rsidR="001812C2" w:rsidRPr="000F1239">
        <w:rPr>
          <w:rFonts w:ascii="Times New Roman" w:hAnsi="Times New Roman" w:cs="Times New Roman" w:hint="eastAsia"/>
        </w:rPr>
        <w:t xml:space="preserve">) </w:t>
      </w:r>
      <w:r w:rsidR="001812C2">
        <w:rPr>
          <w:rFonts w:ascii="Times New Roman" w:hAnsi="Times New Roman" w:cs="Times New Roman" w:hint="eastAsia"/>
        </w:rPr>
        <w:t>and HEL</w:t>
      </w:r>
      <w:r w:rsidR="001812C2" w:rsidRPr="000F1239">
        <w:rPr>
          <w:rFonts w:ascii="Times New Roman" w:hAnsi="Times New Roman" w:cs="Times New Roman" w:hint="eastAsia"/>
        </w:rPr>
        <w:t xml:space="preserve"> (</w:t>
      </w:r>
      <w:r w:rsidR="001812C2">
        <w:rPr>
          <w:rFonts w:ascii="Times New Roman" w:hAnsi="Times New Roman" w:cs="Times New Roman" w:hint="eastAsia"/>
        </w:rPr>
        <w:t>C</w:t>
      </w:r>
      <w:r w:rsidR="001812C2" w:rsidRPr="000F1239">
        <w:rPr>
          <w:rFonts w:ascii="Times New Roman" w:hAnsi="Times New Roman" w:cs="Times New Roman" w:hint="eastAsia"/>
        </w:rPr>
        <w:t xml:space="preserve">) in different groups. Quantification of DiD-positive rates from </w:t>
      </w:r>
      <w:r w:rsidR="001812C2">
        <w:rPr>
          <w:rFonts w:ascii="Times New Roman" w:hAnsi="Times New Roman" w:cs="Times New Roman" w:hint="eastAsia"/>
        </w:rPr>
        <w:t>MV4-11</w:t>
      </w:r>
      <w:r w:rsidR="001812C2" w:rsidRPr="000F1239">
        <w:rPr>
          <w:rFonts w:ascii="Times New Roman" w:hAnsi="Times New Roman" w:cs="Times New Roman" w:hint="eastAsia"/>
        </w:rPr>
        <w:t xml:space="preserve"> (</w:t>
      </w:r>
      <w:r w:rsidR="001812C2">
        <w:rPr>
          <w:rFonts w:ascii="Times New Roman" w:hAnsi="Times New Roman" w:cs="Times New Roman" w:hint="eastAsia"/>
        </w:rPr>
        <w:t>B</w:t>
      </w:r>
      <w:r w:rsidR="001812C2" w:rsidRPr="000F1239">
        <w:rPr>
          <w:rFonts w:ascii="Times New Roman" w:hAnsi="Times New Roman" w:cs="Times New Roman" w:hint="eastAsia"/>
        </w:rPr>
        <w:t xml:space="preserve">) </w:t>
      </w:r>
      <w:r w:rsidR="001812C2">
        <w:rPr>
          <w:rFonts w:ascii="Times New Roman" w:hAnsi="Times New Roman" w:cs="Times New Roman" w:hint="eastAsia"/>
        </w:rPr>
        <w:t>and HEL</w:t>
      </w:r>
      <w:r w:rsidR="001812C2" w:rsidRPr="000F1239">
        <w:rPr>
          <w:rFonts w:ascii="Times New Roman" w:hAnsi="Times New Roman" w:cs="Times New Roman" w:hint="eastAsia"/>
        </w:rPr>
        <w:t xml:space="preserve"> (D)</w:t>
      </w:r>
      <w:r w:rsidR="001812C2">
        <w:rPr>
          <w:rFonts w:ascii="Times New Roman" w:hAnsi="Times New Roman" w:cs="Times New Roman" w:hint="eastAsia"/>
        </w:rPr>
        <w:t xml:space="preserve">. </w:t>
      </w:r>
      <w:r w:rsidR="00525D53" w:rsidRPr="00845CFE">
        <w:rPr>
          <w:rFonts w:ascii="Times New Roman" w:hAnsi="Times New Roman" w:cs="Times New Roman"/>
        </w:rPr>
        <w:t xml:space="preserve">Confocal microscopy images of </w:t>
      </w:r>
      <w:r w:rsidR="001812C2" w:rsidRPr="00845CFE">
        <w:rPr>
          <w:rFonts w:ascii="Times New Roman" w:hAnsi="Times New Roman" w:cs="Times New Roman"/>
        </w:rPr>
        <w:t>MV4-11 (</w:t>
      </w:r>
      <w:r w:rsidR="001812C2">
        <w:rPr>
          <w:rFonts w:ascii="Times New Roman" w:hAnsi="Times New Roman" w:cs="Times New Roman" w:hint="eastAsia"/>
        </w:rPr>
        <w:t>E</w:t>
      </w:r>
      <w:r w:rsidR="001812C2" w:rsidRPr="00845CFE">
        <w:rPr>
          <w:rFonts w:ascii="Times New Roman" w:hAnsi="Times New Roman" w:cs="Times New Roman"/>
        </w:rPr>
        <w:t>)</w:t>
      </w:r>
      <w:r w:rsidR="00525D53" w:rsidRPr="00845CFE">
        <w:rPr>
          <w:rFonts w:ascii="Times New Roman" w:hAnsi="Times New Roman" w:cs="Times New Roman"/>
        </w:rPr>
        <w:t xml:space="preserve"> </w:t>
      </w:r>
      <w:r w:rsidR="001812C2" w:rsidRPr="00845CFE">
        <w:rPr>
          <w:rFonts w:ascii="Times New Roman" w:hAnsi="Times New Roman" w:cs="Times New Roman"/>
        </w:rPr>
        <w:t>and HEL (</w:t>
      </w:r>
      <w:r w:rsidR="001812C2">
        <w:rPr>
          <w:rFonts w:ascii="Times New Roman" w:hAnsi="Times New Roman" w:cs="Times New Roman" w:hint="eastAsia"/>
        </w:rPr>
        <w:t>F</w:t>
      </w:r>
      <w:r w:rsidR="001812C2" w:rsidRPr="00845CFE">
        <w:rPr>
          <w:rFonts w:ascii="Times New Roman" w:hAnsi="Times New Roman" w:cs="Times New Roman"/>
        </w:rPr>
        <w:t>)</w:t>
      </w:r>
      <w:r w:rsidR="00525D53" w:rsidRPr="00845CFE">
        <w:rPr>
          <w:rFonts w:ascii="Times New Roman" w:hAnsi="Times New Roman" w:cs="Times New Roman"/>
        </w:rPr>
        <w:t xml:space="preserve"> cells treated with DiD-labeled micelles.</w:t>
      </w:r>
      <w:r w:rsidR="00214753">
        <w:rPr>
          <w:rFonts w:ascii="Times New Roman" w:hAnsi="Times New Roman" w:cs="Times New Roman" w:hint="eastAsia"/>
        </w:rPr>
        <w:t xml:space="preserve"> </w:t>
      </w:r>
      <w:r w:rsidR="00214753" w:rsidRPr="00214753">
        <w:rPr>
          <w:rFonts w:ascii="Times New Roman" w:hAnsi="Times New Roman" w:cs="Times New Roman" w:hint="eastAsia"/>
        </w:rPr>
        <w:t xml:space="preserve">*,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0.05;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0.01; ***, </w:t>
      </w:r>
      <w:r w:rsidR="00214753" w:rsidRPr="00214753">
        <w:rPr>
          <w:rFonts w:ascii="Times New Roman" w:hAnsi="Times New Roman" w:cs="Times New Roman" w:hint="eastAsia"/>
          <w:i/>
          <w:iCs/>
        </w:rPr>
        <w:t xml:space="preserve">p </w:t>
      </w:r>
      <w:r w:rsidR="00214753" w:rsidRPr="00214753">
        <w:rPr>
          <w:rFonts w:ascii="Times New Roman" w:hAnsi="Times New Roman" w:cs="Times New Roman" w:hint="eastAsia"/>
        </w:rPr>
        <w:t xml:space="preserve">&lt; 0.001;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0.0001; ns, not significant.</w:t>
      </w:r>
    </w:p>
    <w:p w14:paraId="11CF8CD8" w14:textId="2712A546" w:rsidR="0025282A" w:rsidRPr="00845CFE" w:rsidRDefault="0025282A" w:rsidP="001778AA">
      <w:pPr>
        <w:spacing w:line="480" w:lineRule="auto"/>
        <w:rPr>
          <w:rFonts w:ascii="Times New Roman" w:hAnsi="Times New Roman" w:cs="Times New Roman"/>
        </w:rPr>
      </w:pPr>
    </w:p>
    <w:p w14:paraId="1DC4A495" w14:textId="0B013C79" w:rsidR="00E02AA7" w:rsidRPr="00845CFE" w:rsidRDefault="007F4BCC" w:rsidP="001778AA">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979B716" wp14:editId="0C0F14EB">
            <wp:extent cx="5274310" cy="2968625"/>
            <wp:effectExtent l="0" t="0" r="2540" b="3175"/>
            <wp:docPr id="4356199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1992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8625"/>
                    </a:xfrm>
                    <a:prstGeom prst="rect">
                      <a:avLst/>
                    </a:prstGeom>
                  </pic:spPr>
                </pic:pic>
              </a:graphicData>
            </a:graphic>
          </wp:inline>
        </w:drawing>
      </w:r>
    </w:p>
    <w:p w14:paraId="09E8AE31" w14:textId="561B0AF7" w:rsidR="006D60B3" w:rsidRPr="00845CFE" w:rsidRDefault="00E02AA7" w:rsidP="001778AA">
      <w:pPr>
        <w:spacing w:line="480" w:lineRule="auto"/>
        <w:rPr>
          <w:rFonts w:ascii="Times New Roman" w:hAnsi="Times New Roman" w:cs="Times New Roman"/>
        </w:rPr>
      </w:pPr>
      <w:r w:rsidRPr="00845CFE">
        <w:rPr>
          <w:rFonts w:ascii="Times New Roman" w:hAnsi="Times New Roman" w:cs="Times New Roman"/>
          <w:b/>
          <w:bCs/>
        </w:rPr>
        <w:t xml:space="preserve">Supplementary Figure </w:t>
      </w:r>
      <w:r w:rsidR="00B72453">
        <w:rPr>
          <w:rFonts w:ascii="Times New Roman" w:hAnsi="Times New Roman" w:cs="Times New Roman" w:hint="eastAsia"/>
          <w:b/>
          <w:bCs/>
        </w:rPr>
        <w:t>7</w:t>
      </w:r>
      <w:r w:rsidRPr="00845CFE">
        <w:rPr>
          <w:rFonts w:ascii="Times New Roman" w:hAnsi="Times New Roman" w:cs="Times New Roman"/>
          <w:b/>
          <w:bCs/>
        </w:rPr>
        <w:t>.</w:t>
      </w:r>
      <w:r w:rsidRPr="003F5186">
        <w:rPr>
          <w:rFonts w:ascii="Times New Roman" w:hAnsi="Times New Roman" w:cs="Times New Roman"/>
          <w:i/>
          <w:iCs/>
        </w:rPr>
        <w:t xml:space="preserve"> </w:t>
      </w:r>
      <w:r w:rsidRPr="003F5186">
        <w:rPr>
          <w:rFonts w:ascii="Times New Roman" w:hAnsi="Times New Roman" w:cs="Times New Roman"/>
          <w:b/>
          <w:bCs/>
          <w:i/>
          <w:iCs/>
        </w:rPr>
        <w:t>Ex vivo</w:t>
      </w:r>
      <w:r w:rsidRPr="00845CFE">
        <w:rPr>
          <w:rFonts w:ascii="Times New Roman" w:hAnsi="Times New Roman" w:cs="Times New Roman"/>
          <w:b/>
          <w:bCs/>
        </w:rPr>
        <w:t xml:space="preserve"> fluorescence imaging of tumors and major organs at 48 h in subcutaneous </w:t>
      </w:r>
      <w:r w:rsidR="00B72453">
        <w:rPr>
          <w:rFonts w:ascii="Times New Roman" w:hAnsi="Times New Roman" w:cs="Times New Roman" w:hint="eastAsia"/>
          <w:b/>
          <w:bCs/>
        </w:rPr>
        <w:t>AML</w:t>
      </w:r>
      <w:r w:rsidRPr="00845CFE">
        <w:rPr>
          <w:rFonts w:ascii="Times New Roman" w:hAnsi="Times New Roman" w:cs="Times New Roman"/>
          <w:b/>
          <w:bCs/>
        </w:rPr>
        <w:t xml:space="preserve"> mice. </w:t>
      </w:r>
      <w:r w:rsidRPr="00845CFE">
        <w:rPr>
          <w:rFonts w:ascii="Times New Roman" w:hAnsi="Times New Roman" w:cs="Times New Roman"/>
        </w:rPr>
        <w:t>Mice treated with TDTP/DiD exhibited stronger fluorescence signals in tumors and major organs compared to the DTP/DiD group. These results suggest that TDTP micelles possess tumor-targeting ability and prolonged circulation time.</w:t>
      </w:r>
    </w:p>
    <w:p w14:paraId="7FC1D50C" w14:textId="77777777" w:rsidR="00DC0C55" w:rsidRPr="00845CFE" w:rsidRDefault="00DC0C55" w:rsidP="001778AA">
      <w:pPr>
        <w:spacing w:line="480" w:lineRule="auto"/>
        <w:rPr>
          <w:rFonts w:ascii="Times New Roman" w:hAnsi="Times New Roman" w:cs="Times New Roman"/>
        </w:rPr>
      </w:pPr>
    </w:p>
    <w:p w14:paraId="77F0AB66" w14:textId="44F4A1D0" w:rsidR="00DC0C55" w:rsidRPr="00845CFE" w:rsidRDefault="007F4BCC" w:rsidP="001778AA">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7F0719D" wp14:editId="47A7D123">
            <wp:extent cx="5039868" cy="4319016"/>
            <wp:effectExtent l="0" t="0" r="8890" b="5715"/>
            <wp:docPr id="7106146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1462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868" cy="4319016"/>
                    </a:xfrm>
                    <a:prstGeom prst="rect">
                      <a:avLst/>
                    </a:prstGeom>
                  </pic:spPr>
                </pic:pic>
              </a:graphicData>
            </a:graphic>
          </wp:inline>
        </w:drawing>
      </w:r>
    </w:p>
    <w:p w14:paraId="12459F07" w14:textId="0C06B3EE" w:rsidR="00DC0C55" w:rsidRDefault="00DC0C55" w:rsidP="00DC0C55">
      <w:pPr>
        <w:spacing w:line="480" w:lineRule="auto"/>
        <w:rPr>
          <w:rFonts w:ascii="Times New Roman" w:hAnsi="Times New Roman" w:cs="Times New Roman"/>
        </w:rPr>
      </w:pPr>
      <w:r w:rsidRPr="00845CFE">
        <w:rPr>
          <w:rFonts w:ascii="Times New Roman" w:hAnsi="Times New Roman" w:cs="Times New Roman"/>
          <w:b/>
          <w:bCs/>
        </w:rPr>
        <w:t xml:space="preserve">Supplementary Figure </w:t>
      </w:r>
      <w:r w:rsidR="00F358A7">
        <w:rPr>
          <w:rFonts w:ascii="Times New Roman" w:hAnsi="Times New Roman" w:cs="Times New Roman" w:hint="eastAsia"/>
          <w:b/>
          <w:bCs/>
        </w:rPr>
        <w:t>8</w:t>
      </w:r>
      <w:r w:rsidRPr="00845CFE">
        <w:rPr>
          <w:rFonts w:ascii="Times New Roman" w:hAnsi="Times New Roman" w:cs="Times New Roman"/>
          <w:b/>
          <w:bCs/>
        </w:rPr>
        <w:t>.</w:t>
      </w:r>
      <w:r w:rsidRPr="00845CFE">
        <w:rPr>
          <w:rFonts w:ascii="Times New Roman" w:hAnsi="Times New Roman" w:cs="Times New Roman"/>
        </w:rPr>
        <w:t xml:space="preserve"> </w:t>
      </w:r>
      <w:r w:rsidR="00F358A7" w:rsidRPr="00F358A7">
        <w:rPr>
          <w:rFonts w:ascii="Times New Roman" w:hAnsi="Times New Roman" w:cs="Times New Roman" w:hint="eastAsia"/>
          <w:b/>
          <w:bCs/>
        </w:rPr>
        <w:t>S</w:t>
      </w:r>
      <w:r w:rsidR="006D4BC3" w:rsidRPr="00F358A7">
        <w:rPr>
          <w:rFonts w:ascii="Times New Roman" w:hAnsi="Times New Roman" w:cs="Times New Roman"/>
          <w:b/>
          <w:bCs/>
        </w:rPr>
        <w:t>u</w:t>
      </w:r>
      <w:r w:rsidR="006D4BC3" w:rsidRPr="00845CFE">
        <w:rPr>
          <w:rFonts w:ascii="Times New Roman" w:hAnsi="Times New Roman" w:cs="Times New Roman"/>
          <w:b/>
          <w:bCs/>
        </w:rPr>
        <w:t xml:space="preserve">perior anti-AML efficacy </w:t>
      </w:r>
      <w:r w:rsidR="00F358A7">
        <w:rPr>
          <w:rFonts w:ascii="Times New Roman" w:hAnsi="Times New Roman" w:cs="Times New Roman" w:hint="eastAsia"/>
          <w:b/>
          <w:bCs/>
        </w:rPr>
        <w:t xml:space="preserve">of </w:t>
      </w:r>
      <w:r w:rsidR="00F358A7" w:rsidRPr="00845CFE">
        <w:rPr>
          <w:rFonts w:ascii="Times New Roman" w:hAnsi="Times New Roman" w:cs="Times New Roman"/>
          <w:b/>
          <w:bCs/>
        </w:rPr>
        <w:t xml:space="preserve">TDTP/HHT </w:t>
      </w:r>
      <w:r w:rsidR="006D4BC3" w:rsidRPr="00845CFE">
        <w:rPr>
          <w:rFonts w:ascii="Times New Roman" w:hAnsi="Times New Roman" w:cs="Times New Roman"/>
          <w:b/>
          <w:bCs/>
        </w:rPr>
        <w:t>compared to</w:t>
      </w:r>
      <w:r w:rsidRPr="00845CFE">
        <w:rPr>
          <w:rFonts w:ascii="Times New Roman" w:hAnsi="Times New Roman" w:cs="Times New Roman"/>
          <w:b/>
          <w:bCs/>
        </w:rPr>
        <w:t xml:space="preserve"> Free HHT and DTP/HHT in </w:t>
      </w:r>
      <w:r w:rsidR="00F358A7">
        <w:rPr>
          <w:rFonts w:ascii="Times New Roman" w:hAnsi="Times New Roman" w:cs="Times New Roman" w:hint="eastAsia"/>
          <w:b/>
          <w:bCs/>
        </w:rPr>
        <w:t xml:space="preserve">FLT3-ITD </w:t>
      </w:r>
      <w:r w:rsidRPr="00845CFE">
        <w:rPr>
          <w:rFonts w:ascii="Times New Roman" w:hAnsi="Times New Roman" w:cs="Times New Roman"/>
          <w:b/>
          <w:bCs/>
        </w:rPr>
        <w:t>AML cell</w:t>
      </w:r>
      <w:r w:rsidR="00F358A7">
        <w:rPr>
          <w:rFonts w:ascii="Times New Roman" w:hAnsi="Times New Roman" w:cs="Times New Roman" w:hint="eastAsia"/>
          <w:b/>
          <w:bCs/>
        </w:rPr>
        <w:t>s</w:t>
      </w:r>
      <w:r w:rsidRPr="00845CFE">
        <w:rPr>
          <w:rFonts w:ascii="Times New Roman" w:hAnsi="Times New Roman" w:cs="Times New Roman"/>
          <w:b/>
          <w:bCs/>
        </w:rPr>
        <w:t xml:space="preserve">. </w:t>
      </w:r>
      <w:bookmarkStart w:id="5" w:name="_Hlk211436385"/>
      <w:r w:rsidR="006D4BC3" w:rsidRPr="00845CFE">
        <w:rPr>
          <w:rFonts w:ascii="Times New Roman" w:hAnsi="Times New Roman" w:cs="Times New Roman"/>
        </w:rPr>
        <w:t>MTT assays of MOLM-13, and MV4-11 cells incubated with different HHT formulations for 24 or 72 hours.</w:t>
      </w:r>
      <w:bookmarkEnd w:id="5"/>
      <w:r w:rsidR="00214753">
        <w:rPr>
          <w:rFonts w:ascii="Times New Roman" w:hAnsi="Times New Roman" w:cs="Times New Roman" w:hint="eastAsia"/>
        </w:rPr>
        <w:t xml:space="preserve"> </w:t>
      </w:r>
      <w:r w:rsidR="00214753" w:rsidRPr="00214753">
        <w:rPr>
          <w:rFonts w:ascii="Times New Roman" w:hAnsi="Times New Roman" w:cs="Times New Roman" w:hint="eastAsia"/>
        </w:rPr>
        <w:t xml:space="preserve">*,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0.05;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0.01; ***, </w:t>
      </w:r>
      <w:r w:rsidR="00214753" w:rsidRPr="00214753">
        <w:rPr>
          <w:rFonts w:ascii="Times New Roman" w:hAnsi="Times New Roman" w:cs="Times New Roman" w:hint="eastAsia"/>
          <w:i/>
          <w:iCs/>
        </w:rPr>
        <w:t xml:space="preserve">p </w:t>
      </w:r>
      <w:r w:rsidR="00214753" w:rsidRPr="00214753">
        <w:rPr>
          <w:rFonts w:ascii="Times New Roman" w:hAnsi="Times New Roman" w:cs="Times New Roman" w:hint="eastAsia"/>
        </w:rPr>
        <w:t xml:space="preserve">&lt; 0.001;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0.0001; ns, not significant.</w:t>
      </w:r>
    </w:p>
    <w:p w14:paraId="2BAD8966" w14:textId="77777777" w:rsidR="00F358A7" w:rsidRPr="00845CFE" w:rsidRDefault="00F358A7" w:rsidP="00DC0C55">
      <w:pPr>
        <w:spacing w:line="480" w:lineRule="auto"/>
        <w:rPr>
          <w:rFonts w:ascii="Times New Roman" w:hAnsi="Times New Roman" w:cs="Times New Roman"/>
        </w:rPr>
      </w:pPr>
    </w:p>
    <w:p w14:paraId="7576E6FE" w14:textId="77777777" w:rsidR="00F358A7" w:rsidRPr="00242ACC" w:rsidRDefault="00F358A7" w:rsidP="00F358A7">
      <w:pPr>
        <w:spacing w:line="480" w:lineRule="auto"/>
        <w:jc w:val="center"/>
        <w:rPr>
          <w:rFonts w:ascii="Times New Roman" w:hAnsi="Times New Roman" w:cs="Times New Roman"/>
          <w:b/>
          <w:bCs/>
        </w:rPr>
      </w:pPr>
      <w:r w:rsidRPr="00242ACC">
        <w:rPr>
          <w:rFonts w:ascii="Times New Roman" w:hAnsi="Times New Roman" w:cs="Times New Roman"/>
          <w:b/>
          <w:bCs/>
        </w:rPr>
        <w:t xml:space="preserve">Supplementary Table </w:t>
      </w:r>
      <w:r>
        <w:rPr>
          <w:rFonts w:ascii="Times New Roman" w:hAnsi="Times New Roman" w:cs="Times New Roman" w:hint="eastAsia"/>
          <w:b/>
          <w:bCs/>
        </w:rPr>
        <w:t>2</w:t>
      </w:r>
      <w:r w:rsidRPr="00242ACC">
        <w:rPr>
          <w:rFonts w:ascii="Times New Roman" w:hAnsi="Times New Roman" w:cs="Times New Roman"/>
          <w:b/>
          <w:bCs/>
        </w:rPr>
        <w:t>. IC₅₀ (nM) of MOLM-13 treated with different HHT formulations.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F358A7" w:rsidRPr="00242ACC" w14:paraId="53C4EB4A" w14:textId="77777777" w:rsidTr="00A40A68">
        <w:trPr>
          <w:jc w:val="center"/>
        </w:trPr>
        <w:tc>
          <w:tcPr>
            <w:tcW w:w="2074" w:type="dxa"/>
            <w:tcBorders>
              <w:top w:val="single" w:sz="4" w:space="0" w:color="auto"/>
              <w:bottom w:val="single" w:sz="4" w:space="0" w:color="auto"/>
              <w:tl2br w:val="single" w:sz="4" w:space="0" w:color="auto"/>
            </w:tcBorders>
          </w:tcPr>
          <w:p w14:paraId="6D888440" w14:textId="77777777" w:rsidR="00F358A7" w:rsidRPr="00242ACC" w:rsidRDefault="00F358A7" w:rsidP="00A40A68">
            <w:pPr>
              <w:spacing w:line="480" w:lineRule="auto"/>
              <w:rPr>
                <w:rFonts w:ascii="Times New Roman" w:hAnsi="Times New Roman" w:cs="Times New Roman"/>
                <w:b/>
                <w:bCs/>
                <w:sz w:val="24"/>
                <w:szCs w:val="24"/>
                <w:vertAlign w:val="subscript"/>
              </w:rPr>
            </w:pPr>
            <w:r w:rsidRPr="00242ACC">
              <w:rPr>
                <w:rFonts w:ascii="Times New Roman" w:hAnsi="Times New Roman" w:cs="Times New Roman"/>
                <w:b/>
                <w:bCs/>
                <w:sz w:val="24"/>
                <w:szCs w:val="24"/>
                <w:vertAlign w:val="subscript"/>
              </w:rPr>
              <w:t xml:space="preserve">Time (h)          </w:t>
            </w:r>
            <w:r w:rsidRPr="00242ACC">
              <w:rPr>
                <w:rFonts w:ascii="Times New Roman" w:hAnsi="Times New Roman" w:cs="Times New Roman"/>
                <w:b/>
                <w:bCs/>
                <w:sz w:val="24"/>
                <w:szCs w:val="24"/>
                <w:vertAlign w:val="superscript"/>
              </w:rPr>
              <w:t>Group</w:t>
            </w:r>
          </w:p>
        </w:tc>
        <w:tc>
          <w:tcPr>
            <w:tcW w:w="2074" w:type="dxa"/>
            <w:tcBorders>
              <w:top w:val="single" w:sz="4" w:space="0" w:color="auto"/>
              <w:bottom w:val="single" w:sz="4" w:space="0" w:color="auto"/>
            </w:tcBorders>
          </w:tcPr>
          <w:p w14:paraId="29468443" w14:textId="77777777" w:rsidR="00F358A7" w:rsidRPr="00242ACC" w:rsidRDefault="00F358A7" w:rsidP="00A40A68">
            <w:pPr>
              <w:spacing w:line="480" w:lineRule="auto"/>
              <w:jc w:val="center"/>
              <w:rPr>
                <w:rFonts w:ascii="Times New Roman" w:hAnsi="Times New Roman" w:cs="Times New Roman"/>
                <w:b/>
                <w:bCs/>
              </w:rPr>
            </w:pPr>
            <w:r w:rsidRPr="00242ACC">
              <w:rPr>
                <w:rFonts w:ascii="Times New Roman" w:hAnsi="Times New Roman" w:cs="Times New Roman"/>
                <w:b/>
                <w:bCs/>
              </w:rPr>
              <w:t>Free HHT</w:t>
            </w:r>
          </w:p>
        </w:tc>
        <w:tc>
          <w:tcPr>
            <w:tcW w:w="2074" w:type="dxa"/>
            <w:tcBorders>
              <w:top w:val="single" w:sz="4" w:space="0" w:color="auto"/>
              <w:bottom w:val="single" w:sz="4" w:space="0" w:color="auto"/>
            </w:tcBorders>
          </w:tcPr>
          <w:p w14:paraId="114CBF4E" w14:textId="77777777" w:rsidR="00F358A7" w:rsidRPr="00242ACC" w:rsidRDefault="00F358A7" w:rsidP="00A40A68">
            <w:pPr>
              <w:spacing w:line="480" w:lineRule="auto"/>
              <w:jc w:val="center"/>
              <w:rPr>
                <w:rFonts w:ascii="Times New Roman" w:hAnsi="Times New Roman" w:cs="Times New Roman"/>
                <w:b/>
                <w:bCs/>
              </w:rPr>
            </w:pPr>
            <w:r w:rsidRPr="00242ACC">
              <w:rPr>
                <w:rFonts w:ascii="Times New Roman" w:hAnsi="Times New Roman" w:cs="Times New Roman"/>
                <w:b/>
                <w:bCs/>
              </w:rPr>
              <w:t>DTP/HHT</w:t>
            </w:r>
          </w:p>
        </w:tc>
        <w:tc>
          <w:tcPr>
            <w:tcW w:w="2074" w:type="dxa"/>
            <w:tcBorders>
              <w:top w:val="single" w:sz="4" w:space="0" w:color="auto"/>
              <w:bottom w:val="single" w:sz="4" w:space="0" w:color="auto"/>
            </w:tcBorders>
          </w:tcPr>
          <w:p w14:paraId="4853D952" w14:textId="77777777" w:rsidR="00F358A7" w:rsidRPr="00242ACC" w:rsidRDefault="00F358A7" w:rsidP="00A40A68">
            <w:pPr>
              <w:spacing w:line="480" w:lineRule="auto"/>
              <w:jc w:val="center"/>
              <w:rPr>
                <w:rFonts w:ascii="Times New Roman" w:hAnsi="Times New Roman" w:cs="Times New Roman"/>
                <w:b/>
                <w:bCs/>
              </w:rPr>
            </w:pPr>
            <w:r w:rsidRPr="00242ACC">
              <w:rPr>
                <w:rFonts w:ascii="Times New Roman" w:hAnsi="Times New Roman" w:cs="Times New Roman"/>
                <w:b/>
                <w:bCs/>
              </w:rPr>
              <w:t>TDTP/HHT</w:t>
            </w:r>
          </w:p>
        </w:tc>
      </w:tr>
      <w:tr w:rsidR="00F358A7" w:rsidRPr="00242ACC" w14:paraId="18A59874" w14:textId="77777777" w:rsidTr="00A40A68">
        <w:trPr>
          <w:jc w:val="center"/>
        </w:trPr>
        <w:tc>
          <w:tcPr>
            <w:tcW w:w="2074" w:type="dxa"/>
            <w:tcBorders>
              <w:top w:val="single" w:sz="4" w:space="0" w:color="auto"/>
            </w:tcBorders>
          </w:tcPr>
          <w:p w14:paraId="4483612E"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24</w:t>
            </w:r>
          </w:p>
        </w:tc>
        <w:tc>
          <w:tcPr>
            <w:tcW w:w="2074" w:type="dxa"/>
            <w:tcBorders>
              <w:top w:val="single" w:sz="4" w:space="0" w:color="auto"/>
            </w:tcBorders>
          </w:tcPr>
          <w:p w14:paraId="7F33FFBE"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13.1</w:t>
            </w:r>
          </w:p>
        </w:tc>
        <w:tc>
          <w:tcPr>
            <w:tcW w:w="2074" w:type="dxa"/>
            <w:tcBorders>
              <w:top w:val="single" w:sz="4" w:space="0" w:color="auto"/>
            </w:tcBorders>
          </w:tcPr>
          <w:p w14:paraId="08E71AA8"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14.3</w:t>
            </w:r>
          </w:p>
        </w:tc>
        <w:tc>
          <w:tcPr>
            <w:tcW w:w="2074" w:type="dxa"/>
            <w:tcBorders>
              <w:top w:val="single" w:sz="4" w:space="0" w:color="auto"/>
            </w:tcBorders>
          </w:tcPr>
          <w:p w14:paraId="24F6519C"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8.1</w:t>
            </w:r>
          </w:p>
        </w:tc>
      </w:tr>
      <w:tr w:rsidR="00F358A7" w:rsidRPr="00242ACC" w14:paraId="1B7E94F6" w14:textId="77777777" w:rsidTr="00A40A68">
        <w:trPr>
          <w:jc w:val="center"/>
        </w:trPr>
        <w:tc>
          <w:tcPr>
            <w:tcW w:w="2074" w:type="dxa"/>
          </w:tcPr>
          <w:p w14:paraId="23D65842"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48</w:t>
            </w:r>
          </w:p>
        </w:tc>
        <w:tc>
          <w:tcPr>
            <w:tcW w:w="2074" w:type="dxa"/>
          </w:tcPr>
          <w:p w14:paraId="7104A5B4"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11.8</w:t>
            </w:r>
          </w:p>
        </w:tc>
        <w:tc>
          <w:tcPr>
            <w:tcW w:w="2074" w:type="dxa"/>
          </w:tcPr>
          <w:p w14:paraId="5A55E067"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12.6</w:t>
            </w:r>
          </w:p>
        </w:tc>
        <w:tc>
          <w:tcPr>
            <w:tcW w:w="2074" w:type="dxa"/>
          </w:tcPr>
          <w:p w14:paraId="2B8EAC8E"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7.5</w:t>
            </w:r>
          </w:p>
        </w:tc>
      </w:tr>
      <w:tr w:rsidR="00F358A7" w:rsidRPr="00242ACC" w14:paraId="0522367E" w14:textId="77777777" w:rsidTr="00A40A68">
        <w:trPr>
          <w:jc w:val="center"/>
        </w:trPr>
        <w:tc>
          <w:tcPr>
            <w:tcW w:w="2074" w:type="dxa"/>
          </w:tcPr>
          <w:p w14:paraId="62255EE2"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72</w:t>
            </w:r>
          </w:p>
        </w:tc>
        <w:tc>
          <w:tcPr>
            <w:tcW w:w="2074" w:type="dxa"/>
          </w:tcPr>
          <w:p w14:paraId="4EB5E2CF"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12.7</w:t>
            </w:r>
          </w:p>
        </w:tc>
        <w:tc>
          <w:tcPr>
            <w:tcW w:w="2074" w:type="dxa"/>
          </w:tcPr>
          <w:p w14:paraId="32CB0FD1"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12.8</w:t>
            </w:r>
          </w:p>
        </w:tc>
        <w:tc>
          <w:tcPr>
            <w:tcW w:w="2074" w:type="dxa"/>
          </w:tcPr>
          <w:p w14:paraId="332A9EFE"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7.5</w:t>
            </w:r>
          </w:p>
        </w:tc>
      </w:tr>
    </w:tbl>
    <w:p w14:paraId="0C912671" w14:textId="77777777" w:rsidR="00F358A7" w:rsidRDefault="00F358A7" w:rsidP="00F358A7">
      <w:pPr>
        <w:spacing w:line="480" w:lineRule="auto"/>
        <w:jc w:val="center"/>
        <w:rPr>
          <w:rFonts w:ascii="Times New Roman" w:hAnsi="Times New Roman" w:cs="Times New Roman"/>
          <w:b/>
          <w:bCs/>
        </w:rPr>
      </w:pPr>
    </w:p>
    <w:p w14:paraId="4E5A1EAD" w14:textId="77777777" w:rsidR="00F358A7" w:rsidRPr="00242ACC" w:rsidRDefault="00F358A7" w:rsidP="00F358A7">
      <w:pPr>
        <w:spacing w:line="480" w:lineRule="auto"/>
        <w:jc w:val="center"/>
        <w:rPr>
          <w:rFonts w:ascii="Times New Roman" w:hAnsi="Times New Roman" w:cs="Times New Roman"/>
          <w:b/>
          <w:bCs/>
        </w:rPr>
      </w:pPr>
    </w:p>
    <w:p w14:paraId="377C660A" w14:textId="77777777" w:rsidR="00F358A7" w:rsidRPr="00242ACC" w:rsidRDefault="00F358A7" w:rsidP="00F358A7">
      <w:pPr>
        <w:spacing w:line="480" w:lineRule="auto"/>
        <w:jc w:val="center"/>
        <w:rPr>
          <w:rFonts w:ascii="Times New Roman" w:hAnsi="Times New Roman" w:cs="Times New Roman"/>
          <w:b/>
          <w:bCs/>
        </w:rPr>
      </w:pPr>
      <w:r w:rsidRPr="00242ACC">
        <w:rPr>
          <w:rFonts w:ascii="Times New Roman" w:hAnsi="Times New Roman" w:cs="Times New Roman"/>
          <w:b/>
          <w:bCs/>
        </w:rPr>
        <w:t xml:space="preserve">Supplementary Table </w:t>
      </w:r>
      <w:r>
        <w:rPr>
          <w:rFonts w:ascii="Times New Roman" w:hAnsi="Times New Roman" w:cs="Times New Roman" w:hint="eastAsia"/>
          <w:b/>
          <w:bCs/>
        </w:rPr>
        <w:t>3</w:t>
      </w:r>
      <w:r w:rsidRPr="00242ACC">
        <w:rPr>
          <w:rFonts w:ascii="Times New Roman" w:hAnsi="Times New Roman" w:cs="Times New Roman"/>
          <w:b/>
          <w:bCs/>
        </w:rPr>
        <w:t>. IC₅₀ (nM) of MV4-11 treated with different HHT formulations.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F358A7" w:rsidRPr="00242ACC" w14:paraId="4908AF15" w14:textId="77777777" w:rsidTr="00A40A68">
        <w:trPr>
          <w:jc w:val="center"/>
        </w:trPr>
        <w:tc>
          <w:tcPr>
            <w:tcW w:w="2074" w:type="dxa"/>
            <w:tcBorders>
              <w:top w:val="single" w:sz="4" w:space="0" w:color="auto"/>
              <w:bottom w:val="single" w:sz="4" w:space="0" w:color="auto"/>
              <w:tl2br w:val="single" w:sz="4" w:space="0" w:color="auto"/>
            </w:tcBorders>
          </w:tcPr>
          <w:p w14:paraId="3A634ED2" w14:textId="77777777" w:rsidR="00F358A7" w:rsidRPr="00242ACC" w:rsidRDefault="00F358A7" w:rsidP="00A40A68">
            <w:pPr>
              <w:spacing w:line="480" w:lineRule="auto"/>
              <w:rPr>
                <w:rFonts w:ascii="Times New Roman" w:hAnsi="Times New Roman" w:cs="Times New Roman"/>
                <w:b/>
                <w:bCs/>
                <w:sz w:val="24"/>
                <w:szCs w:val="28"/>
                <w:vertAlign w:val="subscript"/>
              </w:rPr>
            </w:pPr>
            <w:r w:rsidRPr="00242ACC">
              <w:rPr>
                <w:rFonts w:ascii="Times New Roman" w:hAnsi="Times New Roman" w:cs="Times New Roman"/>
                <w:b/>
                <w:bCs/>
                <w:sz w:val="24"/>
                <w:szCs w:val="28"/>
                <w:vertAlign w:val="subscript"/>
              </w:rPr>
              <w:t xml:space="preserve">Time (h)          </w:t>
            </w:r>
            <w:r w:rsidRPr="00242ACC">
              <w:rPr>
                <w:rFonts w:ascii="Times New Roman" w:hAnsi="Times New Roman" w:cs="Times New Roman"/>
                <w:b/>
                <w:bCs/>
                <w:sz w:val="24"/>
                <w:szCs w:val="28"/>
                <w:vertAlign w:val="superscript"/>
              </w:rPr>
              <w:t>Group</w:t>
            </w:r>
          </w:p>
        </w:tc>
        <w:tc>
          <w:tcPr>
            <w:tcW w:w="2074" w:type="dxa"/>
            <w:tcBorders>
              <w:top w:val="single" w:sz="4" w:space="0" w:color="auto"/>
              <w:bottom w:val="single" w:sz="4" w:space="0" w:color="auto"/>
            </w:tcBorders>
          </w:tcPr>
          <w:p w14:paraId="0ED3A92E" w14:textId="77777777" w:rsidR="00F358A7" w:rsidRPr="00242ACC" w:rsidRDefault="00F358A7" w:rsidP="00A40A68">
            <w:pPr>
              <w:spacing w:line="480" w:lineRule="auto"/>
              <w:jc w:val="center"/>
              <w:rPr>
                <w:rFonts w:ascii="Times New Roman" w:hAnsi="Times New Roman" w:cs="Times New Roman"/>
                <w:b/>
                <w:bCs/>
              </w:rPr>
            </w:pPr>
            <w:r w:rsidRPr="00242ACC">
              <w:rPr>
                <w:rFonts w:ascii="Times New Roman" w:hAnsi="Times New Roman" w:cs="Times New Roman"/>
                <w:b/>
                <w:bCs/>
              </w:rPr>
              <w:t>Free HHT</w:t>
            </w:r>
          </w:p>
        </w:tc>
        <w:tc>
          <w:tcPr>
            <w:tcW w:w="2074" w:type="dxa"/>
            <w:tcBorders>
              <w:top w:val="single" w:sz="4" w:space="0" w:color="auto"/>
              <w:bottom w:val="single" w:sz="4" w:space="0" w:color="auto"/>
            </w:tcBorders>
          </w:tcPr>
          <w:p w14:paraId="690E09D9" w14:textId="77777777" w:rsidR="00F358A7" w:rsidRPr="00242ACC" w:rsidRDefault="00F358A7" w:rsidP="00A40A68">
            <w:pPr>
              <w:spacing w:line="480" w:lineRule="auto"/>
              <w:jc w:val="center"/>
              <w:rPr>
                <w:rFonts w:ascii="Times New Roman" w:hAnsi="Times New Roman" w:cs="Times New Roman"/>
                <w:b/>
                <w:bCs/>
              </w:rPr>
            </w:pPr>
            <w:r w:rsidRPr="00242ACC">
              <w:rPr>
                <w:rFonts w:ascii="Times New Roman" w:hAnsi="Times New Roman" w:cs="Times New Roman"/>
                <w:b/>
                <w:bCs/>
              </w:rPr>
              <w:t>DTP/HHT</w:t>
            </w:r>
          </w:p>
        </w:tc>
        <w:tc>
          <w:tcPr>
            <w:tcW w:w="2074" w:type="dxa"/>
            <w:tcBorders>
              <w:top w:val="single" w:sz="4" w:space="0" w:color="auto"/>
              <w:bottom w:val="single" w:sz="4" w:space="0" w:color="auto"/>
            </w:tcBorders>
          </w:tcPr>
          <w:p w14:paraId="5A9CB641" w14:textId="77777777" w:rsidR="00F358A7" w:rsidRPr="00242ACC" w:rsidRDefault="00F358A7" w:rsidP="00A40A68">
            <w:pPr>
              <w:spacing w:line="480" w:lineRule="auto"/>
              <w:jc w:val="center"/>
              <w:rPr>
                <w:rFonts w:ascii="Times New Roman" w:hAnsi="Times New Roman" w:cs="Times New Roman"/>
                <w:b/>
                <w:bCs/>
              </w:rPr>
            </w:pPr>
            <w:r w:rsidRPr="00242ACC">
              <w:rPr>
                <w:rFonts w:ascii="Times New Roman" w:hAnsi="Times New Roman" w:cs="Times New Roman"/>
                <w:b/>
                <w:bCs/>
              </w:rPr>
              <w:t>TDTP/HHT</w:t>
            </w:r>
          </w:p>
        </w:tc>
      </w:tr>
      <w:tr w:rsidR="00F358A7" w:rsidRPr="00242ACC" w14:paraId="1E90EA80" w14:textId="77777777" w:rsidTr="00A40A68">
        <w:trPr>
          <w:jc w:val="center"/>
        </w:trPr>
        <w:tc>
          <w:tcPr>
            <w:tcW w:w="2074" w:type="dxa"/>
            <w:tcBorders>
              <w:top w:val="single" w:sz="4" w:space="0" w:color="auto"/>
            </w:tcBorders>
          </w:tcPr>
          <w:p w14:paraId="6D319FCD"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24</w:t>
            </w:r>
          </w:p>
        </w:tc>
        <w:tc>
          <w:tcPr>
            <w:tcW w:w="2074" w:type="dxa"/>
            <w:tcBorders>
              <w:top w:val="single" w:sz="4" w:space="0" w:color="auto"/>
            </w:tcBorders>
          </w:tcPr>
          <w:p w14:paraId="23CC803F"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15.8</w:t>
            </w:r>
          </w:p>
        </w:tc>
        <w:tc>
          <w:tcPr>
            <w:tcW w:w="2074" w:type="dxa"/>
            <w:tcBorders>
              <w:top w:val="single" w:sz="4" w:space="0" w:color="auto"/>
            </w:tcBorders>
          </w:tcPr>
          <w:p w14:paraId="7760C5A1"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15.4</w:t>
            </w:r>
          </w:p>
        </w:tc>
        <w:tc>
          <w:tcPr>
            <w:tcW w:w="2074" w:type="dxa"/>
            <w:tcBorders>
              <w:top w:val="single" w:sz="4" w:space="0" w:color="auto"/>
            </w:tcBorders>
          </w:tcPr>
          <w:p w14:paraId="568A9C09"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9.6</w:t>
            </w:r>
          </w:p>
        </w:tc>
      </w:tr>
      <w:tr w:rsidR="00F358A7" w:rsidRPr="00242ACC" w14:paraId="4B12CBB5" w14:textId="77777777" w:rsidTr="00A40A68">
        <w:trPr>
          <w:jc w:val="center"/>
        </w:trPr>
        <w:tc>
          <w:tcPr>
            <w:tcW w:w="2074" w:type="dxa"/>
          </w:tcPr>
          <w:p w14:paraId="3880F330"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48</w:t>
            </w:r>
          </w:p>
        </w:tc>
        <w:tc>
          <w:tcPr>
            <w:tcW w:w="2074" w:type="dxa"/>
          </w:tcPr>
          <w:p w14:paraId="45FE453D"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18.0</w:t>
            </w:r>
          </w:p>
        </w:tc>
        <w:tc>
          <w:tcPr>
            <w:tcW w:w="2074" w:type="dxa"/>
          </w:tcPr>
          <w:p w14:paraId="46B315F8"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14.6</w:t>
            </w:r>
          </w:p>
        </w:tc>
        <w:tc>
          <w:tcPr>
            <w:tcW w:w="2074" w:type="dxa"/>
          </w:tcPr>
          <w:p w14:paraId="5F5E98A5"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9.8</w:t>
            </w:r>
          </w:p>
        </w:tc>
      </w:tr>
      <w:tr w:rsidR="00F358A7" w:rsidRPr="00242ACC" w14:paraId="2CF33A42" w14:textId="77777777" w:rsidTr="00A40A68">
        <w:trPr>
          <w:jc w:val="center"/>
        </w:trPr>
        <w:tc>
          <w:tcPr>
            <w:tcW w:w="2074" w:type="dxa"/>
          </w:tcPr>
          <w:p w14:paraId="2B1DA976"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72</w:t>
            </w:r>
          </w:p>
        </w:tc>
        <w:tc>
          <w:tcPr>
            <w:tcW w:w="2074" w:type="dxa"/>
          </w:tcPr>
          <w:p w14:paraId="2BFACB04"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19.0</w:t>
            </w:r>
          </w:p>
        </w:tc>
        <w:tc>
          <w:tcPr>
            <w:tcW w:w="2074" w:type="dxa"/>
          </w:tcPr>
          <w:p w14:paraId="4F4B264E"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17.5</w:t>
            </w:r>
          </w:p>
        </w:tc>
        <w:tc>
          <w:tcPr>
            <w:tcW w:w="2074" w:type="dxa"/>
          </w:tcPr>
          <w:p w14:paraId="11094D9D"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12.7</w:t>
            </w:r>
          </w:p>
        </w:tc>
      </w:tr>
    </w:tbl>
    <w:p w14:paraId="0A0EAEA0" w14:textId="77777777" w:rsidR="00F358A7" w:rsidRPr="00242ACC" w:rsidRDefault="00F358A7" w:rsidP="00F358A7">
      <w:pPr>
        <w:widowControl/>
        <w:spacing w:line="480" w:lineRule="auto"/>
        <w:jc w:val="left"/>
        <w:rPr>
          <w:rFonts w:ascii="Times New Roman" w:hAnsi="Times New Roman" w:cs="Times New Roman"/>
          <w:b/>
          <w:bCs/>
        </w:rPr>
      </w:pPr>
    </w:p>
    <w:p w14:paraId="1FECEA2E" w14:textId="77777777" w:rsidR="007F4BCC" w:rsidRPr="00845CFE" w:rsidRDefault="007F4BCC" w:rsidP="001778AA">
      <w:pPr>
        <w:spacing w:line="480" w:lineRule="auto"/>
        <w:rPr>
          <w:rFonts w:ascii="Times New Roman" w:hAnsi="Times New Roman" w:cs="Times New Roman"/>
          <w:b/>
          <w:bCs/>
        </w:rPr>
      </w:pPr>
    </w:p>
    <w:p w14:paraId="3AA43F7A" w14:textId="7801E04C" w:rsidR="006D60B3" w:rsidRPr="00845CFE" w:rsidRDefault="009E5E0B" w:rsidP="001778AA">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B06C9E1" wp14:editId="607F2D01">
            <wp:extent cx="5274310" cy="7460615"/>
            <wp:effectExtent l="0" t="0" r="2540" b="6985"/>
            <wp:docPr id="874394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9430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05E50D33" w14:textId="30895242" w:rsidR="007F4BCC" w:rsidRDefault="006D60B3" w:rsidP="009E5E0B">
      <w:pPr>
        <w:spacing w:line="480" w:lineRule="auto"/>
        <w:rPr>
          <w:rFonts w:ascii="Times New Roman" w:hAnsi="Times New Roman" w:cs="Times New Roman"/>
          <w:b/>
          <w:bCs/>
          <w:noProof/>
        </w:rPr>
      </w:pPr>
      <w:r w:rsidRPr="00845CFE">
        <w:rPr>
          <w:rFonts w:ascii="Times New Roman" w:hAnsi="Times New Roman" w:cs="Times New Roman"/>
          <w:b/>
          <w:bCs/>
        </w:rPr>
        <w:t xml:space="preserve">Supplementary </w:t>
      </w:r>
      <w:r w:rsidR="00245EE8" w:rsidRPr="00845CFE">
        <w:rPr>
          <w:rFonts w:ascii="Times New Roman" w:hAnsi="Times New Roman" w:cs="Times New Roman"/>
          <w:b/>
          <w:bCs/>
        </w:rPr>
        <w:t>F</w:t>
      </w:r>
      <w:r w:rsidRPr="00845CFE">
        <w:rPr>
          <w:rFonts w:ascii="Times New Roman" w:hAnsi="Times New Roman" w:cs="Times New Roman"/>
          <w:b/>
          <w:bCs/>
        </w:rPr>
        <w:t xml:space="preserve">igure </w:t>
      </w:r>
      <w:r w:rsidR="00F358A7">
        <w:rPr>
          <w:rFonts w:ascii="Times New Roman" w:hAnsi="Times New Roman" w:cs="Times New Roman" w:hint="eastAsia"/>
          <w:b/>
          <w:bCs/>
        </w:rPr>
        <w:t>9</w:t>
      </w:r>
      <w:r w:rsidR="00E60255" w:rsidRPr="00845CFE">
        <w:rPr>
          <w:rFonts w:ascii="Times New Roman" w:hAnsi="Times New Roman" w:cs="Times New Roman"/>
          <w:b/>
          <w:bCs/>
        </w:rPr>
        <w:t>.</w:t>
      </w:r>
      <w:r w:rsidRPr="00845CFE">
        <w:rPr>
          <w:rFonts w:ascii="Times New Roman" w:hAnsi="Times New Roman" w:cs="Times New Roman"/>
        </w:rPr>
        <w:t xml:space="preserve"> </w:t>
      </w:r>
      <w:r w:rsidR="006D4BC3" w:rsidRPr="00845CFE">
        <w:rPr>
          <w:rFonts w:ascii="Times New Roman" w:hAnsi="Times New Roman" w:cs="Times New Roman"/>
          <w:b/>
          <w:bCs/>
        </w:rPr>
        <w:t>TDTP/HHT is the most effective HHT formulation in primary AML cells.</w:t>
      </w:r>
      <w:r w:rsidR="00DC0C55" w:rsidRPr="00845CFE">
        <w:rPr>
          <w:rFonts w:ascii="Times New Roman" w:hAnsi="Times New Roman" w:cs="Times New Roman"/>
        </w:rPr>
        <w:t xml:space="preserve"> </w:t>
      </w:r>
      <w:r w:rsidR="009E5E0B" w:rsidRPr="009E5E0B">
        <w:rPr>
          <w:rFonts w:ascii="Times New Roman" w:hAnsi="Times New Roman" w:cs="Times New Roman" w:hint="eastAsia"/>
        </w:rPr>
        <w:t>(A</w:t>
      </w:r>
      <w:r w:rsidR="009E5E0B" w:rsidRPr="009E5E0B">
        <w:rPr>
          <w:rFonts w:ascii="Times New Roman" w:hAnsi="Times New Roman" w:cs="Times New Roman" w:hint="eastAsia"/>
        </w:rPr>
        <w:t>–</w:t>
      </w:r>
      <w:r w:rsidR="009E5E0B" w:rsidRPr="009E5E0B">
        <w:rPr>
          <w:rFonts w:ascii="Times New Roman" w:hAnsi="Times New Roman" w:cs="Times New Roman" w:hint="eastAsia"/>
        </w:rPr>
        <w:t>G) Cell viability of primary AML samples derived from P1</w:t>
      </w:r>
      <w:r w:rsidR="009E5E0B">
        <w:rPr>
          <w:rFonts w:ascii="Times New Roman" w:hAnsi="Times New Roman" w:cs="Times New Roman" w:hint="eastAsia"/>
        </w:rPr>
        <w:t>-</w:t>
      </w:r>
      <w:r w:rsidR="009E5E0B" w:rsidRPr="009E5E0B">
        <w:rPr>
          <w:rFonts w:ascii="Times New Roman" w:hAnsi="Times New Roman" w:cs="Times New Roman" w:hint="eastAsia"/>
        </w:rPr>
        <w:t>P7 after 48 h treatment with different HHT formulations.</w:t>
      </w:r>
      <w:r w:rsidR="009E5E0B">
        <w:rPr>
          <w:rFonts w:ascii="Times New Roman" w:hAnsi="Times New Roman" w:cs="Times New Roman" w:hint="eastAsia"/>
        </w:rPr>
        <w:t xml:space="preserve"> </w:t>
      </w:r>
      <w:r w:rsidR="009E5E0B" w:rsidRPr="009E5E0B">
        <w:rPr>
          <w:rFonts w:ascii="Times New Roman" w:hAnsi="Times New Roman" w:cs="Times New Roman"/>
        </w:rPr>
        <w:t>(H) Trends in IC</w:t>
      </w:r>
      <w:r w:rsidR="009E5E0B" w:rsidRPr="009E5E0B">
        <w:rPr>
          <w:rFonts w:ascii="Times New Roman" w:hAnsi="Times New Roman" w:cs="Times New Roman" w:hint="eastAsia"/>
          <w:vertAlign w:val="subscript"/>
        </w:rPr>
        <w:t>50</w:t>
      </w:r>
      <w:r w:rsidR="009E5E0B" w:rsidRPr="009E5E0B">
        <w:rPr>
          <w:rFonts w:ascii="Times New Roman" w:hAnsi="Times New Roman" w:cs="Times New Roman"/>
        </w:rPr>
        <w:t xml:space="preserve"> values of different HHT formulations across the </w:t>
      </w:r>
      <w:r w:rsidR="009E5E0B" w:rsidRPr="009E5E0B">
        <w:rPr>
          <w:rFonts w:ascii="Times New Roman" w:hAnsi="Times New Roman" w:cs="Times New Roman"/>
        </w:rPr>
        <w:lastRenderedPageBreak/>
        <w:t>primary AML samples (P1–P7).</w:t>
      </w:r>
      <w:r w:rsidR="007F4BCC" w:rsidRPr="007F4BCC">
        <w:rPr>
          <w:rFonts w:ascii="Times New Roman" w:hAnsi="Times New Roman" w:cs="Times New Roman" w:hint="eastAsia"/>
          <w:b/>
          <w:bCs/>
          <w:noProof/>
        </w:rPr>
        <w:t xml:space="preserve"> </w:t>
      </w:r>
      <w:r w:rsidR="00214753" w:rsidRPr="00214753">
        <w:rPr>
          <w:rFonts w:ascii="Times New Roman" w:hAnsi="Times New Roman" w:cs="Times New Roman" w:hint="eastAsia"/>
        </w:rPr>
        <w:t xml:space="preserve">*,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0.05;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0.01; ***, </w:t>
      </w:r>
      <w:r w:rsidR="00214753" w:rsidRPr="00214753">
        <w:rPr>
          <w:rFonts w:ascii="Times New Roman" w:hAnsi="Times New Roman" w:cs="Times New Roman" w:hint="eastAsia"/>
          <w:i/>
          <w:iCs/>
        </w:rPr>
        <w:t xml:space="preserve">p </w:t>
      </w:r>
      <w:r w:rsidR="00214753" w:rsidRPr="00214753">
        <w:rPr>
          <w:rFonts w:ascii="Times New Roman" w:hAnsi="Times New Roman" w:cs="Times New Roman" w:hint="eastAsia"/>
        </w:rPr>
        <w:t xml:space="preserve">&lt; 0.001;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0.0001; ns, not significant.</w:t>
      </w:r>
    </w:p>
    <w:p w14:paraId="3FC2BFCD" w14:textId="73E20F8D" w:rsidR="00F358A7" w:rsidRDefault="00F358A7">
      <w:pPr>
        <w:widowControl/>
        <w:jc w:val="left"/>
        <w:rPr>
          <w:rFonts w:ascii="Times New Roman" w:hAnsi="Times New Roman" w:cs="Times New Roman"/>
          <w:b/>
          <w:bCs/>
          <w:noProof/>
        </w:rPr>
      </w:pPr>
    </w:p>
    <w:p w14:paraId="167913B2" w14:textId="77777777" w:rsidR="00783BFF" w:rsidRDefault="00783BFF">
      <w:pPr>
        <w:widowControl/>
        <w:jc w:val="left"/>
        <w:rPr>
          <w:rFonts w:ascii="Times New Roman" w:hAnsi="Times New Roman" w:cs="Times New Roman"/>
          <w:b/>
          <w:bCs/>
          <w:noProof/>
        </w:rPr>
      </w:pPr>
    </w:p>
    <w:p w14:paraId="09A7F45C" w14:textId="77777777" w:rsidR="00783BFF" w:rsidRDefault="00783BFF">
      <w:pPr>
        <w:widowControl/>
        <w:jc w:val="left"/>
        <w:rPr>
          <w:rFonts w:ascii="Times New Roman" w:hAnsi="Times New Roman" w:cs="Times New Roman"/>
          <w:b/>
          <w:bCs/>
          <w:noProof/>
        </w:rPr>
      </w:pPr>
    </w:p>
    <w:p w14:paraId="03D9B67A" w14:textId="77777777" w:rsidR="00783BFF" w:rsidRDefault="00783BFF">
      <w:pPr>
        <w:widowControl/>
        <w:jc w:val="left"/>
        <w:rPr>
          <w:rFonts w:ascii="Times New Roman" w:hAnsi="Times New Roman" w:cs="Times New Roman"/>
          <w:b/>
          <w:bCs/>
          <w:noProof/>
        </w:rPr>
      </w:pPr>
    </w:p>
    <w:p w14:paraId="25B3CDAB" w14:textId="38E15EF8" w:rsidR="00F358A7" w:rsidRPr="00242ACC" w:rsidRDefault="00F358A7" w:rsidP="00F358A7">
      <w:pPr>
        <w:spacing w:line="480" w:lineRule="auto"/>
        <w:jc w:val="center"/>
        <w:rPr>
          <w:rFonts w:ascii="Times New Roman" w:hAnsi="Times New Roman" w:cs="Times New Roman"/>
          <w:b/>
          <w:bCs/>
        </w:rPr>
      </w:pPr>
      <w:r w:rsidRPr="00242ACC">
        <w:rPr>
          <w:rFonts w:ascii="Times New Roman" w:hAnsi="Times New Roman" w:cs="Times New Roman"/>
          <w:b/>
          <w:bCs/>
        </w:rPr>
        <w:t xml:space="preserve">Supplementary Table </w:t>
      </w:r>
      <w:r w:rsidR="00D01C73">
        <w:rPr>
          <w:rFonts w:ascii="Times New Roman" w:hAnsi="Times New Roman" w:cs="Times New Roman" w:hint="eastAsia"/>
          <w:b/>
          <w:bCs/>
        </w:rPr>
        <w:t>4</w:t>
      </w:r>
      <w:r w:rsidRPr="00242ACC">
        <w:rPr>
          <w:rFonts w:ascii="Times New Roman" w:hAnsi="Times New Roman" w:cs="Times New Roman"/>
          <w:b/>
          <w:bCs/>
        </w:rPr>
        <w:t>. IC₅₀ (nM) of primary AML cells treated with different HHT formulations.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F358A7" w:rsidRPr="00242ACC" w14:paraId="5E423DC5" w14:textId="77777777" w:rsidTr="00A40A68">
        <w:trPr>
          <w:jc w:val="center"/>
        </w:trPr>
        <w:tc>
          <w:tcPr>
            <w:tcW w:w="2074" w:type="dxa"/>
            <w:tcBorders>
              <w:top w:val="single" w:sz="4" w:space="0" w:color="auto"/>
              <w:bottom w:val="single" w:sz="4" w:space="0" w:color="auto"/>
              <w:tl2br w:val="single" w:sz="4" w:space="0" w:color="auto"/>
            </w:tcBorders>
          </w:tcPr>
          <w:p w14:paraId="7DE5DF2D" w14:textId="77777777" w:rsidR="00F358A7" w:rsidRPr="00242ACC" w:rsidRDefault="00F358A7" w:rsidP="00A40A68">
            <w:pPr>
              <w:spacing w:line="480" w:lineRule="auto"/>
              <w:rPr>
                <w:rFonts w:ascii="Times New Roman" w:hAnsi="Times New Roman" w:cs="Times New Roman"/>
                <w:b/>
                <w:bCs/>
                <w:sz w:val="24"/>
                <w:szCs w:val="28"/>
                <w:vertAlign w:val="subscript"/>
              </w:rPr>
            </w:pPr>
            <w:r w:rsidRPr="00242ACC">
              <w:rPr>
                <w:rFonts w:ascii="Times New Roman" w:hAnsi="Times New Roman" w:cs="Times New Roman"/>
                <w:b/>
                <w:bCs/>
                <w:sz w:val="24"/>
                <w:szCs w:val="28"/>
                <w:vertAlign w:val="subscript"/>
              </w:rPr>
              <w:t xml:space="preserve">Patient           </w:t>
            </w:r>
            <w:r w:rsidRPr="00242ACC">
              <w:rPr>
                <w:rFonts w:ascii="Times New Roman" w:hAnsi="Times New Roman" w:cs="Times New Roman"/>
                <w:b/>
                <w:bCs/>
                <w:sz w:val="24"/>
                <w:szCs w:val="28"/>
                <w:vertAlign w:val="superscript"/>
              </w:rPr>
              <w:t>Group</w:t>
            </w:r>
          </w:p>
        </w:tc>
        <w:tc>
          <w:tcPr>
            <w:tcW w:w="2074" w:type="dxa"/>
            <w:tcBorders>
              <w:top w:val="single" w:sz="4" w:space="0" w:color="auto"/>
              <w:bottom w:val="single" w:sz="4" w:space="0" w:color="auto"/>
            </w:tcBorders>
          </w:tcPr>
          <w:p w14:paraId="76AFBB2E" w14:textId="77777777" w:rsidR="00F358A7" w:rsidRPr="00242ACC" w:rsidRDefault="00F358A7" w:rsidP="00A40A68">
            <w:pPr>
              <w:spacing w:line="480" w:lineRule="auto"/>
              <w:jc w:val="center"/>
              <w:rPr>
                <w:rFonts w:ascii="Times New Roman" w:hAnsi="Times New Roman" w:cs="Times New Roman"/>
                <w:b/>
                <w:bCs/>
              </w:rPr>
            </w:pPr>
            <w:r w:rsidRPr="00242ACC">
              <w:rPr>
                <w:rFonts w:ascii="Times New Roman" w:hAnsi="Times New Roman" w:cs="Times New Roman"/>
                <w:b/>
                <w:bCs/>
              </w:rPr>
              <w:t>Free HHT</w:t>
            </w:r>
          </w:p>
        </w:tc>
        <w:tc>
          <w:tcPr>
            <w:tcW w:w="2074" w:type="dxa"/>
            <w:tcBorders>
              <w:top w:val="single" w:sz="4" w:space="0" w:color="auto"/>
              <w:bottom w:val="single" w:sz="4" w:space="0" w:color="auto"/>
            </w:tcBorders>
          </w:tcPr>
          <w:p w14:paraId="4EACBB09" w14:textId="77777777" w:rsidR="00F358A7" w:rsidRPr="00242ACC" w:rsidRDefault="00F358A7" w:rsidP="00A40A68">
            <w:pPr>
              <w:spacing w:line="480" w:lineRule="auto"/>
              <w:jc w:val="center"/>
              <w:rPr>
                <w:rFonts w:ascii="Times New Roman" w:hAnsi="Times New Roman" w:cs="Times New Roman"/>
                <w:b/>
                <w:bCs/>
              </w:rPr>
            </w:pPr>
            <w:r w:rsidRPr="00242ACC">
              <w:rPr>
                <w:rFonts w:ascii="Times New Roman" w:hAnsi="Times New Roman" w:cs="Times New Roman"/>
                <w:b/>
                <w:bCs/>
              </w:rPr>
              <w:t>DTP/HHT</w:t>
            </w:r>
          </w:p>
        </w:tc>
        <w:tc>
          <w:tcPr>
            <w:tcW w:w="2074" w:type="dxa"/>
            <w:tcBorders>
              <w:top w:val="single" w:sz="4" w:space="0" w:color="auto"/>
              <w:bottom w:val="single" w:sz="4" w:space="0" w:color="auto"/>
            </w:tcBorders>
          </w:tcPr>
          <w:p w14:paraId="539034B1" w14:textId="77777777" w:rsidR="00F358A7" w:rsidRPr="00242ACC" w:rsidRDefault="00F358A7" w:rsidP="00A40A68">
            <w:pPr>
              <w:spacing w:line="480" w:lineRule="auto"/>
              <w:jc w:val="center"/>
              <w:rPr>
                <w:rFonts w:ascii="Times New Roman" w:hAnsi="Times New Roman" w:cs="Times New Roman"/>
                <w:b/>
                <w:bCs/>
              </w:rPr>
            </w:pPr>
            <w:r w:rsidRPr="00242ACC">
              <w:rPr>
                <w:rFonts w:ascii="Times New Roman" w:hAnsi="Times New Roman" w:cs="Times New Roman"/>
                <w:b/>
                <w:bCs/>
              </w:rPr>
              <w:t>TDTP/HHT</w:t>
            </w:r>
          </w:p>
        </w:tc>
      </w:tr>
      <w:tr w:rsidR="00F358A7" w:rsidRPr="00242ACC" w14:paraId="35434349" w14:textId="77777777" w:rsidTr="00A40A68">
        <w:trPr>
          <w:jc w:val="center"/>
        </w:trPr>
        <w:tc>
          <w:tcPr>
            <w:tcW w:w="2074" w:type="dxa"/>
            <w:tcBorders>
              <w:top w:val="single" w:sz="4" w:space="0" w:color="auto"/>
            </w:tcBorders>
          </w:tcPr>
          <w:p w14:paraId="2E4895BE"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P1</w:t>
            </w:r>
          </w:p>
        </w:tc>
        <w:tc>
          <w:tcPr>
            <w:tcW w:w="2074" w:type="dxa"/>
            <w:tcBorders>
              <w:top w:val="single" w:sz="4" w:space="0" w:color="auto"/>
            </w:tcBorders>
          </w:tcPr>
          <w:p w14:paraId="31A5786F"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20.4</w:t>
            </w:r>
          </w:p>
        </w:tc>
        <w:tc>
          <w:tcPr>
            <w:tcW w:w="2074" w:type="dxa"/>
            <w:tcBorders>
              <w:top w:val="single" w:sz="4" w:space="0" w:color="auto"/>
            </w:tcBorders>
          </w:tcPr>
          <w:p w14:paraId="340A0F12"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27.8</w:t>
            </w:r>
          </w:p>
        </w:tc>
        <w:tc>
          <w:tcPr>
            <w:tcW w:w="2074" w:type="dxa"/>
            <w:tcBorders>
              <w:top w:val="single" w:sz="4" w:space="0" w:color="auto"/>
            </w:tcBorders>
          </w:tcPr>
          <w:p w14:paraId="00F0E9BA"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12.7</w:t>
            </w:r>
          </w:p>
        </w:tc>
      </w:tr>
      <w:tr w:rsidR="00F358A7" w:rsidRPr="00242ACC" w14:paraId="798171E9" w14:textId="77777777" w:rsidTr="00A40A68">
        <w:trPr>
          <w:jc w:val="center"/>
        </w:trPr>
        <w:tc>
          <w:tcPr>
            <w:tcW w:w="2074" w:type="dxa"/>
          </w:tcPr>
          <w:p w14:paraId="707922A2"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P2</w:t>
            </w:r>
          </w:p>
        </w:tc>
        <w:tc>
          <w:tcPr>
            <w:tcW w:w="2074" w:type="dxa"/>
          </w:tcPr>
          <w:p w14:paraId="72328165"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31.7</w:t>
            </w:r>
          </w:p>
        </w:tc>
        <w:tc>
          <w:tcPr>
            <w:tcW w:w="2074" w:type="dxa"/>
          </w:tcPr>
          <w:p w14:paraId="169AEE83"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24.2</w:t>
            </w:r>
          </w:p>
        </w:tc>
        <w:tc>
          <w:tcPr>
            <w:tcW w:w="2074" w:type="dxa"/>
          </w:tcPr>
          <w:p w14:paraId="50BCE3F1"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22.3</w:t>
            </w:r>
          </w:p>
        </w:tc>
      </w:tr>
      <w:tr w:rsidR="00F358A7" w:rsidRPr="00242ACC" w14:paraId="0F919A48" w14:textId="77777777" w:rsidTr="00A40A68">
        <w:trPr>
          <w:jc w:val="center"/>
        </w:trPr>
        <w:tc>
          <w:tcPr>
            <w:tcW w:w="2074" w:type="dxa"/>
          </w:tcPr>
          <w:p w14:paraId="75FBDDEB"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P3</w:t>
            </w:r>
          </w:p>
        </w:tc>
        <w:tc>
          <w:tcPr>
            <w:tcW w:w="2074" w:type="dxa"/>
          </w:tcPr>
          <w:p w14:paraId="5A7D7E53"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45.0</w:t>
            </w:r>
          </w:p>
        </w:tc>
        <w:tc>
          <w:tcPr>
            <w:tcW w:w="2074" w:type="dxa"/>
          </w:tcPr>
          <w:p w14:paraId="1B641D08"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64.0</w:t>
            </w:r>
          </w:p>
        </w:tc>
        <w:tc>
          <w:tcPr>
            <w:tcW w:w="2074" w:type="dxa"/>
          </w:tcPr>
          <w:p w14:paraId="6ABA7E71"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26.7</w:t>
            </w:r>
          </w:p>
        </w:tc>
      </w:tr>
      <w:tr w:rsidR="00F358A7" w:rsidRPr="00242ACC" w14:paraId="2BBC67DD" w14:textId="77777777" w:rsidTr="00A40A68">
        <w:trPr>
          <w:jc w:val="center"/>
        </w:trPr>
        <w:tc>
          <w:tcPr>
            <w:tcW w:w="2074" w:type="dxa"/>
          </w:tcPr>
          <w:p w14:paraId="5FD87ED7"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P4</w:t>
            </w:r>
          </w:p>
        </w:tc>
        <w:tc>
          <w:tcPr>
            <w:tcW w:w="2074" w:type="dxa"/>
          </w:tcPr>
          <w:p w14:paraId="0F86F146"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119.2</w:t>
            </w:r>
          </w:p>
        </w:tc>
        <w:tc>
          <w:tcPr>
            <w:tcW w:w="2074" w:type="dxa"/>
          </w:tcPr>
          <w:p w14:paraId="46E2C4E0"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2.6</w:t>
            </w:r>
          </w:p>
        </w:tc>
        <w:tc>
          <w:tcPr>
            <w:tcW w:w="2074" w:type="dxa"/>
          </w:tcPr>
          <w:p w14:paraId="04A792EE"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4.7</w:t>
            </w:r>
          </w:p>
        </w:tc>
      </w:tr>
      <w:tr w:rsidR="00F358A7" w:rsidRPr="00242ACC" w14:paraId="03D62B4A" w14:textId="77777777" w:rsidTr="00A40A68">
        <w:trPr>
          <w:jc w:val="center"/>
        </w:trPr>
        <w:tc>
          <w:tcPr>
            <w:tcW w:w="2074" w:type="dxa"/>
          </w:tcPr>
          <w:p w14:paraId="75E953FC"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P5</w:t>
            </w:r>
          </w:p>
        </w:tc>
        <w:tc>
          <w:tcPr>
            <w:tcW w:w="2074" w:type="dxa"/>
          </w:tcPr>
          <w:p w14:paraId="1347EE6C"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48.6</w:t>
            </w:r>
          </w:p>
        </w:tc>
        <w:tc>
          <w:tcPr>
            <w:tcW w:w="2074" w:type="dxa"/>
          </w:tcPr>
          <w:p w14:paraId="49927316"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36.0</w:t>
            </w:r>
          </w:p>
        </w:tc>
        <w:tc>
          <w:tcPr>
            <w:tcW w:w="2074" w:type="dxa"/>
          </w:tcPr>
          <w:p w14:paraId="1255E245"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33.4</w:t>
            </w:r>
          </w:p>
        </w:tc>
      </w:tr>
      <w:tr w:rsidR="00F358A7" w:rsidRPr="00242ACC" w14:paraId="42DF6345" w14:textId="77777777" w:rsidTr="00A40A68">
        <w:trPr>
          <w:jc w:val="center"/>
        </w:trPr>
        <w:tc>
          <w:tcPr>
            <w:tcW w:w="2074" w:type="dxa"/>
          </w:tcPr>
          <w:p w14:paraId="4A476E87"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P6</w:t>
            </w:r>
          </w:p>
        </w:tc>
        <w:tc>
          <w:tcPr>
            <w:tcW w:w="2074" w:type="dxa"/>
          </w:tcPr>
          <w:p w14:paraId="3168172C"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29.6</w:t>
            </w:r>
          </w:p>
        </w:tc>
        <w:tc>
          <w:tcPr>
            <w:tcW w:w="2074" w:type="dxa"/>
          </w:tcPr>
          <w:p w14:paraId="014DBC91"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28.3</w:t>
            </w:r>
          </w:p>
        </w:tc>
        <w:tc>
          <w:tcPr>
            <w:tcW w:w="2074" w:type="dxa"/>
          </w:tcPr>
          <w:p w14:paraId="1E47C864" w14:textId="77777777" w:rsidR="00F358A7" w:rsidRPr="00242ACC" w:rsidRDefault="00F358A7" w:rsidP="00A40A68">
            <w:pPr>
              <w:spacing w:line="480" w:lineRule="auto"/>
              <w:jc w:val="center"/>
              <w:rPr>
                <w:rFonts w:ascii="Times New Roman" w:hAnsi="Times New Roman" w:cs="Times New Roman"/>
              </w:rPr>
            </w:pPr>
            <w:r w:rsidRPr="00242ACC">
              <w:rPr>
                <w:rFonts w:ascii="Times New Roman" w:hAnsi="Times New Roman" w:cs="Times New Roman"/>
              </w:rPr>
              <w:t>22.4</w:t>
            </w:r>
          </w:p>
        </w:tc>
      </w:tr>
      <w:tr w:rsidR="00921E14" w:rsidRPr="00242ACC" w14:paraId="3802E873" w14:textId="77777777" w:rsidTr="00A40A68">
        <w:trPr>
          <w:jc w:val="center"/>
        </w:trPr>
        <w:tc>
          <w:tcPr>
            <w:tcW w:w="2074" w:type="dxa"/>
          </w:tcPr>
          <w:p w14:paraId="385481D5" w14:textId="20F48846" w:rsidR="00921E14" w:rsidRPr="00242ACC" w:rsidRDefault="00921E14" w:rsidP="00921E14">
            <w:pPr>
              <w:spacing w:line="480" w:lineRule="auto"/>
              <w:jc w:val="center"/>
              <w:rPr>
                <w:rFonts w:ascii="Times New Roman" w:hAnsi="Times New Roman" w:cs="Times New Roman"/>
              </w:rPr>
            </w:pPr>
            <w:r>
              <w:rPr>
                <w:rFonts w:ascii="Times New Roman" w:hAnsi="Times New Roman" w:cs="Times New Roman" w:hint="eastAsia"/>
              </w:rPr>
              <w:t>P7</w:t>
            </w:r>
          </w:p>
        </w:tc>
        <w:tc>
          <w:tcPr>
            <w:tcW w:w="2074" w:type="dxa"/>
          </w:tcPr>
          <w:p w14:paraId="1D059CE7" w14:textId="205174EA" w:rsidR="00921E14" w:rsidRPr="00921E14" w:rsidRDefault="00921E14" w:rsidP="00921E14">
            <w:pPr>
              <w:spacing w:line="480" w:lineRule="auto"/>
              <w:jc w:val="center"/>
              <w:rPr>
                <w:rFonts w:ascii="Times New Roman" w:hAnsi="Times New Roman" w:cs="Times New Roman"/>
              </w:rPr>
            </w:pPr>
            <w:r w:rsidRPr="00921E14">
              <w:rPr>
                <w:rFonts w:ascii="Times New Roman" w:hAnsi="Times New Roman" w:cs="Times New Roman"/>
                <w:color w:val="000000" w:themeColor="text1"/>
              </w:rPr>
              <w:t>34.3</w:t>
            </w:r>
          </w:p>
        </w:tc>
        <w:tc>
          <w:tcPr>
            <w:tcW w:w="2074" w:type="dxa"/>
          </w:tcPr>
          <w:p w14:paraId="7B60F932" w14:textId="6FFEF080" w:rsidR="00921E14" w:rsidRPr="00921E14" w:rsidRDefault="00921E14" w:rsidP="00921E14">
            <w:pPr>
              <w:spacing w:line="480" w:lineRule="auto"/>
              <w:jc w:val="center"/>
              <w:rPr>
                <w:rFonts w:ascii="Times New Roman" w:hAnsi="Times New Roman" w:cs="Times New Roman"/>
              </w:rPr>
            </w:pPr>
            <w:r w:rsidRPr="00921E14">
              <w:rPr>
                <w:rFonts w:ascii="Times New Roman" w:hAnsi="Times New Roman" w:cs="Times New Roman"/>
                <w:color w:val="000000" w:themeColor="text1"/>
              </w:rPr>
              <w:t>12.8</w:t>
            </w:r>
          </w:p>
        </w:tc>
        <w:tc>
          <w:tcPr>
            <w:tcW w:w="2074" w:type="dxa"/>
          </w:tcPr>
          <w:p w14:paraId="5244E49B" w14:textId="225D40E2" w:rsidR="00921E14" w:rsidRPr="00921E14" w:rsidRDefault="00921E14" w:rsidP="00921E14">
            <w:pPr>
              <w:spacing w:line="480" w:lineRule="auto"/>
              <w:jc w:val="center"/>
              <w:rPr>
                <w:rFonts w:ascii="Times New Roman" w:hAnsi="Times New Roman" w:cs="Times New Roman"/>
              </w:rPr>
            </w:pPr>
            <w:r w:rsidRPr="00921E14">
              <w:rPr>
                <w:rFonts w:ascii="Times New Roman" w:hAnsi="Times New Roman" w:cs="Times New Roman"/>
                <w:color w:val="000000" w:themeColor="text1"/>
              </w:rPr>
              <w:t>10.2</w:t>
            </w:r>
          </w:p>
        </w:tc>
      </w:tr>
    </w:tbl>
    <w:p w14:paraId="0EF0233A" w14:textId="77777777" w:rsidR="00F358A7" w:rsidRDefault="00F358A7" w:rsidP="00F358A7">
      <w:pPr>
        <w:spacing w:line="480" w:lineRule="auto"/>
        <w:rPr>
          <w:rFonts w:ascii="Times New Roman" w:hAnsi="Times New Roman" w:cs="Times New Roman"/>
        </w:rPr>
      </w:pPr>
    </w:p>
    <w:p w14:paraId="2BE73B66" w14:textId="331587FF" w:rsidR="006D60B3" w:rsidRDefault="00F81DDC" w:rsidP="001778AA">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C0F0F09" wp14:editId="71166FE3">
            <wp:extent cx="5274310" cy="5274310"/>
            <wp:effectExtent l="0" t="0" r="2540" b="2540"/>
            <wp:docPr id="1968086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865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78A61151" w14:textId="7CE99954" w:rsidR="007F4BCC" w:rsidRDefault="00F358A7" w:rsidP="001778AA">
      <w:pPr>
        <w:spacing w:line="480" w:lineRule="auto"/>
        <w:rPr>
          <w:rFonts w:ascii="Times New Roman" w:hAnsi="Times New Roman" w:cs="Times New Roman"/>
        </w:rPr>
      </w:pPr>
      <w:r w:rsidRPr="00845CFE">
        <w:rPr>
          <w:rFonts w:ascii="Times New Roman" w:hAnsi="Times New Roman" w:cs="Times New Roman"/>
          <w:b/>
          <w:bCs/>
        </w:rPr>
        <w:t xml:space="preserve">Supplementary Figure </w:t>
      </w:r>
      <w:r>
        <w:rPr>
          <w:rFonts w:ascii="Times New Roman" w:hAnsi="Times New Roman" w:cs="Times New Roman" w:hint="eastAsia"/>
          <w:b/>
          <w:bCs/>
        </w:rPr>
        <w:t>10</w:t>
      </w:r>
      <w:r w:rsidRPr="00845CFE">
        <w:rPr>
          <w:rFonts w:ascii="Times New Roman" w:hAnsi="Times New Roman" w:cs="Times New Roman"/>
          <w:b/>
          <w:bCs/>
        </w:rPr>
        <w:t>.</w:t>
      </w:r>
      <w:r w:rsidRPr="00845CFE">
        <w:rPr>
          <w:rFonts w:ascii="Times New Roman" w:hAnsi="Times New Roman" w:cs="Times New Roman"/>
        </w:rPr>
        <w:t xml:space="preserve"> </w:t>
      </w:r>
      <w:r w:rsidR="001E5DE6" w:rsidRPr="001E5DE6">
        <w:rPr>
          <w:rFonts w:ascii="Times New Roman" w:hAnsi="Times New Roman" w:cs="Times New Roman" w:hint="eastAsia"/>
          <w:b/>
          <w:bCs/>
        </w:rPr>
        <w:t>TDTP/HHT remains the most effective HHT formulation in CD71-high</w:t>
      </w:r>
      <w:r w:rsidR="001E5DE6">
        <w:rPr>
          <w:rFonts w:ascii="Times New Roman" w:hAnsi="Times New Roman" w:cs="Times New Roman" w:hint="eastAsia"/>
          <w:b/>
          <w:bCs/>
        </w:rPr>
        <w:t xml:space="preserve"> and</w:t>
      </w:r>
      <w:r w:rsidR="001E5DE6" w:rsidRPr="001E5DE6">
        <w:rPr>
          <w:rFonts w:ascii="Times New Roman" w:hAnsi="Times New Roman" w:cs="Times New Roman" w:hint="eastAsia"/>
          <w:b/>
          <w:bCs/>
        </w:rPr>
        <w:t xml:space="preserve"> less sensitive cells.</w:t>
      </w:r>
      <w:r w:rsidRPr="00845CFE">
        <w:rPr>
          <w:rFonts w:ascii="Times New Roman" w:hAnsi="Times New Roman" w:cs="Times New Roman"/>
        </w:rPr>
        <w:t xml:space="preserve"> </w:t>
      </w:r>
      <w:r w:rsidR="001E5DE6" w:rsidRPr="001E5DE6">
        <w:rPr>
          <w:rFonts w:ascii="Times New Roman" w:hAnsi="Times New Roman" w:cs="Times New Roman" w:hint="eastAsia"/>
        </w:rPr>
        <w:t xml:space="preserve">MTT assays of </w:t>
      </w:r>
      <w:r w:rsidR="001E5DE6">
        <w:rPr>
          <w:rFonts w:ascii="Times New Roman" w:hAnsi="Times New Roman" w:cs="Times New Roman" w:hint="eastAsia"/>
        </w:rPr>
        <w:t>HEL</w:t>
      </w:r>
      <w:r w:rsidR="001E5DE6" w:rsidRPr="001E5DE6">
        <w:rPr>
          <w:rFonts w:ascii="Times New Roman" w:hAnsi="Times New Roman" w:cs="Times New Roman" w:hint="eastAsia"/>
        </w:rPr>
        <w:t xml:space="preserve"> incubated with different HHT formulations for 24 </w:t>
      </w:r>
      <w:r w:rsidR="001E5DE6">
        <w:rPr>
          <w:rFonts w:ascii="Times New Roman" w:hAnsi="Times New Roman" w:cs="Times New Roman" w:hint="eastAsia"/>
        </w:rPr>
        <w:t xml:space="preserve">h (A), 48 h (B) and </w:t>
      </w:r>
      <w:r w:rsidR="001E5DE6" w:rsidRPr="001E5DE6">
        <w:rPr>
          <w:rFonts w:ascii="Times New Roman" w:hAnsi="Times New Roman" w:cs="Times New Roman" w:hint="eastAsia"/>
        </w:rPr>
        <w:t>72 h</w:t>
      </w:r>
      <w:r w:rsidR="001E5DE6">
        <w:rPr>
          <w:rFonts w:ascii="Times New Roman" w:hAnsi="Times New Roman" w:cs="Times New Roman" w:hint="eastAsia"/>
        </w:rPr>
        <w:t xml:space="preserve"> (C)</w:t>
      </w:r>
      <w:r w:rsidR="001E5DE6" w:rsidRPr="001E5DE6">
        <w:rPr>
          <w:rFonts w:ascii="Times New Roman" w:hAnsi="Times New Roman" w:cs="Times New Roman" w:hint="eastAsia"/>
        </w:rPr>
        <w:t>.</w:t>
      </w:r>
      <w:r w:rsidR="001E5DE6">
        <w:rPr>
          <w:rFonts w:ascii="Times New Roman" w:hAnsi="Times New Roman" w:cs="Times New Roman" w:hint="eastAsia"/>
        </w:rPr>
        <w:t xml:space="preserve"> </w:t>
      </w:r>
      <w:r w:rsidR="001E5DE6" w:rsidRPr="00144494">
        <w:rPr>
          <w:rFonts w:ascii="Times New Roman" w:hAnsi="Times New Roman" w:cs="Times New Roman"/>
        </w:rPr>
        <w:t>(</w:t>
      </w:r>
      <w:r w:rsidR="001E5DE6">
        <w:rPr>
          <w:rFonts w:ascii="Times New Roman" w:hAnsi="Times New Roman" w:cs="Times New Roman" w:hint="eastAsia"/>
        </w:rPr>
        <w:t>D</w:t>
      </w:r>
      <w:r w:rsidR="001E5DE6" w:rsidRPr="00144494">
        <w:rPr>
          <w:rFonts w:ascii="Times New Roman" w:hAnsi="Times New Roman" w:cs="Times New Roman"/>
        </w:rPr>
        <w:t xml:space="preserve">) Apoptosis analysis in </w:t>
      </w:r>
      <w:r w:rsidR="001E5DE6">
        <w:rPr>
          <w:rFonts w:ascii="Times New Roman" w:hAnsi="Times New Roman" w:cs="Times New Roman" w:hint="eastAsia"/>
        </w:rPr>
        <w:t>HEL</w:t>
      </w:r>
      <w:r w:rsidR="001E5DE6" w:rsidRPr="00144494">
        <w:rPr>
          <w:rFonts w:ascii="Times New Roman" w:hAnsi="Times New Roman" w:cs="Times New Roman"/>
        </w:rPr>
        <w:t xml:space="preserve"> treat</w:t>
      </w:r>
      <w:r w:rsidR="001E5DE6">
        <w:rPr>
          <w:rFonts w:ascii="Times New Roman" w:hAnsi="Times New Roman" w:cs="Times New Roman" w:hint="eastAsia"/>
        </w:rPr>
        <w:t>ed</w:t>
      </w:r>
      <w:r w:rsidR="001E5DE6" w:rsidRPr="00144494">
        <w:rPr>
          <w:rFonts w:ascii="Times New Roman" w:hAnsi="Times New Roman" w:cs="Times New Roman"/>
        </w:rPr>
        <w:t xml:space="preserve"> with different HHT formulations</w:t>
      </w:r>
      <w:r w:rsidR="001E5DE6">
        <w:rPr>
          <w:rFonts w:ascii="Times New Roman" w:hAnsi="Times New Roman" w:cs="Times New Roman" w:hint="eastAsia"/>
        </w:rPr>
        <w:t xml:space="preserve"> (400 nM) for 48 h. </w:t>
      </w:r>
      <w:r w:rsidR="001E5DE6" w:rsidRPr="00144494">
        <w:rPr>
          <w:rFonts w:ascii="Times New Roman" w:hAnsi="Times New Roman" w:cs="Times New Roman"/>
        </w:rPr>
        <w:t>(</w:t>
      </w:r>
      <w:r w:rsidR="001E5DE6">
        <w:rPr>
          <w:rFonts w:ascii="Times New Roman" w:hAnsi="Times New Roman" w:cs="Times New Roman" w:hint="eastAsia"/>
        </w:rPr>
        <w:t>E</w:t>
      </w:r>
      <w:r w:rsidR="001E5DE6" w:rsidRPr="00144494">
        <w:rPr>
          <w:rFonts w:ascii="Times New Roman" w:hAnsi="Times New Roman" w:cs="Times New Roman"/>
        </w:rPr>
        <w:t>) Quantitative analysis of apoptosis data shown in (</w:t>
      </w:r>
      <w:r w:rsidR="001E5DE6">
        <w:rPr>
          <w:rFonts w:ascii="Times New Roman" w:hAnsi="Times New Roman" w:cs="Times New Roman" w:hint="eastAsia"/>
        </w:rPr>
        <w:t>D</w:t>
      </w:r>
      <w:r w:rsidR="001E5DE6" w:rsidRPr="00144494">
        <w:rPr>
          <w:rFonts w:ascii="Times New Roman" w:hAnsi="Times New Roman" w:cs="Times New Roman"/>
        </w:rPr>
        <w:t>)</w:t>
      </w:r>
      <w:r w:rsidR="001E5DE6" w:rsidRPr="00144494">
        <w:rPr>
          <w:rFonts w:ascii="Times New Roman" w:hAnsi="Times New Roman" w:cs="Times New Roman" w:hint="eastAsia"/>
        </w:rPr>
        <w:t xml:space="preserve"> (n=3)</w:t>
      </w:r>
      <w:r w:rsidR="001E5DE6">
        <w:rPr>
          <w:rFonts w:ascii="Times New Roman" w:hAnsi="Times New Roman" w:cs="Times New Roman" w:hint="eastAsia"/>
        </w:rPr>
        <w:t xml:space="preserve">. </w:t>
      </w:r>
      <w:r w:rsidR="001E5DE6" w:rsidRPr="00144494">
        <w:rPr>
          <w:rFonts w:ascii="Times New Roman" w:hAnsi="Times New Roman" w:cs="Times New Roman"/>
        </w:rPr>
        <w:t>(</w:t>
      </w:r>
      <w:r w:rsidR="001E5DE6">
        <w:rPr>
          <w:rFonts w:ascii="Times New Roman" w:hAnsi="Times New Roman" w:cs="Times New Roman" w:hint="eastAsia"/>
        </w:rPr>
        <w:t>F</w:t>
      </w:r>
      <w:r w:rsidR="001E5DE6" w:rsidRPr="00144494">
        <w:rPr>
          <w:rFonts w:ascii="Times New Roman" w:hAnsi="Times New Roman" w:cs="Times New Roman"/>
        </w:rPr>
        <w:t xml:space="preserve">) Representative images of soft agar colony formation in </w:t>
      </w:r>
      <w:r w:rsidR="001E5DE6">
        <w:rPr>
          <w:rFonts w:ascii="Times New Roman" w:hAnsi="Times New Roman" w:cs="Times New Roman" w:hint="eastAsia"/>
        </w:rPr>
        <w:t>HEL</w:t>
      </w:r>
      <w:r w:rsidR="001E5DE6" w:rsidRPr="00144494">
        <w:rPr>
          <w:rFonts w:ascii="Times New Roman" w:hAnsi="Times New Roman" w:cs="Times New Roman"/>
        </w:rPr>
        <w:t xml:space="preserve"> (</w:t>
      </w:r>
      <w:r w:rsidR="001E5DE6">
        <w:rPr>
          <w:rFonts w:ascii="Times New Roman" w:hAnsi="Times New Roman" w:cs="Times New Roman" w:hint="eastAsia"/>
        </w:rPr>
        <w:t>100</w:t>
      </w:r>
      <w:r w:rsidR="001E5DE6" w:rsidRPr="00144494">
        <w:rPr>
          <w:rFonts w:ascii="Times New Roman" w:hAnsi="Times New Roman" w:cs="Times New Roman"/>
        </w:rPr>
        <w:t xml:space="preserve"> nM) </w:t>
      </w:r>
      <w:r w:rsidR="001E5DE6">
        <w:rPr>
          <w:rFonts w:ascii="Times New Roman" w:hAnsi="Times New Roman" w:cs="Times New Roman" w:hint="eastAsia"/>
        </w:rPr>
        <w:t>treated with different</w:t>
      </w:r>
      <w:r w:rsidR="001E5DE6" w:rsidRPr="00144494">
        <w:rPr>
          <w:rFonts w:ascii="Times New Roman" w:hAnsi="Times New Roman" w:cs="Times New Roman"/>
        </w:rPr>
        <w:t xml:space="preserve"> HHT formulations. (</w:t>
      </w:r>
      <w:r w:rsidR="001E5DE6">
        <w:rPr>
          <w:rFonts w:ascii="Times New Roman" w:hAnsi="Times New Roman" w:cs="Times New Roman" w:hint="eastAsia"/>
        </w:rPr>
        <w:t>G</w:t>
      </w:r>
      <w:r w:rsidR="001E5DE6" w:rsidRPr="00144494">
        <w:rPr>
          <w:rFonts w:ascii="Times New Roman" w:hAnsi="Times New Roman" w:cs="Times New Roman"/>
        </w:rPr>
        <w:t>)</w:t>
      </w:r>
      <w:r w:rsidR="001E5DE6">
        <w:rPr>
          <w:rFonts w:ascii="Times New Roman" w:hAnsi="Times New Roman" w:cs="Times New Roman" w:hint="eastAsia"/>
        </w:rPr>
        <w:t xml:space="preserve"> </w:t>
      </w:r>
      <w:r w:rsidR="001E5DE6" w:rsidRPr="00144494">
        <w:rPr>
          <w:rFonts w:ascii="Times New Roman" w:hAnsi="Times New Roman" w:cs="Times New Roman"/>
        </w:rPr>
        <w:t>Quantification of colony numbers from (</w:t>
      </w:r>
      <w:r w:rsidR="001E5DE6">
        <w:rPr>
          <w:rFonts w:ascii="Times New Roman" w:hAnsi="Times New Roman" w:cs="Times New Roman" w:hint="eastAsia"/>
        </w:rPr>
        <w:t>F</w:t>
      </w:r>
      <w:r w:rsidR="001E5DE6" w:rsidRPr="00144494">
        <w:rPr>
          <w:rFonts w:ascii="Times New Roman" w:hAnsi="Times New Roman" w:cs="Times New Roman"/>
        </w:rPr>
        <w:t>) (n=3).</w:t>
      </w:r>
      <w:r w:rsidR="00214753">
        <w:rPr>
          <w:rFonts w:ascii="Times New Roman" w:hAnsi="Times New Roman" w:cs="Times New Roman" w:hint="eastAsia"/>
        </w:rPr>
        <w:t xml:space="preserve"> </w:t>
      </w:r>
      <w:r w:rsidR="00214753" w:rsidRPr="00214753">
        <w:rPr>
          <w:rFonts w:ascii="Times New Roman" w:hAnsi="Times New Roman" w:cs="Times New Roman" w:hint="eastAsia"/>
        </w:rPr>
        <w:t xml:space="preserve">*,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0.05;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0.01; ***, </w:t>
      </w:r>
      <w:r w:rsidR="00214753" w:rsidRPr="00214753">
        <w:rPr>
          <w:rFonts w:ascii="Times New Roman" w:hAnsi="Times New Roman" w:cs="Times New Roman" w:hint="eastAsia"/>
          <w:i/>
          <w:iCs/>
        </w:rPr>
        <w:t xml:space="preserve">p </w:t>
      </w:r>
      <w:r w:rsidR="00214753" w:rsidRPr="00214753">
        <w:rPr>
          <w:rFonts w:ascii="Times New Roman" w:hAnsi="Times New Roman" w:cs="Times New Roman" w:hint="eastAsia"/>
        </w:rPr>
        <w:t xml:space="preserve">&lt; 0.001; ****, </w:t>
      </w:r>
      <w:r w:rsidR="00214753" w:rsidRPr="00214753">
        <w:rPr>
          <w:rFonts w:ascii="Times New Roman" w:hAnsi="Times New Roman" w:cs="Times New Roman" w:hint="eastAsia"/>
          <w:i/>
          <w:iCs/>
        </w:rPr>
        <w:t>p</w:t>
      </w:r>
      <w:r w:rsidR="00214753" w:rsidRPr="00214753">
        <w:rPr>
          <w:rFonts w:ascii="Times New Roman" w:hAnsi="Times New Roman" w:cs="Times New Roman" w:hint="eastAsia"/>
        </w:rPr>
        <w:t xml:space="preserve"> &lt; 0.0001; ns, not significant.</w:t>
      </w:r>
    </w:p>
    <w:p w14:paraId="39932405" w14:textId="77777777" w:rsidR="00E747C4" w:rsidRDefault="00E747C4" w:rsidP="001778AA">
      <w:pPr>
        <w:spacing w:line="480" w:lineRule="auto"/>
        <w:rPr>
          <w:rFonts w:ascii="Times New Roman" w:hAnsi="Times New Roman" w:cs="Times New Roman"/>
        </w:rPr>
      </w:pPr>
    </w:p>
    <w:p w14:paraId="22DCE637" w14:textId="77777777" w:rsidR="00E747C4" w:rsidRDefault="00E747C4" w:rsidP="001778AA">
      <w:pPr>
        <w:spacing w:line="480" w:lineRule="auto"/>
        <w:rPr>
          <w:rFonts w:ascii="Times New Roman" w:hAnsi="Times New Roman" w:cs="Times New Roman"/>
        </w:rPr>
      </w:pPr>
    </w:p>
    <w:p w14:paraId="21DD4235" w14:textId="77777777" w:rsidR="00E747C4" w:rsidRDefault="00E747C4" w:rsidP="001778AA">
      <w:pPr>
        <w:spacing w:line="480" w:lineRule="auto"/>
        <w:rPr>
          <w:rFonts w:ascii="Times New Roman" w:hAnsi="Times New Roman" w:cs="Times New Roman"/>
        </w:rPr>
      </w:pPr>
    </w:p>
    <w:p w14:paraId="2C9C107B" w14:textId="165A452C" w:rsidR="00E747C4" w:rsidRPr="00242ACC" w:rsidRDefault="00E747C4" w:rsidP="00E747C4">
      <w:pPr>
        <w:spacing w:line="480" w:lineRule="auto"/>
        <w:jc w:val="center"/>
        <w:rPr>
          <w:rFonts w:ascii="Times New Roman" w:hAnsi="Times New Roman" w:cs="Times New Roman"/>
          <w:b/>
          <w:bCs/>
        </w:rPr>
      </w:pPr>
      <w:r w:rsidRPr="00242ACC">
        <w:rPr>
          <w:rFonts w:ascii="Times New Roman" w:hAnsi="Times New Roman" w:cs="Times New Roman"/>
          <w:b/>
          <w:bCs/>
        </w:rPr>
        <w:t xml:space="preserve">Supplementary Table </w:t>
      </w:r>
      <w:r w:rsidR="00D01C73">
        <w:rPr>
          <w:rFonts w:ascii="Times New Roman" w:hAnsi="Times New Roman" w:cs="Times New Roman" w:hint="eastAsia"/>
          <w:b/>
          <w:bCs/>
        </w:rPr>
        <w:t>5</w:t>
      </w:r>
      <w:r w:rsidRPr="00242ACC">
        <w:rPr>
          <w:rFonts w:ascii="Times New Roman" w:hAnsi="Times New Roman" w:cs="Times New Roman"/>
          <w:b/>
          <w:bCs/>
        </w:rPr>
        <w:t>. IC₅₀ (nM) of HEL treated with different HHT formulations.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E747C4" w:rsidRPr="00242ACC" w14:paraId="3433AB7C" w14:textId="77777777" w:rsidTr="00A40A68">
        <w:trPr>
          <w:jc w:val="center"/>
        </w:trPr>
        <w:tc>
          <w:tcPr>
            <w:tcW w:w="2074" w:type="dxa"/>
            <w:tcBorders>
              <w:top w:val="single" w:sz="4" w:space="0" w:color="auto"/>
              <w:bottom w:val="single" w:sz="4" w:space="0" w:color="auto"/>
              <w:tl2br w:val="single" w:sz="4" w:space="0" w:color="auto"/>
            </w:tcBorders>
          </w:tcPr>
          <w:p w14:paraId="7A310DA8" w14:textId="77777777" w:rsidR="00E747C4" w:rsidRPr="00242ACC" w:rsidRDefault="00E747C4" w:rsidP="00A40A68">
            <w:pPr>
              <w:spacing w:line="480" w:lineRule="auto"/>
              <w:rPr>
                <w:rFonts w:ascii="Times New Roman" w:hAnsi="Times New Roman" w:cs="Times New Roman"/>
                <w:b/>
                <w:bCs/>
                <w:sz w:val="24"/>
                <w:szCs w:val="28"/>
                <w:vertAlign w:val="subscript"/>
              </w:rPr>
            </w:pPr>
            <w:r w:rsidRPr="00242ACC">
              <w:rPr>
                <w:rFonts w:ascii="Times New Roman" w:hAnsi="Times New Roman" w:cs="Times New Roman"/>
                <w:b/>
                <w:bCs/>
                <w:sz w:val="24"/>
                <w:szCs w:val="28"/>
                <w:vertAlign w:val="subscript"/>
              </w:rPr>
              <w:t xml:space="preserve">Time(h)          </w:t>
            </w:r>
            <w:r w:rsidRPr="00242ACC">
              <w:rPr>
                <w:rFonts w:ascii="Times New Roman" w:hAnsi="Times New Roman" w:cs="Times New Roman"/>
                <w:b/>
                <w:bCs/>
                <w:sz w:val="24"/>
                <w:szCs w:val="28"/>
                <w:vertAlign w:val="superscript"/>
              </w:rPr>
              <w:t>Group</w:t>
            </w:r>
          </w:p>
        </w:tc>
        <w:tc>
          <w:tcPr>
            <w:tcW w:w="2074" w:type="dxa"/>
            <w:tcBorders>
              <w:top w:val="single" w:sz="4" w:space="0" w:color="auto"/>
              <w:bottom w:val="single" w:sz="4" w:space="0" w:color="auto"/>
            </w:tcBorders>
          </w:tcPr>
          <w:p w14:paraId="46E5D11B" w14:textId="77777777" w:rsidR="00E747C4" w:rsidRPr="00242ACC" w:rsidRDefault="00E747C4" w:rsidP="00A40A68">
            <w:pPr>
              <w:spacing w:line="480" w:lineRule="auto"/>
              <w:jc w:val="center"/>
              <w:rPr>
                <w:rFonts w:ascii="Times New Roman" w:hAnsi="Times New Roman" w:cs="Times New Roman"/>
                <w:b/>
                <w:bCs/>
              </w:rPr>
            </w:pPr>
            <w:r w:rsidRPr="00242ACC">
              <w:rPr>
                <w:rFonts w:ascii="Times New Roman" w:hAnsi="Times New Roman" w:cs="Times New Roman"/>
                <w:b/>
                <w:bCs/>
              </w:rPr>
              <w:t>Free HHT</w:t>
            </w:r>
          </w:p>
        </w:tc>
        <w:tc>
          <w:tcPr>
            <w:tcW w:w="2074" w:type="dxa"/>
            <w:tcBorders>
              <w:top w:val="single" w:sz="4" w:space="0" w:color="auto"/>
              <w:bottom w:val="single" w:sz="4" w:space="0" w:color="auto"/>
            </w:tcBorders>
          </w:tcPr>
          <w:p w14:paraId="7993C203" w14:textId="77777777" w:rsidR="00E747C4" w:rsidRPr="00242ACC" w:rsidRDefault="00E747C4" w:rsidP="00A40A68">
            <w:pPr>
              <w:spacing w:line="480" w:lineRule="auto"/>
              <w:jc w:val="center"/>
              <w:rPr>
                <w:rFonts w:ascii="Times New Roman" w:hAnsi="Times New Roman" w:cs="Times New Roman"/>
                <w:b/>
                <w:bCs/>
              </w:rPr>
            </w:pPr>
            <w:r w:rsidRPr="00242ACC">
              <w:rPr>
                <w:rFonts w:ascii="Times New Roman" w:hAnsi="Times New Roman" w:cs="Times New Roman"/>
                <w:b/>
                <w:bCs/>
              </w:rPr>
              <w:t>DTP/HHT</w:t>
            </w:r>
          </w:p>
        </w:tc>
        <w:tc>
          <w:tcPr>
            <w:tcW w:w="2074" w:type="dxa"/>
            <w:tcBorders>
              <w:top w:val="single" w:sz="4" w:space="0" w:color="auto"/>
              <w:bottom w:val="single" w:sz="4" w:space="0" w:color="auto"/>
            </w:tcBorders>
          </w:tcPr>
          <w:p w14:paraId="3486D8B0" w14:textId="77777777" w:rsidR="00E747C4" w:rsidRPr="00242ACC" w:rsidRDefault="00E747C4" w:rsidP="00A40A68">
            <w:pPr>
              <w:spacing w:line="480" w:lineRule="auto"/>
              <w:jc w:val="center"/>
              <w:rPr>
                <w:rFonts w:ascii="Times New Roman" w:hAnsi="Times New Roman" w:cs="Times New Roman"/>
                <w:b/>
                <w:bCs/>
              </w:rPr>
            </w:pPr>
            <w:r w:rsidRPr="00242ACC">
              <w:rPr>
                <w:rFonts w:ascii="Times New Roman" w:hAnsi="Times New Roman" w:cs="Times New Roman"/>
                <w:b/>
                <w:bCs/>
              </w:rPr>
              <w:t>TDTP/HHT</w:t>
            </w:r>
          </w:p>
        </w:tc>
      </w:tr>
      <w:tr w:rsidR="00E747C4" w:rsidRPr="00242ACC" w14:paraId="4279BA18" w14:textId="77777777" w:rsidTr="00A40A68">
        <w:trPr>
          <w:jc w:val="center"/>
        </w:trPr>
        <w:tc>
          <w:tcPr>
            <w:tcW w:w="2074" w:type="dxa"/>
            <w:tcBorders>
              <w:top w:val="single" w:sz="4" w:space="0" w:color="auto"/>
            </w:tcBorders>
          </w:tcPr>
          <w:p w14:paraId="3D467BD4"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24</w:t>
            </w:r>
          </w:p>
        </w:tc>
        <w:tc>
          <w:tcPr>
            <w:tcW w:w="2074" w:type="dxa"/>
            <w:tcBorders>
              <w:top w:val="single" w:sz="4" w:space="0" w:color="auto"/>
            </w:tcBorders>
          </w:tcPr>
          <w:p w14:paraId="54094E4E"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651.4</w:t>
            </w:r>
          </w:p>
        </w:tc>
        <w:tc>
          <w:tcPr>
            <w:tcW w:w="2074" w:type="dxa"/>
            <w:tcBorders>
              <w:top w:val="single" w:sz="4" w:space="0" w:color="auto"/>
            </w:tcBorders>
          </w:tcPr>
          <w:p w14:paraId="040DDB75"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606.8</w:t>
            </w:r>
          </w:p>
        </w:tc>
        <w:tc>
          <w:tcPr>
            <w:tcW w:w="2074" w:type="dxa"/>
            <w:tcBorders>
              <w:top w:val="single" w:sz="4" w:space="0" w:color="auto"/>
            </w:tcBorders>
          </w:tcPr>
          <w:p w14:paraId="22A8D82B"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721.1</w:t>
            </w:r>
          </w:p>
        </w:tc>
      </w:tr>
      <w:tr w:rsidR="00E747C4" w:rsidRPr="00242ACC" w14:paraId="49E5E5F1" w14:textId="77777777" w:rsidTr="00A40A68">
        <w:trPr>
          <w:jc w:val="center"/>
        </w:trPr>
        <w:tc>
          <w:tcPr>
            <w:tcW w:w="2074" w:type="dxa"/>
          </w:tcPr>
          <w:p w14:paraId="52E507B4"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48</w:t>
            </w:r>
          </w:p>
        </w:tc>
        <w:tc>
          <w:tcPr>
            <w:tcW w:w="2074" w:type="dxa"/>
          </w:tcPr>
          <w:p w14:paraId="37656E31"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123.6</w:t>
            </w:r>
          </w:p>
        </w:tc>
        <w:tc>
          <w:tcPr>
            <w:tcW w:w="2074" w:type="dxa"/>
          </w:tcPr>
          <w:p w14:paraId="4941138F" w14:textId="77777777" w:rsidR="00E747C4" w:rsidRPr="00242ACC" w:rsidRDefault="00E747C4" w:rsidP="00A40A68">
            <w:pPr>
              <w:widowControl/>
              <w:spacing w:line="480" w:lineRule="auto"/>
              <w:jc w:val="center"/>
              <w:rPr>
                <w:rFonts w:ascii="Times New Roman" w:hAnsi="Times New Roman" w:cs="Times New Roman"/>
                <w:szCs w:val="21"/>
              </w:rPr>
            </w:pPr>
            <w:r w:rsidRPr="00242ACC">
              <w:rPr>
                <w:rFonts w:ascii="Times New Roman" w:hAnsi="Times New Roman" w:cs="Times New Roman"/>
                <w:szCs w:val="21"/>
              </w:rPr>
              <w:t>140.9</w:t>
            </w:r>
          </w:p>
        </w:tc>
        <w:tc>
          <w:tcPr>
            <w:tcW w:w="2074" w:type="dxa"/>
          </w:tcPr>
          <w:p w14:paraId="609832E8"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68.6</w:t>
            </w:r>
          </w:p>
        </w:tc>
      </w:tr>
      <w:tr w:rsidR="00E747C4" w:rsidRPr="00242ACC" w14:paraId="791B0277" w14:textId="77777777" w:rsidTr="00A40A68">
        <w:trPr>
          <w:jc w:val="center"/>
        </w:trPr>
        <w:tc>
          <w:tcPr>
            <w:tcW w:w="2074" w:type="dxa"/>
          </w:tcPr>
          <w:p w14:paraId="13B32B77"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72</w:t>
            </w:r>
          </w:p>
        </w:tc>
        <w:tc>
          <w:tcPr>
            <w:tcW w:w="2074" w:type="dxa"/>
          </w:tcPr>
          <w:p w14:paraId="5B9730B2"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120.6</w:t>
            </w:r>
          </w:p>
        </w:tc>
        <w:tc>
          <w:tcPr>
            <w:tcW w:w="2074" w:type="dxa"/>
          </w:tcPr>
          <w:p w14:paraId="52340CE8"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123.3</w:t>
            </w:r>
          </w:p>
        </w:tc>
        <w:tc>
          <w:tcPr>
            <w:tcW w:w="2074" w:type="dxa"/>
          </w:tcPr>
          <w:p w14:paraId="31DFFDDE" w14:textId="77777777" w:rsidR="00E747C4" w:rsidRPr="00242ACC" w:rsidRDefault="00E747C4" w:rsidP="00A40A68">
            <w:pPr>
              <w:spacing w:line="480" w:lineRule="auto"/>
              <w:jc w:val="center"/>
              <w:rPr>
                <w:rFonts w:ascii="Times New Roman" w:hAnsi="Times New Roman" w:cs="Times New Roman"/>
                <w:szCs w:val="21"/>
              </w:rPr>
            </w:pPr>
            <w:r w:rsidRPr="00242ACC">
              <w:rPr>
                <w:rFonts w:ascii="Times New Roman" w:hAnsi="Times New Roman" w:cs="Times New Roman"/>
                <w:szCs w:val="21"/>
              </w:rPr>
              <w:t>73.6</w:t>
            </w:r>
          </w:p>
        </w:tc>
      </w:tr>
    </w:tbl>
    <w:p w14:paraId="1C3A80C0" w14:textId="77777777" w:rsidR="00E747C4" w:rsidRPr="00242ACC" w:rsidRDefault="00E747C4" w:rsidP="00E747C4">
      <w:pPr>
        <w:spacing w:line="480" w:lineRule="auto"/>
        <w:jc w:val="center"/>
        <w:rPr>
          <w:rFonts w:ascii="Times New Roman" w:hAnsi="Times New Roman" w:cs="Times New Roman"/>
          <w:b/>
          <w:bCs/>
        </w:rPr>
      </w:pPr>
    </w:p>
    <w:p w14:paraId="3078FD59" w14:textId="77777777" w:rsidR="00E747C4" w:rsidRDefault="00E747C4" w:rsidP="001778AA">
      <w:pPr>
        <w:spacing w:line="480" w:lineRule="auto"/>
        <w:rPr>
          <w:rFonts w:ascii="Times New Roman" w:hAnsi="Times New Roman" w:cs="Times New Roman"/>
        </w:rPr>
      </w:pPr>
    </w:p>
    <w:p w14:paraId="320D0660" w14:textId="071A506C" w:rsidR="007F4BCC" w:rsidRDefault="007F4BCC" w:rsidP="001778AA">
      <w:pPr>
        <w:spacing w:line="480" w:lineRule="auto"/>
        <w:rPr>
          <w:rFonts w:ascii="Times New Roman" w:hAnsi="Times New Roman" w:cs="Times New Roman"/>
        </w:rPr>
      </w:pPr>
      <w:r>
        <w:rPr>
          <w:rFonts w:ascii="Times New Roman" w:hAnsi="Times New Roman" w:cs="Times New Roman"/>
          <w:noProof/>
        </w:rPr>
        <w:drawing>
          <wp:inline distT="0" distB="0" distL="0" distR="0" wp14:anchorId="178BF5EF" wp14:editId="5F95F5EF">
            <wp:extent cx="5039868" cy="3240024"/>
            <wp:effectExtent l="0" t="0" r="8890" b="0"/>
            <wp:docPr id="14562637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63787" name="图片 14562637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868" cy="3240024"/>
                    </a:xfrm>
                    <a:prstGeom prst="rect">
                      <a:avLst/>
                    </a:prstGeom>
                  </pic:spPr>
                </pic:pic>
              </a:graphicData>
            </a:graphic>
          </wp:inline>
        </w:drawing>
      </w:r>
    </w:p>
    <w:p w14:paraId="66133FD3" w14:textId="312AFE0A" w:rsidR="00E747C4" w:rsidRDefault="00E747C4" w:rsidP="00E747C4">
      <w:pPr>
        <w:spacing w:line="480" w:lineRule="auto"/>
        <w:rPr>
          <w:rFonts w:ascii="Times New Roman" w:hAnsi="Times New Roman" w:cs="Times New Roman"/>
        </w:rPr>
      </w:pPr>
      <w:r w:rsidRPr="00845CFE">
        <w:rPr>
          <w:rFonts w:ascii="Times New Roman" w:hAnsi="Times New Roman" w:cs="Times New Roman"/>
          <w:b/>
          <w:bCs/>
        </w:rPr>
        <w:t xml:space="preserve">Supplementary Figure </w:t>
      </w:r>
      <w:r>
        <w:rPr>
          <w:rFonts w:ascii="Times New Roman" w:hAnsi="Times New Roman" w:cs="Times New Roman" w:hint="eastAsia"/>
          <w:b/>
          <w:bCs/>
        </w:rPr>
        <w:t>11</w:t>
      </w:r>
      <w:r w:rsidRPr="00845CFE">
        <w:rPr>
          <w:rFonts w:ascii="Times New Roman" w:hAnsi="Times New Roman" w:cs="Times New Roman"/>
          <w:b/>
          <w:bCs/>
        </w:rPr>
        <w:t>.</w:t>
      </w:r>
      <w:r w:rsidRPr="00845CFE">
        <w:rPr>
          <w:rFonts w:ascii="Times New Roman" w:hAnsi="Times New Roman" w:cs="Times New Roman"/>
        </w:rPr>
        <w:t xml:space="preserve"> </w:t>
      </w:r>
      <w:r w:rsidR="00634FCB">
        <w:rPr>
          <w:rFonts w:ascii="Times New Roman" w:hAnsi="Times New Roman" w:cs="Times New Roman"/>
          <w:b/>
          <w:bCs/>
        </w:rPr>
        <w:t>C</w:t>
      </w:r>
      <w:r w:rsidR="00634FCB">
        <w:rPr>
          <w:rFonts w:ascii="Times New Roman" w:hAnsi="Times New Roman" w:cs="Times New Roman" w:hint="eastAsia"/>
          <w:b/>
          <w:bCs/>
        </w:rPr>
        <w:t xml:space="preserve">hanges of </w:t>
      </w:r>
      <w:r w:rsidR="00634FCB" w:rsidRPr="00634FCB">
        <w:rPr>
          <w:rFonts w:ascii="Times New Roman" w:hAnsi="Times New Roman" w:cs="Times New Roman" w:hint="eastAsia"/>
          <w:b/>
          <w:bCs/>
        </w:rPr>
        <w:t>FLT3 signaling and downstream effectors</w:t>
      </w:r>
      <w:r w:rsidR="00634FCB">
        <w:rPr>
          <w:rFonts w:ascii="Times New Roman" w:hAnsi="Times New Roman" w:cs="Times New Roman" w:hint="eastAsia"/>
          <w:b/>
          <w:bCs/>
        </w:rPr>
        <w:t>.</w:t>
      </w:r>
      <w:r w:rsidRPr="00845CFE">
        <w:rPr>
          <w:rFonts w:ascii="Times New Roman" w:hAnsi="Times New Roman" w:cs="Times New Roman"/>
        </w:rPr>
        <w:t xml:space="preserve"> </w:t>
      </w:r>
      <w:r w:rsidR="00634FCB">
        <w:rPr>
          <w:rFonts w:ascii="Times New Roman" w:hAnsi="Times New Roman" w:cs="Times New Roman" w:hint="eastAsia"/>
        </w:rPr>
        <w:t>HEL were treated with different formulation</w:t>
      </w:r>
      <w:r w:rsidR="000E7796">
        <w:rPr>
          <w:rFonts w:ascii="Times New Roman" w:hAnsi="Times New Roman" w:cs="Times New Roman" w:hint="eastAsia"/>
        </w:rPr>
        <w:t>s</w:t>
      </w:r>
      <w:r w:rsidR="00634FCB">
        <w:rPr>
          <w:rFonts w:ascii="Times New Roman" w:hAnsi="Times New Roman" w:cs="Times New Roman" w:hint="eastAsia"/>
        </w:rPr>
        <w:t xml:space="preserve"> containing 400 nM HHT.</w:t>
      </w:r>
      <w:r w:rsidR="00C2730F">
        <w:rPr>
          <w:rFonts w:ascii="Times New Roman" w:hAnsi="Times New Roman" w:cs="Times New Roman" w:hint="eastAsia"/>
        </w:rPr>
        <w:t xml:space="preserve"> </w:t>
      </w:r>
      <w:r w:rsidR="00C2730F" w:rsidRPr="00C2730F">
        <w:rPr>
          <w:rFonts w:ascii="Times New Roman" w:hAnsi="Times New Roman" w:cs="Times New Roman" w:hint="eastAsia"/>
        </w:rPr>
        <w:t>C, control; H, free HHT; D, DTP/HHT; T, TDTP/HHT.</w:t>
      </w:r>
    </w:p>
    <w:p w14:paraId="605AFA25" w14:textId="77777777" w:rsidR="007F4BCC" w:rsidRDefault="007F4BCC" w:rsidP="001778AA">
      <w:pPr>
        <w:spacing w:line="480" w:lineRule="auto"/>
        <w:rPr>
          <w:rFonts w:ascii="Times New Roman" w:hAnsi="Times New Roman" w:cs="Times New Roman"/>
        </w:rPr>
      </w:pPr>
    </w:p>
    <w:p w14:paraId="1C899B30" w14:textId="77777777" w:rsidR="00E747C4" w:rsidRDefault="00E747C4" w:rsidP="001778AA">
      <w:pPr>
        <w:spacing w:line="480" w:lineRule="auto"/>
        <w:rPr>
          <w:rFonts w:ascii="Times New Roman" w:hAnsi="Times New Roman" w:cs="Times New Roman"/>
        </w:rPr>
      </w:pPr>
    </w:p>
    <w:p w14:paraId="470A8C79" w14:textId="1936742C" w:rsidR="007F4BCC" w:rsidRDefault="00440B83" w:rsidP="001778AA">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9138304" wp14:editId="3EA5388A">
            <wp:extent cx="5274310" cy="2176145"/>
            <wp:effectExtent l="0" t="0" r="2540" b="0"/>
            <wp:docPr id="20402080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08077" name="图片 20402080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176145"/>
                    </a:xfrm>
                    <a:prstGeom prst="rect">
                      <a:avLst/>
                    </a:prstGeom>
                  </pic:spPr>
                </pic:pic>
              </a:graphicData>
            </a:graphic>
          </wp:inline>
        </w:drawing>
      </w:r>
    </w:p>
    <w:p w14:paraId="14F34C08" w14:textId="6577C1BE" w:rsidR="007F4BCC" w:rsidRPr="00D01C73" w:rsidRDefault="00E747C4" w:rsidP="001778AA">
      <w:pPr>
        <w:spacing w:line="480" w:lineRule="auto"/>
        <w:rPr>
          <w:rFonts w:ascii="Times New Roman" w:hAnsi="Times New Roman" w:cs="Times New Roman"/>
        </w:rPr>
      </w:pPr>
      <w:r w:rsidRPr="00845CFE">
        <w:rPr>
          <w:rFonts w:ascii="Times New Roman" w:hAnsi="Times New Roman" w:cs="Times New Roman"/>
          <w:b/>
          <w:bCs/>
        </w:rPr>
        <w:t xml:space="preserve">Supplementary Figure </w:t>
      </w:r>
      <w:r>
        <w:rPr>
          <w:rFonts w:ascii="Times New Roman" w:hAnsi="Times New Roman" w:cs="Times New Roman" w:hint="eastAsia"/>
          <w:b/>
          <w:bCs/>
        </w:rPr>
        <w:t>12</w:t>
      </w:r>
      <w:r w:rsidRPr="00845CFE">
        <w:rPr>
          <w:rFonts w:ascii="Times New Roman" w:hAnsi="Times New Roman" w:cs="Times New Roman"/>
          <w:b/>
          <w:bCs/>
        </w:rPr>
        <w:t>.</w:t>
      </w:r>
      <w:r w:rsidR="00440B83" w:rsidRPr="00D01C73">
        <w:rPr>
          <w:rFonts w:ascii="Times New Roman" w:hAnsi="Times New Roman" w:cs="Times New Roman" w:hint="eastAsia"/>
          <w:b/>
          <w:bCs/>
        </w:rPr>
        <w:t xml:space="preserve"> TDTP/</w:t>
      </w:r>
      <w:r w:rsidR="00440B83" w:rsidRPr="00D01C73">
        <w:rPr>
          <w:rFonts w:ascii="Times New Roman" w:hAnsi="Times New Roman" w:cs="Times New Roman"/>
          <w:b/>
          <w:bCs/>
        </w:rPr>
        <w:t xml:space="preserve">HHT </w:t>
      </w:r>
      <w:r w:rsidR="008A1883">
        <w:rPr>
          <w:rFonts w:ascii="Times New Roman" w:hAnsi="Times New Roman" w:cs="Times New Roman" w:hint="eastAsia"/>
          <w:b/>
          <w:bCs/>
        </w:rPr>
        <w:t xml:space="preserve">is a </w:t>
      </w:r>
      <w:r w:rsidR="00440B83" w:rsidRPr="00D01C73">
        <w:rPr>
          <w:rFonts w:ascii="Times New Roman" w:hAnsi="Times New Roman" w:cs="Times New Roman" w:hint="eastAsia"/>
          <w:b/>
          <w:bCs/>
        </w:rPr>
        <w:t>no-toxicity drug delivery</w:t>
      </w:r>
      <w:r w:rsidR="008A1883">
        <w:rPr>
          <w:rFonts w:ascii="Times New Roman" w:hAnsi="Times New Roman" w:cs="Times New Roman" w:hint="eastAsia"/>
          <w:b/>
          <w:bCs/>
        </w:rPr>
        <w:t xml:space="preserve"> platform</w:t>
      </w:r>
      <w:r w:rsidR="00440B83" w:rsidRPr="00D01C73">
        <w:rPr>
          <w:rFonts w:ascii="Times New Roman" w:hAnsi="Times New Roman" w:cs="Times New Roman"/>
          <w:b/>
          <w:bCs/>
        </w:rPr>
        <w:t>.</w:t>
      </w:r>
      <w:r w:rsidR="00440B83" w:rsidRPr="00087465">
        <w:rPr>
          <w:rFonts w:eastAsia="SimSun" w:cs="SimSun"/>
          <w:sz w:val="19"/>
          <w:szCs w:val="20"/>
        </w:rPr>
        <w:t xml:space="preserve"> </w:t>
      </w:r>
      <w:r w:rsidR="00440B83" w:rsidRPr="00D01C73">
        <w:rPr>
          <w:rFonts w:ascii="Times New Roman" w:hAnsi="Times New Roman" w:cs="Times New Roman" w:hint="eastAsia"/>
        </w:rPr>
        <w:t>(</w:t>
      </w:r>
      <w:r w:rsidR="00D01C73">
        <w:rPr>
          <w:rFonts w:ascii="Times New Roman" w:hAnsi="Times New Roman" w:cs="Times New Roman" w:hint="eastAsia"/>
        </w:rPr>
        <w:t>A</w:t>
      </w:r>
      <w:r w:rsidR="00440B83" w:rsidRPr="00D01C73">
        <w:rPr>
          <w:rFonts w:ascii="Times New Roman" w:hAnsi="Times New Roman" w:cs="Times New Roman" w:hint="eastAsia"/>
        </w:rPr>
        <w:t xml:space="preserve">) </w:t>
      </w:r>
      <w:r w:rsidR="00440B83" w:rsidRPr="00D01C73">
        <w:rPr>
          <w:rFonts w:ascii="Times New Roman" w:hAnsi="Times New Roman" w:cs="Times New Roman"/>
        </w:rPr>
        <w:t>Representative H&amp;E-stained sections</w:t>
      </w:r>
      <w:r w:rsidR="00440B83" w:rsidRPr="00D01C73">
        <w:rPr>
          <w:rFonts w:ascii="Times New Roman" w:hAnsi="Times New Roman" w:cs="Times New Roman" w:hint="eastAsia"/>
        </w:rPr>
        <w:t xml:space="preserve"> of heart and kidney in </w:t>
      </w:r>
      <w:r w:rsidR="00440B83" w:rsidRPr="00D01C73">
        <w:rPr>
          <w:rFonts w:ascii="Times New Roman" w:hAnsi="Times New Roman" w:cs="Times New Roman"/>
        </w:rPr>
        <w:t>treatment groups</w:t>
      </w:r>
      <w:r w:rsidR="00440B83" w:rsidRPr="00D01C73">
        <w:rPr>
          <w:rFonts w:ascii="Times New Roman" w:hAnsi="Times New Roman" w:cs="Times New Roman" w:hint="eastAsia"/>
        </w:rPr>
        <w:t>. (</w:t>
      </w:r>
      <w:r w:rsidR="00D01C73">
        <w:rPr>
          <w:rFonts w:ascii="Times New Roman" w:hAnsi="Times New Roman" w:cs="Times New Roman" w:hint="eastAsia"/>
        </w:rPr>
        <w:t>B</w:t>
      </w:r>
      <w:r w:rsidR="00440B83" w:rsidRPr="00D01C73">
        <w:rPr>
          <w:rFonts w:ascii="Times New Roman" w:hAnsi="Times New Roman" w:cs="Times New Roman" w:hint="eastAsia"/>
        </w:rPr>
        <w:t>) Body weight changes in different groups during treatment.</w:t>
      </w:r>
    </w:p>
    <w:sectPr w:rsidR="007F4BCC" w:rsidRPr="00D01C73">
      <w:footerReference w:type="even" r:id="rId19"/>
      <w:footerReference w:type="defaul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14E1E" w14:textId="77777777" w:rsidR="00E12B9E" w:rsidRDefault="00E12B9E" w:rsidP="00925D88">
      <w:r>
        <w:separator/>
      </w:r>
    </w:p>
  </w:endnote>
  <w:endnote w:type="continuationSeparator" w:id="0">
    <w:p w14:paraId="738ADEFC" w14:textId="77777777" w:rsidR="00E12B9E" w:rsidRDefault="00E12B9E" w:rsidP="0092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30F50" w14:textId="3E8354CF" w:rsidR="00086D9E" w:rsidRDefault="00086D9E">
    <w:pPr>
      <w:pStyle w:val="Footer"/>
    </w:pPr>
    <w:r>
      <w:rPr>
        <w:noProof/>
      </w:rPr>
      <mc:AlternateContent>
        <mc:Choice Requires="wps">
          <w:drawing>
            <wp:anchor distT="0" distB="0" distL="0" distR="0" simplePos="0" relativeHeight="251659264" behindDoc="0" locked="0" layoutInCell="1" allowOverlap="1" wp14:anchorId="4F59552D" wp14:editId="10E50093">
              <wp:simplePos x="635" y="635"/>
              <wp:positionH relativeFrom="page">
                <wp:align>left</wp:align>
              </wp:positionH>
              <wp:positionV relativeFrom="page">
                <wp:align>bottom</wp:align>
              </wp:positionV>
              <wp:extent cx="2077085" cy="324485"/>
              <wp:effectExtent l="0" t="0" r="18415" b="0"/>
              <wp:wrapNone/>
              <wp:docPr id="174140083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F640548" w14:textId="6B2B8C98" w:rsidR="00086D9E" w:rsidRPr="00086D9E" w:rsidRDefault="00086D9E" w:rsidP="00086D9E">
                          <w:pPr>
                            <w:rPr>
                              <w:rFonts w:ascii="Rockwell" w:eastAsia="Rockwell" w:hAnsi="Rockwell" w:cs="Rockwell"/>
                              <w:noProof/>
                              <w:color w:val="0078D7"/>
                              <w:sz w:val="18"/>
                              <w:szCs w:val="18"/>
                            </w:rPr>
                          </w:pPr>
                          <w:r w:rsidRPr="00086D9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59552D"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6F640548" w14:textId="6B2B8C98" w:rsidR="00086D9E" w:rsidRPr="00086D9E" w:rsidRDefault="00086D9E" w:rsidP="00086D9E">
                    <w:pPr>
                      <w:rPr>
                        <w:rFonts w:ascii="Rockwell" w:eastAsia="Rockwell" w:hAnsi="Rockwell" w:cs="Rockwell"/>
                        <w:noProof/>
                        <w:color w:val="0078D7"/>
                        <w:sz w:val="18"/>
                        <w:szCs w:val="18"/>
                      </w:rPr>
                    </w:pPr>
                    <w:r w:rsidRPr="00086D9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FAD9" w14:textId="718BAE8C" w:rsidR="007B09E3" w:rsidRDefault="00086D9E">
    <w:pPr>
      <w:pStyle w:val="Footer"/>
      <w:jc w:val="center"/>
    </w:pPr>
    <w:r>
      <w:rPr>
        <w:noProof/>
      </w:rPr>
      <mc:AlternateContent>
        <mc:Choice Requires="wps">
          <w:drawing>
            <wp:anchor distT="0" distB="0" distL="0" distR="0" simplePos="0" relativeHeight="251660288" behindDoc="0" locked="0" layoutInCell="1" allowOverlap="1" wp14:anchorId="16B42CB8" wp14:editId="09EA2C3A">
              <wp:simplePos x="1143000" y="9753600"/>
              <wp:positionH relativeFrom="page">
                <wp:align>left</wp:align>
              </wp:positionH>
              <wp:positionV relativeFrom="page">
                <wp:align>bottom</wp:align>
              </wp:positionV>
              <wp:extent cx="2077085" cy="324485"/>
              <wp:effectExtent l="0" t="0" r="18415" b="0"/>
              <wp:wrapNone/>
              <wp:docPr id="22191325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D32EF0A" w14:textId="5609518F" w:rsidR="00086D9E" w:rsidRPr="00086D9E" w:rsidRDefault="00086D9E" w:rsidP="00086D9E">
                          <w:pPr>
                            <w:rPr>
                              <w:rFonts w:ascii="Rockwell" w:eastAsia="Rockwell" w:hAnsi="Rockwell" w:cs="Rockwell"/>
                              <w:noProof/>
                              <w:color w:val="0078D7"/>
                              <w:sz w:val="18"/>
                              <w:szCs w:val="18"/>
                            </w:rPr>
                          </w:pPr>
                          <w:r w:rsidRPr="00086D9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B42CB8"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6D32EF0A" w14:textId="5609518F" w:rsidR="00086D9E" w:rsidRPr="00086D9E" w:rsidRDefault="00086D9E" w:rsidP="00086D9E">
                    <w:pPr>
                      <w:rPr>
                        <w:rFonts w:ascii="Rockwell" w:eastAsia="Rockwell" w:hAnsi="Rockwell" w:cs="Rockwell"/>
                        <w:noProof/>
                        <w:color w:val="0078D7"/>
                        <w:sz w:val="18"/>
                        <w:szCs w:val="18"/>
                      </w:rPr>
                    </w:pPr>
                    <w:r w:rsidRPr="00086D9E">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1268544675"/>
        <w:docPartObj>
          <w:docPartGallery w:val="Page Numbers (Bottom of Page)"/>
          <w:docPartUnique/>
        </w:docPartObj>
      </w:sdtPr>
      <w:sdtContent>
        <w:sdt>
          <w:sdtPr>
            <w:id w:val="1728636285"/>
            <w:docPartObj>
              <w:docPartGallery w:val="Page Numbers (Top of Page)"/>
              <w:docPartUnique/>
            </w:docPartObj>
          </w:sdtPr>
          <w:sdtContent>
            <w:r w:rsidR="007B09E3">
              <w:rPr>
                <w:lang w:val="zh-CN"/>
              </w:rPr>
              <w:t xml:space="preserve"> </w:t>
            </w:r>
            <w:r w:rsidR="007B09E3">
              <w:rPr>
                <w:b/>
                <w:bCs/>
                <w:sz w:val="24"/>
                <w:szCs w:val="24"/>
              </w:rPr>
              <w:fldChar w:fldCharType="begin"/>
            </w:r>
            <w:r w:rsidR="007B09E3">
              <w:rPr>
                <w:b/>
                <w:bCs/>
              </w:rPr>
              <w:instrText>PAGE</w:instrText>
            </w:r>
            <w:r w:rsidR="007B09E3">
              <w:rPr>
                <w:b/>
                <w:bCs/>
                <w:sz w:val="24"/>
                <w:szCs w:val="24"/>
              </w:rPr>
              <w:fldChar w:fldCharType="separate"/>
            </w:r>
            <w:r w:rsidR="007B09E3">
              <w:rPr>
                <w:b/>
                <w:bCs/>
                <w:lang w:val="zh-CN"/>
              </w:rPr>
              <w:t>2</w:t>
            </w:r>
            <w:r w:rsidR="007B09E3">
              <w:rPr>
                <w:b/>
                <w:bCs/>
                <w:sz w:val="24"/>
                <w:szCs w:val="24"/>
              </w:rPr>
              <w:fldChar w:fldCharType="end"/>
            </w:r>
            <w:r w:rsidR="007B09E3">
              <w:rPr>
                <w:lang w:val="zh-CN"/>
              </w:rPr>
              <w:t xml:space="preserve"> / </w:t>
            </w:r>
            <w:r w:rsidR="007B09E3">
              <w:rPr>
                <w:b/>
                <w:bCs/>
                <w:sz w:val="24"/>
                <w:szCs w:val="24"/>
              </w:rPr>
              <w:fldChar w:fldCharType="begin"/>
            </w:r>
            <w:r w:rsidR="007B09E3">
              <w:rPr>
                <w:b/>
                <w:bCs/>
              </w:rPr>
              <w:instrText>NUMPAGES</w:instrText>
            </w:r>
            <w:r w:rsidR="007B09E3">
              <w:rPr>
                <w:b/>
                <w:bCs/>
                <w:sz w:val="24"/>
                <w:szCs w:val="24"/>
              </w:rPr>
              <w:fldChar w:fldCharType="separate"/>
            </w:r>
            <w:r w:rsidR="007B09E3">
              <w:rPr>
                <w:b/>
                <w:bCs/>
                <w:lang w:val="zh-CN"/>
              </w:rPr>
              <w:t>2</w:t>
            </w:r>
            <w:r w:rsidR="007B09E3">
              <w:rPr>
                <w:b/>
                <w:bCs/>
                <w:sz w:val="24"/>
                <w:szCs w:val="24"/>
              </w:rPr>
              <w:fldChar w:fldCharType="end"/>
            </w:r>
          </w:sdtContent>
        </w:sdt>
      </w:sdtContent>
    </w:sdt>
  </w:p>
  <w:p w14:paraId="7117798D" w14:textId="77777777" w:rsidR="001778AA" w:rsidRDefault="001778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D081" w14:textId="5BE9FF08" w:rsidR="00086D9E" w:rsidRDefault="00086D9E">
    <w:pPr>
      <w:pStyle w:val="Footer"/>
    </w:pPr>
    <w:r>
      <w:rPr>
        <w:noProof/>
      </w:rPr>
      <mc:AlternateContent>
        <mc:Choice Requires="wps">
          <w:drawing>
            <wp:anchor distT="0" distB="0" distL="0" distR="0" simplePos="0" relativeHeight="251658240" behindDoc="0" locked="0" layoutInCell="1" allowOverlap="1" wp14:anchorId="3AE9C819" wp14:editId="5688401B">
              <wp:simplePos x="635" y="635"/>
              <wp:positionH relativeFrom="page">
                <wp:align>left</wp:align>
              </wp:positionH>
              <wp:positionV relativeFrom="page">
                <wp:align>bottom</wp:align>
              </wp:positionV>
              <wp:extent cx="2077085" cy="324485"/>
              <wp:effectExtent l="0" t="0" r="18415" b="0"/>
              <wp:wrapNone/>
              <wp:docPr id="63029808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C59B43C" w14:textId="68640DA1" w:rsidR="00086D9E" w:rsidRPr="00086D9E" w:rsidRDefault="00086D9E" w:rsidP="00086D9E">
                          <w:pPr>
                            <w:rPr>
                              <w:rFonts w:ascii="Rockwell" w:eastAsia="Rockwell" w:hAnsi="Rockwell" w:cs="Rockwell"/>
                              <w:noProof/>
                              <w:color w:val="0078D7"/>
                              <w:sz w:val="18"/>
                              <w:szCs w:val="18"/>
                            </w:rPr>
                          </w:pPr>
                          <w:r w:rsidRPr="00086D9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E9C819"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0C59B43C" w14:textId="68640DA1" w:rsidR="00086D9E" w:rsidRPr="00086D9E" w:rsidRDefault="00086D9E" w:rsidP="00086D9E">
                    <w:pPr>
                      <w:rPr>
                        <w:rFonts w:ascii="Rockwell" w:eastAsia="Rockwell" w:hAnsi="Rockwell" w:cs="Rockwell"/>
                        <w:noProof/>
                        <w:color w:val="0078D7"/>
                        <w:sz w:val="18"/>
                        <w:szCs w:val="18"/>
                      </w:rPr>
                    </w:pPr>
                    <w:r w:rsidRPr="00086D9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CB736" w14:textId="77777777" w:rsidR="00E12B9E" w:rsidRDefault="00E12B9E" w:rsidP="00925D88">
      <w:r>
        <w:separator/>
      </w:r>
    </w:p>
  </w:footnote>
  <w:footnote w:type="continuationSeparator" w:id="0">
    <w:p w14:paraId="37AF4044" w14:textId="77777777" w:rsidR="00E12B9E" w:rsidRDefault="00E12B9E" w:rsidP="00925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55B3D"/>
    <w:multiLevelType w:val="multilevel"/>
    <w:tmpl w:val="723E3BB2"/>
    <w:lvl w:ilvl="0">
      <w:start w:val="1"/>
      <w:numFmt w:val="decimal"/>
      <w:lvlText w:val="%1."/>
      <w:lvlJc w:val="left"/>
      <w:pPr>
        <w:ind w:left="360" w:hanging="360"/>
      </w:pPr>
      <w:rPr>
        <w:rFonts w:hint="default"/>
        <w:sz w:val="24"/>
      </w:rPr>
    </w:lvl>
    <w:lvl w:ilvl="1">
      <w:start w:val="1"/>
      <w:numFmt w:val="decimal"/>
      <w:isLgl/>
      <w:lvlText w:val="%1.%2."/>
      <w:lvlJc w:val="left"/>
      <w:pPr>
        <w:ind w:left="720" w:hanging="720"/>
      </w:pPr>
      <w:rPr>
        <w:rFonts w:hint="default"/>
        <w:sz w:val="28"/>
      </w:rPr>
    </w:lvl>
    <w:lvl w:ilvl="2">
      <w:start w:val="1"/>
      <w:numFmt w:val="decimal"/>
      <w:isLgl/>
      <w:lvlText w:val="%1.%2.%3."/>
      <w:lvlJc w:val="left"/>
      <w:pPr>
        <w:ind w:left="1440" w:hanging="720"/>
      </w:pPr>
      <w:rPr>
        <w:rFonts w:hint="default"/>
        <w:sz w:val="28"/>
      </w:rPr>
    </w:lvl>
    <w:lvl w:ilvl="3">
      <w:start w:val="1"/>
      <w:numFmt w:val="decimal"/>
      <w:isLgl/>
      <w:lvlText w:val="%1.%2.%3.%4."/>
      <w:lvlJc w:val="left"/>
      <w:pPr>
        <w:ind w:left="2160" w:hanging="1080"/>
      </w:pPr>
      <w:rPr>
        <w:rFonts w:hint="default"/>
        <w:sz w:val="28"/>
      </w:rPr>
    </w:lvl>
    <w:lvl w:ilvl="4">
      <w:start w:val="1"/>
      <w:numFmt w:val="decimal"/>
      <w:isLgl/>
      <w:lvlText w:val="%1.%2.%3.%4.%5."/>
      <w:lvlJc w:val="left"/>
      <w:pPr>
        <w:ind w:left="2880" w:hanging="1440"/>
      </w:pPr>
      <w:rPr>
        <w:rFonts w:hint="default"/>
        <w:sz w:val="28"/>
      </w:rPr>
    </w:lvl>
    <w:lvl w:ilvl="5">
      <w:start w:val="1"/>
      <w:numFmt w:val="decimal"/>
      <w:isLgl/>
      <w:lvlText w:val="%1.%2.%3.%4.%5.%6."/>
      <w:lvlJc w:val="left"/>
      <w:pPr>
        <w:ind w:left="3240" w:hanging="1440"/>
      </w:pPr>
      <w:rPr>
        <w:rFonts w:hint="default"/>
        <w:sz w:val="28"/>
      </w:rPr>
    </w:lvl>
    <w:lvl w:ilvl="6">
      <w:start w:val="1"/>
      <w:numFmt w:val="decimal"/>
      <w:isLgl/>
      <w:lvlText w:val="%1.%2.%3.%4.%5.%6.%7."/>
      <w:lvlJc w:val="left"/>
      <w:pPr>
        <w:ind w:left="3960" w:hanging="1800"/>
      </w:pPr>
      <w:rPr>
        <w:rFonts w:hint="default"/>
        <w:sz w:val="28"/>
      </w:rPr>
    </w:lvl>
    <w:lvl w:ilvl="7">
      <w:start w:val="1"/>
      <w:numFmt w:val="decimal"/>
      <w:isLgl/>
      <w:lvlText w:val="%1.%2.%3.%4.%5.%6.%7.%8."/>
      <w:lvlJc w:val="left"/>
      <w:pPr>
        <w:ind w:left="4680" w:hanging="2160"/>
      </w:pPr>
      <w:rPr>
        <w:rFonts w:hint="default"/>
        <w:sz w:val="28"/>
      </w:rPr>
    </w:lvl>
    <w:lvl w:ilvl="8">
      <w:start w:val="1"/>
      <w:numFmt w:val="decimal"/>
      <w:isLgl/>
      <w:lvlText w:val="%1.%2.%3.%4.%5.%6.%7.%8.%9."/>
      <w:lvlJc w:val="left"/>
      <w:pPr>
        <w:ind w:left="5040" w:hanging="2160"/>
      </w:pPr>
      <w:rPr>
        <w:rFonts w:hint="default"/>
        <w:sz w:val="28"/>
      </w:rPr>
    </w:lvl>
  </w:abstractNum>
  <w:abstractNum w:abstractNumId="1" w15:restartNumberingAfterBreak="0">
    <w:nsid w:val="3FBC5810"/>
    <w:multiLevelType w:val="multilevel"/>
    <w:tmpl w:val="F95614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5EB74CEA"/>
    <w:multiLevelType w:val="multilevel"/>
    <w:tmpl w:val="5B7038E8"/>
    <w:lvl w:ilvl="0">
      <w:start w:val="1"/>
      <w:numFmt w:val="decimal"/>
      <w:lvlText w:val="%1."/>
      <w:lvlJc w:val="left"/>
      <w:pPr>
        <w:ind w:left="360" w:hanging="360"/>
      </w:pPr>
      <w:rPr>
        <w:rFonts w:hint="default"/>
        <w:sz w:val="24"/>
      </w:rPr>
    </w:lvl>
    <w:lvl w:ilvl="1">
      <w:start w:val="1"/>
      <w:numFmt w:val="decimal"/>
      <w:isLgl/>
      <w:lvlText w:val="%1.%2."/>
      <w:lvlJc w:val="left"/>
      <w:pPr>
        <w:ind w:left="720" w:hanging="720"/>
      </w:pPr>
      <w:rPr>
        <w:rFonts w:hint="default"/>
        <w:sz w:val="28"/>
      </w:rPr>
    </w:lvl>
    <w:lvl w:ilvl="2">
      <w:start w:val="1"/>
      <w:numFmt w:val="decimal"/>
      <w:isLgl/>
      <w:lvlText w:val="%1.%2.%3."/>
      <w:lvlJc w:val="left"/>
      <w:pPr>
        <w:ind w:left="1440" w:hanging="720"/>
      </w:pPr>
      <w:rPr>
        <w:rFonts w:hint="default"/>
        <w:sz w:val="28"/>
      </w:rPr>
    </w:lvl>
    <w:lvl w:ilvl="3">
      <w:start w:val="1"/>
      <w:numFmt w:val="decimal"/>
      <w:isLgl/>
      <w:lvlText w:val="%1.%2.%3.%4."/>
      <w:lvlJc w:val="left"/>
      <w:pPr>
        <w:ind w:left="2160" w:hanging="1080"/>
      </w:pPr>
      <w:rPr>
        <w:rFonts w:hint="default"/>
        <w:sz w:val="28"/>
      </w:rPr>
    </w:lvl>
    <w:lvl w:ilvl="4">
      <w:start w:val="1"/>
      <w:numFmt w:val="decimal"/>
      <w:isLgl/>
      <w:lvlText w:val="%1.%2.%3.%4.%5."/>
      <w:lvlJc w:val="left"/>
      <w:pPr>
        <w:ind w:left="2880" w:hanging="1440"/>
      </w:pPr>
      <w:rPr>
        <w:rFonts w:hint="default"/>
        <w:sz w:val="28"/>
      </w:rPr>
    </w:lvl>
    <w:lvl w:ilvl="5">
      <w:start w:val="1"/>
      <w:numFmt w:val="decimal"/>
      <w:isLgl/>
      <w:lvlText w:val="%1.%2.%3.%4.%5.%6."/>
      <w:lvlJc w:val="left"/>
      <w:pPr>
        <w:ind w:left="3240" w:hanging="1440"/>
      </w:pPr>
      <w:rPr>
        <w:rFonts w:hint="default"/>
        <w:sz w:val="28"/>
      </w:rPr>
    </w:lvl>
    <w:lvl w:ilvl="6">
      <w:start w:val="1"/>
      <w:numFmt w:val="decimal"/>
      <w:isLgl/>
      <w:lvlText w:val="%1.%2.%3.%4.%5.%6.%7."/>
      <w:lvlJc w:val="left"/>
      <w:pPr>
        <w:ind w:left="3960" w:hanging="1800"/>
      </w:pPr>
      <w:rPr>
        <w:rFonts w:hint="default"/>
        <w:sz w:val="28"/>
      </w:rPr>
    </w:lvl>
    <w:lvl w:ilvl="7">
      <w:start w:val="1"/>
      <w:numFmt w:val="decimal"/>
      <w:isLgl/>
      <w:lvlText w:val="%1.%2.%3.%4.%5.%6.%7.%8."/>
      <w:lvlJc w:val="left"/>
      <w:pPr>
        <w:ind w:left="4680" w:hanging="2160"/>
      </w:pPr>
      <w:rPr>
        <w:rFonts w:hint="default"/>
        <w:sz w:val="28"/>
      </w:rPr>
    </w:lvl>
    <w:lvl w:ilvl="8">
      <w:start w:val="1"/>
      <w:numFmt w:val="decimal"/>
      <w:isLgl/>
      <w:lvlText w:val="%1.%2.%3.%4.%5.%6.%7.%8.%9."/>
      <w:lvlJc w:val="left"/>
      <w:pPr>
        <w:ind w:left="5040" w:hanging="2160"/>
      </w:pPr>
      <w:rPr>
        <w:rFonts w:hint="default"/>
        <w:sz w:val="28"/>
      </w:rPr>
    </w:lvl>
  </w:abstractNum>
  <w:abstractNum w:abstractNumId="3" w15:restartNumberingAfterBreak="0">
    <w:nsid w:val="65664E4B"/>
    <w:multiLevelType w:val="multilevel"/>
    <w:tmpl w:val="3B52338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73094413">
    <w:abstractNumId w:val="1"/>
  </w:num>
  <w:num w:numId="2" w16cid:durableId="2014335773">
    <w:abstractNumId w:val="0"/>
  </w:num>
  <w:num w:numId="3" w16cid:durableId="1166438654">
    <w:abstractNumId w:val="3"/>
  </w:num>
  <w:num w:numId="4" w16cid:durableId="1613050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attztvcevdp8eewz950z9bet000z0fr25s&quot;&gt;My EndNote Library&lt;record-ids&gt;&lt;item&gt;1873&lt;/item&gt;&lt;/record-ids&gt;&lt;/item&gt;&lt;/Libraries&gt;"/>
  </w:docVars>
  <w:rsids>
    <w:rsidRoot w:val="00A31FBE"/>
    <w:rsid w:val="00047720"/>
    <w:rsid w:val="0005311E"/>
    <w:rsid w:val="00081ED1"/>
    <w:rsid w:val="00086127"/>
    <w:rsid w:val="00086D9E"/>
    <w:rsid w:val="000B0487"/>
    <w:rsid w:val="000B1C72"/>
    <w:rsid w:val="000D74CF"/>
    <w:rsid w:val="000D7908"/>
    <w:rsid w:val="000E2250"/>
    <w:rsid w:val="000E6ADC"/>
    <w:rsid w:val="000E7796"/>
    <w:rsid w:val="00107F82"/>
    <w:rsid w:val="00114777"/>
    <w:rsid w:val="0012470B"/>
    <w:rsid w:val="00150643"/>
    <w:rsid w:val="00154DE1"/>
    <w:rsid w:val="00177169"/>
    <w:rsid w:val="001778AA"/>
    <w:rsid w:val="001812C2"/>
    <w:rsid w:val="00196184"/>
    <w:rsid w:val="001A3274"/>
    <w:rsid w:val="001A53AF"/>
    <w:rsid w:val="001D5A10"/>
    <w:rsid w:val="001E314B"/>
    <w:rsid w:val="001E5DE6"/>
    <w:rsid w:val="001F1518"/>
    <w:rsid w:val="00201C5F"/>
    <w:rsid w:val="00214753"/>
    <w:rsid w:val="00220631"/>
    <w:rsid w:val="002318D0"/>
    <w:rsid w:val="0023487F"/>
    <w:rsid w:val="00236E3A"/>
    <w:rsid w:val="00242ACC"/>
    <w:rsid w:val="00245EE8"/>
    <w:rsid w:val="0025282A"/>
    <w:rsid w:val="00256594"/>
    <w:rsid w:val="00260853"/>
    <w:rsid w:val="00274DC6"/>
    <w:rsid w:val="00275E74"/>
    <w:rsid w:val="002842CE"/>
    <w:rsid w:val="00290D14"/>
    <w:rsid w:val="00293BBE"/>
    <w:rsid w:val="0029711A"/>
    <w:rsid w:val="002B7BEE"/>
    <w:rsid w:val="002C2E4C"/>
    <w:rsid w:val="002D630F"/>
    <w:rsid w:val="002D6BD2"/>
    <w:rsid w:val="002F5B62"/>
    <w:rsid w:val="00301636"/>
    <w:rsid w:val="00306570"/>
    <w:rsid w:val="003076DF"/>
    <w:rsid w:val="003136B8"/>
    <w:rsid w:val="00332C4E"/>
    <w:rsid w:val="00335965"/>
    <w:rsid w:val="00374933"/>
    <w:rsid w:val="00383985"/>
    <w:rsid w:val="00384B8D"/>
    <w:rsid w:val="00394393"/>
    <w:rsid w:val="003D3560"/>
    <w:rsid w:val="003D4FAD"/>
    <w:rsid w:val="003F5186"/>
    <w:rsid w:val="00404593"/>
    <w:rsid w:val="004174F6"/>
    <w:rsid w:val="00417BED"/>
    <w:rsid w:val="00440B83"/>
    <w:rsid w:val="00441D67"/>
    <w:rsid w:val="00445B86"/>
    <w:rsid w:val="00446996"/>
    <w:rsid w:val="0045654D"/>
    <w:rsid w:val="00456AFF"/>
    <w:rsid w:val="00466F1C"/>
    <w:rsid w:val="00476C52"/>
    <w:rsid w:val="00481A93"/>
    <w:rsid w:val="0049064A"/>
    <w:rsid w:val="00495985"/>
    <w:rsid w:val="004C712B"/>
    <w:rsid w:val="004C7887"/>
    <w:rsid w:val="004D0A58"/>
    <w:rsid w:val="004E22F5"/>
    <w:rsid w:val="004E5896"/>
    <w:rsid w:val="00521B2B"/>
    <w:rsid w:val="00525D53"/>
    <w:rsid w:val="00541738"/>
    <w:rsid w:val="005432CA"/>
    <w:rsid w:val="0055290E"/>
    <w:rsid w:val="005670FB"/>
    <w:rsid w:val="0057430E"/>
    <w:rsid w:val="005823EB"/>
    <w:rsid w:val="00597FAD"/>
    <w:rsid w:val="005B2A9E"/>
    <w:rsid w:val="005C0262"/>
    <w:rsid w:val="005D072A"/>
    <w:rsid w:val="005D1EF6"/>
    <w:rsid w:val="005D635F"/>
    <w:rsid w:val="005D776B"/>
    <w:rsid w:val="005D7E25"/>
    <w:rsid w:val="005E0B3C"/>
    <w:rsid w:val="00603C62"/>
    <w:rsid w:val="00612D92"/>
    <w:rsid w:val="0063385C"/>
    <w:rsid w:val="00634FCB"/>
    <w:rsid w:val="006404E0"/>
    <w:rsid w:val="006530FB"/>
    <w:rsid w:val="0065526F"/>
    <w:rsid w:val="00656656"/>
    <w:rsid w:val="00665A57"/>
    <w:rsid w:val="006A19E9"/>
    <w:rsid w:val="006B5E89"/>
    <w:rsid w:val="006D3B9F"/>
    <w:rsid w:val="006D4BC3"/>
    <w:rsid w:val="006D60B3"/>
    <w:rsid w:val="00704410"/>
    <w:rsid w:val="00721A79"/>
    <w:rsid w:val="00756D6A"/>
    <w:rsid w:val="00760147"/>
    <w:rsid w:val="00770E6D"/>
    <w:rsid w:val="00783BFF"/>
    <w:rsid w:val="00790346"/>
    <w:rsid w:val="00793242"/>
    <w:rsid w:val="007A0D9E"/>
    <w:rsid w:val="007B09E3"/>
    <w:rsid w:val="007C469B"/>
    <w:rsid w:val="007E1A59"/>
    <w:rsid w:val="007F2B07"/>
    <w:rsid w:val="007F4BCC"/>
    <w:rsid w:val="007F51B8"/>
    <w:rsid w:val="00814061"/>
    <w:rsid w:val="00833FCA"/>
    <w:rsid w:val="0084512C"/>
    <w:rsid w:val="00845CFE"/>
    <w:rsid w:val="00865F79"/>
    <w:rsid w:val="00874A57"/>
    <w:rsid w:val="0088024A"/>
    <w:rsid w:val="00897F8D"/>
    <w:rsid w:val="008A1883"/>
    <w:rsid w:val="008C56C0"/>
    <w:rsid w:val="008C6F34"/>
    <w:rsid w:val="008D3EED"/>
    <w:rsid w:val="008E299C"/>
    <w:rsid w:val="008F44B0"/>
    <w:rsid w:val="00904E74"/>
    <w:rsid w:val="00921E14"/>
    <w:rsid w:val="00925D88"/>
    <w:rsid w:val="00932DB3"/>
    <w:rsid w:val="00946A41"/>
    <w:rsid w:val="00954B69"/>
    <w:rsid w:val="009631A1"/>
    <w:rsid w:val="00966DB3"/>
    <w:rsid w:val="00971B57"/>
    <w:rsid w:val="00973058"/>
    <w:rsid w:val="00993FB1"/>
    <w:rsid w:val="009978EC"/>
    <w:rsid w:val="009A4C65"/>
    <w:rsid w:val="009B4284"/>
    <w:rsid w:val="009C50B7"/>
    <w:rsid w:val="009C6440"/>
    <w:rsid w:val="009D282F"/>
    <w:rsid w:val="009E5E0B"/>
    <w:rsid w:val="009F41A7"/>
    <w:rsid w:val="00A004D2"/>
    <w:rsid w:val="00A04DB9"/>
    <w:rsid w:val="00A06A61"/>
    <w:rsid w:val="00A31FBE"/>
    <w:rsid w:val="00A336C1"/>
    <w:rsid w:val="00A41D6E"/>
    <w:rsid w:val="00A44E24"/>
    <w:rsid w:val="00A64C75"/>
    <w:rsid w:val="00A75D7C"/>
    <w:rsid w:val="00AA3A8E"/>
    <w:rsid w:val="00AB03C6"/>
    <w:rsid w:val="00AB1298"/>
    <w:rsid w:val="00AC74C2"/>
    <w:rsid w:val="00AE4D85"/>
    <w:rsid w:val="00B065EA"/>
    <w:rsid w:val="00B20922"/>
    <w:rsid w:val="00B31D30"/>
    <w:rsid w:val="00B5619A"/>
    <w:rsid w:val="00B57329"/>
    <w:rsid w:val="00B72453"/>
    <w:rsid w:val="00BB18EA"/>
    <w:rsid w:val="00BB5FB1"/>
    <w:rsid w:val="00BB6A3D"/>
    <w:rsid w:val="00BC1A31"/>
    <w:rsid w:val="00BC2E3E"/>
    <w:rsid w:val="00BC3550"/>
    <w:rsid w:val="00BC7316"/>
    <w:rsid w:val="00BE6B8D"/>
    <w:rsid w:val="00C048B8"/>
    <w:rsid w:val="00C0776A"/>
    <w:rsid w:val="00C10F2C"/>
    <w:rsid w:val="00C2276E"/>
    <w:rsid w:val="00C2730F"/>
    <w:rsid w:val="00C37C9E"/>
    <w:rsid w:val="00C43252"/>
    <w:rsid w:val="00C52420"/>
    <w:rsid w:val="00C54B0C"/>
    <w:rsid w:val="00C900E5"/>
    <w:rsid w:val="00C92162"/>
    <w:rsid w:val="00C96643"/>
    <w:rsid w:val="00CA3EE3"/>
    <w:rsid w:val="00CC02B0"/>
    <w:rsid w:val="00CC7BE0"/>
    <w:rsid w:val="00D01C73"/>
    <w:rsid w:val="00D03EC7"/>
    <w:rsid w:val="00D168B0"/>
    <w:rsid w:val="00D329CB"/>
    <w:rsid w:val="00D613E8"/>
    <w:rsid w:val="00D87D69"/>
    <w:rsid w:val="00D91782"/>
    <w:rsid w:val="00D97379"/>
    <w:rsid w:val="00DC0C55"/>
    <w:rsid w:val="00DC3F5F"/>
    <w:rsid w:val="00DC6AD2"/>
    <w:rsid w:val="00DD4047"/>
    <w:rsid w:val="00DD548E"/>
    <w:rsid w:val="00E02AA7"/>
    <w:rsid w:val="00E057CF"/>
    <w:rsid w:val="00E064C2"/>
    <w:rsid w:val="00E12B9E"/>
    <w:rsid w:val="00E1702A"/>
    <w:rsid w:val="00E2120D"/>
    <w:rsid w:val="00E26B80"/>
    <w:rsid w:val="00E45EA1"/>
    <w:rsid w:val="00E60255"/>
    <w:rsid w:val="00E722AF"/>
    <w:rsid w:val="00E747C4"/>
    <w:rsid w:val="00E812C9"/>
    <w:rsid w:val="00E84644"/>
    <w:rsid w:val="00E84E4F"/>
    <w:rsid w:val="00E939AC"/>
    <w:rsid w:val="00E94C22"/>
    <w:rsid w:val="00E97CA9"/>
    <w:rsid w:val="00EE4A1B"/>
    <w:rsid w:val="00EE5AC3"/>
    <w:rsid w:val="00EE611E"/>
    <w:rsid w:val="00F11D5B"/>
    <w:rsid w:val="00F268E7"/>
    <w:rsid w:val="00F358A7"/>
    <w:rsid w:val="00F65BE0"/>
    <w:rsid w:val="00F76324"/>
    <w:rsid w:val="00F81DDC"/>
    <w:rsid w:val="00F915D0"/>
    <w:rsid w:val="00FC4826"/>
    <w:rsid w:val="00FC7833"/>
    <w:rsid w:val="00FD711F"/>
    <w:rsid w:val="00FF0365"/>
    <w:rsid w:val="00FF4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A40454"/>
  <w15:chartTrackingRefBased/>
  <w15:docId w15:val="{2B869FC4-6945-4F65-A3BD-AA7CC196E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A31FBE"/>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A31FBE"/>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A31FBE"/>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A31FBE"/>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A31FBE"/>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A31FBE"/>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A31FBE"/>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A31FBE"/>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A31FBE"/>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FBE"/>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A31FBE"/>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A31FBE"/>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A31FBE"/>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A31FBE"/>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A31FBE"/>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A31FBE"/>
    <w:rPr>
      <w:rFonts w:cstheme="majorBidi"/>
      <w:b/>
      <w:bCs/>
      <w:color w:val="595959" w:themeColor="text1" w:themeTint="A6"/>
    </w:rPr>
  </w:style>
  <w:style w:type="character" w:customStyle="1" w:styleId="Heading8Char">
    <w:name w:val="Heading 8 Char"/>
    <w:basedOn w:val="DefaultParagraphFont"/>
    <w:link w:val="Heading8"/>
    <w:uiPriority w:val="9"/>
    <w:semiHidden/>
    <w:rsid w:val="00A31FBE"/>
    <w:rPr>
      <w:rFonts w:cstheme="majorBidi"/>
      <w:color w:val="595959" w:themeColor="text1" w:themeTint="A6"/>
    </w:rPr>
  </w:style>
  <w:style w:type="character" w:customStyle="1" w:styleId="Heading9Char">
    <w:name w:val="Heading 9 Char"/>
    <w:basedOn w:val="DefaultParagraphFont"/>
    <w:link w:val="Heading9"/>
    <w:uiPriority w:val="9"/>
    <w:semiHidden/>
    <w:rsid w:val="00A31FBE"/>
    <w:rPr>
      <w:rFonts w:eastAsiaTheme="majorEastAsia" w:cstheme="majorBidi"/>
      <w:color w:val="595959" w:themeColor="text1" w:themeTint="A6"/>
    </w:rPr>
  </w:style>
  <w:style w:type="paragraph" w:styleId="Title">
    <w:name w:val="Title"/>
    <w:basedOn w:val="Normal"/>
    <w:next w:val="Normal"/>
    <w:link w:val="TitleChar"/>
    <w:uiPriority w:val="10"/>
    <w:qFormat/>
    <w:rsid w:val="00A31FBE"/>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F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1FB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1FBE"/>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A31F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31FBE"/>
    <w:rPr>
      <w:i/>
      <w:iCs/>
      <w:color w:val="404040" w:themeColor="text1" w:themeTint="BF"/>
    </w:rPr>
  </w:style>
  <w:style w:type="paragraph" w:styleId="ListParagraph">
    <w:name w:val="List Paragraph"/>
    <w:basedOn w:val="Normal"/>
    <w:uiPriority w:val="34"/>
    <w:qFormat/>
    <w:rsid w:val="00A31FBE"/>
    <w:pPr>
      <w:ind w:left="720"/>
      <w:contextualSpacing/>
    </w:pPr>
  </w:style>
  <w:style w:type="character" w:styleId="IntenseEmphasis">
    <w:name w:val="Intense Emphasis"/>
    <w:basedOn w:val="DefaultParagraphFont"/>
    <w:uiPriority w:val="21"/>
    <w:qFormat/>
    <w:rsid w:val="00A31FBE"/>
    <w:rPr>
      <w:i/>
      <w:iCs/>
      <w:color w:val="2F5496" w:themeColor="accent1" w:themeShade="BF"/>
    </w:rPr>
  </w:style>
  <w:style w:type="paragraph" w:styleId="IntenseQuote">
    <w:name w:val="Intense Quote"/>
    <w:basedOn w:val="Normal"/>
    <w:next w:val="Normal"/>
    <w:link w:val="IntenseQuoteChar"/>
    <w:uiPriority w:val="30"/>
    <w:qFormat/>
    <w:rsid w:val="00A31F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1FBE"/>
    <w:rPr>
      <w:i/>
      <w:iCs/>
      <w:color w:val="2F5496" w:themeColor="accent1" w:themeShade="BF"/>
    </w:rPr>
  </w:style>
  <w:style w:type="character" w:styleId="IntenseReference">
    <w:name w:val="Intense Reference"/>
    <w:basedOn w:val="DefaultParagraphFont"/>
    <w:uiPriority w:val="32"/>
    <w:qFormat/>
    <w:rsid w:val="00A31FBE"/>
    <w:rPr>
      <w:b/>
      <w:bCs/>
      <w:smallCaps/>
      <w:color w:val="2F5496" w:themeColor="accent1" w:themeShade="BF"/>
      <w:spacing w:val="5"/>
    </w:rPr>
  </w:style>
  <w:style w:type="paragraph" w:styleId="Header">
    <w:name w:val="header"/>
    <w:basedOn w:val="Normal"/>
    <w:link w:val="HeaderChar"/>
    <w:uiPriority w:val="99"/>
    <w:unhideWhenUsed/>
    <w:rsid w:val="00925D88"/>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25D88"/>
    <w:rPr>
      <w:sz w:val="18"/>
      <w:szCs w:val="18"/>
    </w:rPr>
  </w:style>
  <w:style w:type="paragraph" w:styleId="Footer">
    <w:name w:val="footer"/>
    <w:basedOn w:val="Normal"/>
    <w:link w:val="FooterChar"/>
    <w:uiPriority w:val="99"/>
    <w:unhideWhenUsed/>
    <w:rsid w:val="00925D8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25D88"/>
    <w:rPr>
      <w:sz w:val="18"/>
      <w:szCs w:val="18"/>
    </w:rPr>
  </w:style>
  <w:style w:type="table" w:styleId="TableGrid">
    <w:name w:val="Table Grid"/>
    <w:basedOn w:val="TableNormal"/>
    <w:uiPriority w:val="39"/>
    <w:rsid w:val="006D6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41D6E"/>
  </w:style>
  <w:style w:type="character" w:styleId="PlaceholderText">
    <w:name w:val="Placeholder Text"/>
    <w:basedOn w:val="DefaultParagraphFont"/>
    <w:uiPriority w:val="99"/>
    <w:semiHidden/>
    <w:rsid w:val="00B5732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394849">
      <w:bodyDiv w:val="1"/>
      <w:marLeft w:val="0"/>
      <w:marRight w:val="0"/>
      <w:marTop w:val="0"/>
      <w:marBottom w:val="0"/>
      <w:divBdr>
        <w:top w:val="none" w:sz="0" w:space="0" w:color="auto"/>
        <w:left w:val="none" w:sz="0" w:space="0" w:color="auto"/>
        <w:bottom w:val="none" w:sz="0" w:space="0" w:color="auto"/>
        <w:right w:val="none" w:sz="0" w:space="0" w:color="auto"/>
      </w:divBdr>
    </w:div>
    <w:div w:id="333340749">
      <w:bodyDiv w:val="1"/>
      <w:marLeft w:val="0"/>
      <w:marRight w:val="0"/>
      <w:marTop w:val="0"/>
      <w:marBottom w:val="0"/>
      <w:divBdr>
        <w:top w:val="none" w:sz="0" w:space="0" w:color="auto"/>
        <w:left w:val="none" w:sz="0" w:space="0" w:color="auto"/>
        <w:bottom w:val="none" w:sz="0" w:space="0" w:color="auto"/>
        <w:right w:val="none" w:sz="0" w:space="0" w:color="auto"/>
      </w:divBdr>
    </w:div>
    <w:div w:id="493909940">
      <w:bodyDiv w:val="1"/>
      <w:marLeft w:val="0"/>
      <w:marRight w:val="0"/>
      <w:marTop w:val="0"/>
      <w:marBottom w:val="0"/>
      <w:divBdr>
        <w:top w:val="none" w:sz="0" w:space="0" w:color="auto"/>
        <w:left w:val="none" w:sz="0" w:space="0" w:color="auto"/>
        <w:bottom w:val="none" w:sz="0" w:space="0" w:color="auto"/>
        <w:right w:val="none" w:sz="0" w:space="0" w:color="auto"/>
      </w:divBdr>
    </w:div>
    <w:div w:id="558054775">
      <w:bodyDiv w:val="1"/>
      <w:marLeft w:val="0"/>
      <w:marRight w:val="0"/>
      <w:marTop w:val="0"/>
      <w:marBottom w:val="0"/>
      <w:divBdr>
        <w:top w:val="none" w:sz="0" w:space="0" w:color="auto"/>
        <w:left w:val="none" w:sz="0" w:space="0" w:color="auto"/>
        <w:bottom w:val="none" w:sz="0" w:space="0" w:color="auto"/>
        <w:right w:val="none" w:sz="0" w:space="0" w:color="auto"/>
      </w:divBdr>
    </w:div>
    <w:div w:id="607587195">
      <w:bodyDiv w:val="1"/>
      <w:marLeft w:val="0"/>
      <w:marRight w:val="0"/>
      <w:marTop w:val="0"/>
      <w:marBottom w:val="0"/>
      <w:divBdr>
        <w:top w:val="none" w:sz="0" w:space="0" w:color="auto"/>
        <w:left w:val="none" w:sz="0" w:space="0" w:color="auto"/>
        <w:bottom w:val="none" w:sz="0" w:space="0" w:color="auto"/>
        <w:right w:val="none" w:sz="0" w:space="0" w:color="auto"/>
      </w:divBdr>
    </w:div>
    <w:div w:id="1049690893">
      <w:bodyDiv w:val="1"/>
      <w:marLeft w:val="0"/>
      <w:marRight w:val="0"/>
      <w:marTop w:val="0"/>
      <w:marBottom w:val="0"/>
      <w:divBdr>
        <w:top w:val="none" w:sz="0" w:space="0" w:color="auto"/>
        <w:left w:val="none" w:sz="0" w:space="0" w:color="auto"/>
        <w:bottom w:val="none" w:sz="0" w:space="0" w:color="auto"/>
        <w:right w:val="none" w:sz="0" w:space="0" w:color="auto"/>
      </w:divBdr>
    </w:div>
    <w:div w:id="1094207697">
      <w:bodyDiv w:val="1"/>
      <w:marLeft w:val="0"/>
      <w:marRight w:val="0"/>
      <w:marTop w:val="0"/>
      <w:marBottom w:val="0"/>
      <w:divBdr>
        <w:top w:val="none" w:sz="0" w:space="0" w:color="auto"/>
        <w:left w:val="none" w:sz="0" w:space="0" w:color="auto"/>
        <w:bottom w:val="none" w:sz="0" w:space="0" w:color="auto"/>
        <w:right w:val="none" w:sz="0" w:space="0" w:color="auto"/>
      </w:divBdr>
    </w:div>
    <w:div w:id="1155337829">
      <w:bodyDiv w:val="1"/>
      <w:marLeft w:val="0"/>
      <w:marRight w:val="0"/>
      <w:marTop w:val="0"/>
      <w:marBottom w:val="0"/>
      <w:divBdr>
        <w:top w:val="none" w:sz="0" w:space="0" w:color="auto"/>
        <w:left w:val="none" w:sz="0" w:space="0" w:color="auto"/>
        <w:bottom w:val="none" w:sz="0" w:space="0" w:color="auto"/>
        <w:right w:val="none" w:sz="0" w:space="0" w:color="auto"/>
      </w:divBdr>
    </w:div>
    <w:div w:id="1285622695">
      <w:bodyDiv w:val="1"/>
      <w:marLeft w:val="0"/>
      <w:marRight w:val="0"/>
      <w:marTop w:val="0"/>
      <w:marBottom w:val="0"/>
      <w:divBdr>
        <w:top w:val="none" w:sz="0" w:space="0" w:color="auto"/>
        <w:left w:val="none" w:sz="0" w:space="0" w:color="auto"/>
        <w:bottom w:val="none" w:sz="0" w:space="0" w:color="auto"/>
        <w:right w:val="none" w:sz="0" w:space="0" w:color="auto"/>
      </w:divBdr>
    </w:div>
    <w:div w:id="1461025697">
      <w:bodyDiv w:val="1"/>
      <w:marLeft w:val="0"/>
      <w:marRight w:val="0"/>
      <w:marTop w:val="0"/>
      <w:marBottom w:val="0"/>
      <w:divBdr>
        <w:top w:val="none" w:sz="0" w:space="0" w:color="auto"/>
        <w:left w:val="none" w:sz="0" w:space="0" w:color="auto"/>
        <w:bottom w:val="none" w:sz="0" w:space="0" w:color="auto"/>
        <w:right w:val="none" w:sz="0" w:space="0" w:color="auto"/>
      </w:divBdr>
    </w:div>
    <w:div w:id="1633628969">
      <w:bodyDiv w:val="1"/>
      <w:marLeft w:val="0"/>
      <w:marRight w:val="0"/>
      <w:marTop w:val="0"/>
      <w:marBottom w:val="0"/>
      <w:divBdr>
        <w:top w:val="none" w:sz="0" w:space="0" w:color="auto"/>
        <w:left w:val="none" w:sz="0" w:space="0" w:color="auto"/>
        <w:bottom w:val="none" w:sz="0" w:space="0" w:color="auto"/>
        <w:right w:val="none" w:sz="0" w:space="0" w:color="auto"/>
      </w:divBdr>
    </w:div>
    <w:div w:id="1942448551">
      <w:bodyDiv w:val="1"/>
      <w:marLeft w:val="0"/>
      <w:marRight w:val="0"/>
      <w:marTop w:val="0"/>
      <w:marBottom w:val="0"/>
      <w:divBdr>
        <w:top w:val="none" w:sz="0" w:space="0" w:color="auto"/>
        <w:left w:val="none" w:sz="0" w:space="0" w:color="auto"/>
        <w:bottom w:val="none" w:sz="0" w:space="0" w:color="auto"/>
        <w:right w:val="none" w:sz="0" w:space="0" w:color="auto"/>
      </w:divBdr>
    </w:div>
    <w:div w:id="196257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11167</TotalTime>
  <Pages>21</Pages>
  <Words>1956</Words>
  <Characters>11151</Characters>
  <Application>Microsoft Office Word</Application>
  <DocSecurity>0</DocSecurity>
  <Lines>92</Lines>
  <Paragraphs>26</Paragraphs>
  <ScaleCrop>false</ScaleCrop>
  <Company/>
  <LinksUpToDate>false</LinksUpToDate>
  <CharactersWithSpaces>13081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小唐 小唐</dc:creator>
  <cp:keywords/>
  <dc:description/>
  <cp:lastModifiedBy>Spence, Oliver</cp:lastModifiedBy>
  <cp:revision>210</cp:revision>
  <cp:lastPrinted>2025-07-31T03:57:00Z</cp:lastPrinted>
  <dcterms:created xsi:type="dcterms:W3CDTF">2025-07-15T09:15:00Z</dcterms:created>
  <dcterms:modified xsi:type="dcterms:W3CDTF">2026-04-15T05:45:00Z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259195e0,67cbab03,d3a20a4</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2026-04-15T05:45:06Z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c17476a7-5bad-4abd-8a74-9b295a283813</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