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F7CC" w14:textId="7BDEDFFE" w:rsidR="00CE6D3C" w:rsidRPr="00662FAD" w:rsidRDefault="000B4B19" w:rsidP="00662FAD">
      <w:pPr>
        <w:pStyle w:val="Titolo2"/>
        <w:keepLines w:val="0"/>
        <w:spacing w:before="240" w:after="60" w:line="480" w:lineRule="auto"/>
        <w:rPr>
          <w:rFonts w:ascii="Arial" w:eastAsia="Times New Roman" w:hAnsi="Arial" w:cs="Arial"/>
          <w:b/>
          <w:bCs/>
          <w:i/>
          <w:iCs/>
          <w:color w:val="auto"/>
          <w:kern w:val="0"/>
          <w:sz w:val="28"/>
          <w:szCs w:val="28"/>
          <w:lang w:val="en-US"/>
          <w14:ligatures w14:val="none"/>
        </w:rPr>
      </w:pPr>
      <w:r w:rsidRPr="00662FAD">
        <w:rPr>
          <w:rFonts w:ascii="Arial" w:eastAsia="Times New Roman" w:hAnsi="Arial" w:cs="Arial"/>
          <w:b/>
          <w:bCs/>
          <w:i/>
          <w:iCs/>
          <w:color w:val="auto"/>
          <w:kern w:val="0"/>
          <w:sz w:val="28"/>
          <w:szCs w:val="28"/>
          <w:lang w:val="en-US"/>
          <w14:ligatures w14:val="none"/>
        </w:rPr>
        <w:t>Supplementary material</w:t>
      </w:r>
    </w:p>
    <w:p w14:paraId="55C4D260" w14:textId="19E949FC" w:rsidR="0060655A" w:rsidRDefault="007E7D66" w:rsidP="007E7D66">
      <w:pPr>
        <w:spacing w:line="480" w:lineRule="auto"/>
      </w:pPr>
      <w:r w:rsidRPr="00BE64A7">
        <w:rPr>
          <w:b/>
          <w:bCs/>
        </w:rPr>
        <w:t xml:space="preserve">Table </w:t>
      </w:r>
      <w:r>
        <w:rPr>
          <w:b/>
          <w:bCs/>
        </w:rPr>
        <w:t>S</w:t>
      </w:r>
      <w:r w:rsidRPr="00BE64A7">
        <w:rPr>
          <w:b/>
          <w:bCs/>
        </w:rPr>
        <w:t>1</w:t>
      </w:r>
      <w:r w:rsidRPr="00123C9C">
        <w:t xml:space="preserve">. </w:t>
      </w:r>
      <w:r w:rsidRPr="00E04BE5">
        <w:t xml:space="preserve"> </w:t>
      </w:r>
      <w:r w:rsidR="0060655A">
        <w:t>Deterministic sensitivity analysis parameter ranges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0B4B19" w:rsidRPr="002E5121" w14:paraId="7854F5E0" w14:textId="77777777" w:rsidTr="000B4B19">
        <w:tc>
          <w:tcPr>
            <w:tcW w:w="2407" w:type="dxa"/>
          </w:tcPr>
          <w:p w14:paraId="4F86135B" w14:textId="71CE4CC8" w:rsidR="000B4B19" w:rsidRPr="002E5121" w:rsidRDefault="000B4B19">
            <w:pPr>
              <w:rPr>
                <w:b/>
                <w:bCs/>
              </w:rPr>
            </w:pPr>
            <w:r w:rsidRPr="002E5121">
              <w:rPr>
                <w:b/>
                <w:bCs/>
              </w:rPr>
              <w:t>Parameter</w:t>
            </w:r>
          </w:p>
        </w:tc>
        <w:tc>
          <w:tcPr>
            <w:tcW w:w="2407" w:type="dxa"/>
          </w:tcPr>
          <w:p w14:paraId="65A16C4A" w14:textId="2086514E" w:rsidR="000B4B19" w:rsidRPr="002E5121" w:rsidRDefault="000B4B19">
            <w:pPr>
              <w:rPr>
                <w:b/>
                <w:bCs/>
              </w:rPr>
            </w:pPr>
            <w:r w:rsidRPr="002E5121">
              <w:rPr>
                <w:b/>
                <w:bCs/>
              </w:rPr>
              <w:t>Base case</w:t>
            </w:r>
            <w:r w:rsidR="007E7D66">
              <w:rPr>
                <w:b/>
                <w:bCs/>
              </w:rPr>
              <w:t xml:space="preserve"> value</w:t>
            </w:r>
          </w:p>
        </w:tc>
        <w:tc>
          <w:tcPr>
            <w:tcW w:w="2407" w:type="dxa"/>
          </w:tcPr>
          <w:p w14:paraId="7CC431BD" w14:textId="0259787C" w:rsidR="000B4B19" w:rsidRPr="002E5121" w:rsidRDefault="000B4B19">
            <w:pPr>
              <w:rPr>
                <w:b/>
                <w:bCs/>
              </w:rPr>
            </w:pPr>
            <w:r w:rsidRPr="002E5121">
              <w:rPr>
                <w:b/>
                <w:bCs/>
              </w:rPr>
              <w:t>Low value</w:t>
            </w:r>
          </w:p>
        </w:tc>
        <w:tc>
          <w:tcPr>
            <w:tcW w:w="2407" w:type="dxa"/>
          </w:tcPr>
          <w:p w14:paraId="0DB51E38" w14:textId="624C140A" w:rsidR="000B4B19" w:rsidRPr="002E5121" w:rsidRDefault="000B4B19">
            <w:pPr>
              <w:rPr>
                <w:b/>
                <w:bCs/>
              </w:rPr>
            </w:pPr>
            <w:r w:rsidRPr="002E5121">
              <w:rPr>
                <w:b/>
                <w:bCs/>
              </w:rPr>
              <w:t>High value</w:t>
            </w:r>
          </w:p>
        </w:tc>
      </w:tr>
      <w:tr w:rsidR="000B4B19" w14:paraId="059F5762" w14:textId="77777777" w:rsidTr="000B4B19">
        <w:tc>
          <w:tcPr>
            <w:tcW w:w="2407" w:type="dxa"/>
          </w:tcPr>
          <w:p w14:paraId="3CE609F2" w14:textId="695733C9" w:rsidR="000B4B19" w:rsidRDefault="000B4B19" w:rsidP="000B4B19">
            <w:r w:rsidRPr="000B4B19">
              <w:t xml:space="preserve">Vaccine </w:t>
            </w:r>
            <w:r w:rsidR="00F6145A" w:rsidRPr="000B4B19">
              <w:t>coverage rates</w:t>
            </w:r>
            <w:r w:rsidR="00F6145A">
              <w:t xml:space="preserve"> low risk population</w:t>
            </w:r>
          </w:p>
        </w:tc>
        <w:tc>
          <w:tcPr>
            <w:tcW w:w="2407" w:type="dxa"/>
          </w:tcPr>
          <w:p w14:paraId="60184D52" w14:textId="20F85DF6" w:rsidR="000B4B19" w:rsidRDefault="000B4B19" w:rsidP="000B4B19">
            <w:r w:rsidRPr="00485F05">
              <w:t>46</w:t>
            </w:r>
            <w:r w:rsidR="00F6145A">
              <w:t>.</w:t>
            </w:r>
            <w:r w:rsidRPr="00485F05">
              <w:t>85%</w:t>
            </w:r>
          </w:p>
        </w:tc>
        <w:tc>
          <w:tcPr>
            <w:tcW w:w="2407" w:type="dxa"/>
          </w:tcPr>
          <w:p w14:paraId="1F5B3CC6" w14:textId="7F0F7BC9" w:rsidR="000B4B19" w:rsidRDefault="000B4B19" w:rsidP="000B4B19">
            <w:r w:rsidRPr="00485F05">
              <w:t>37</w:t>
            </w:r>
            <w:r w:rsidR="00F6145A">
              <w:t>.</w:t>
            </w:r>
            <w:r w:rsidRPr="00485F05">
              <w:t>5%</w:t>
            </w:r>
          </w:p>
        </w:tc>
        <w:tc>
          <w:tcPr>
            <w:tcW w:w="2407" w:type="dxa"/>
          </w:tcPr>
          <w:p w14:paraId="0A3746AF" w14:textId="53D20F2A" w:rsidR="000B4B19" w:rsidRDefault="000B4B19" w:rsidP="000B4B19">
            <w:r w:rsidRPr="00485F05">
              <w:t>56</w:t>
            </w:r>
            <w:r w:rsidR="00F6145A">
              <w:t>.</w:t>
            </w:r>
            <w:r w:rsidRPr="00485F05">
              <w:t>2%</w:t>
            </w:r>
          </w:p>
        </w:tc>
      </w:tr>
      <w:tr w:rsidR="000B4B19" w14:paraId="53848408" w14:textId="77777777" w:rsidTr="000B4B19">
        <w:tc>
          <w:tcPr>
            <w:tcW w:w="2407" w:type="dxa"/>
          </w:tcPr>
          <w:p w14:paraId="506536AD" w14:textId="52F35D46" w:rsidR="000B4B19" w:rsidRDefault="000B4B19" w:rsidP="000B4B19">
            <w:r w:rsidRPr="000B4B19">
              <w:t xml:space="preserve">Vaccine </w:t>
            </w:r>
            <w:r w:rsidR="00F6145A" w:rsidRPr="000B4B19">
              <w:t>coverage rates</w:t>
            </w:r>
            <w:r w:rsidR="00F6145A">
              <w:t xml:space="preserve"> high risk population</w:t>
            </w:r>
          </w:p>
        </w:tc>
        <w:tc>
          <w:tcPr>
            <w:tcW w:w="2407" w:type="dxa"/>
          </w:tcPr>
          <w:p w14:paraId="55EF5F24" w14:textId="5E9DA797" w:rsidR="000B4B19" w:rsidRDefault="000B4B19" w:rsidP="000B4B19">
            <w:r w:rsidRPr="00485F05">
              <w:t>57</w:t>
            </w:r>
            <w:r w:rsidR="00F6145A">
              <w:t>.</w:t>
            </w:r>
            <w:r w:rsidRPr="00485F05">
              <w:t>95%</w:t>
            </w:r>
          </w:p>
        </w:tc>
        <w:tc>
          <w:tcPr>
            <w:tcW w:w="2407" w:type="dxa"/>
          </w:tcPr>
          <w:p w14:paraId="5B21CF2E" w14:textId="02598DEB" w:rsidR="000B4B19" w:rsidRDefault="000B4B19" w:rsidP="000B4B19">
            <w:r w:rsidRPr="00485F05">
              <w:t>46</w:t>
            </w:r>
            <w:r w:rsidR="00F6145A">
              <w:t>.</w:t>
            </w:r>
            <w:r w:rsidRPr="00485F05">
              <w:t>4%</w:t>
            </w:r>
          </w:p>
        </w:tc>
        <w:tc>
          <w:tcPr>
            <w:tcW w:w="2407" w:type="dxa"/>
          </w:tcPr>
          <w:p w14:paraId="3B15EF27" w14:textId="3F9D7A4F" w:rsidR="000B4B19" w:rsidRDefault="000B4B19" w:rsidP="000B4B19">
            <w:r w:rsidRPr="00485F05">
              <w:t>69</w:t>
            </w:r>
            <w:r w:rsidR="00F6145A">
              <w:t>.</w:t>
            </w:r>
            <w:r w:rsidRPr="00485F05">
              <w:t>5%</w:t>
            </w:r>
          </w:p>
        </w:tc>
      </w:tr>
      <w:tr w:rsidR="000B4B19" w14:paraId="0AB7DA92" w14:textId="77777777" w:rsidTr="000B4B19">
        <w:tc>
          <w:tcPr>
            <w:tcW w:w="2407" w:type="dxa"/>
          </w:tcPr>
          <w:p w14:paraId="0FEB0A21" w14:textId="05885523" w:rsidR="000B4B19" w:rsidRDefault="000B4B19" w:rsidP="000B4B19">
            <w:r w:rsidRPr="000B4B19">
              <w:t xml:space="preserve">Relative </w:t>
            </w:r>
            <w:r w:rsidR="00F6145A" w:rsidRPr="000B4B19">
              <w:t xml:space="preserve">efficacy </w:t>
            </w:r>
            <w:r w:rsidRPr="000B4B19">
              <w:t xml:space="preserve">of </w:t>
            </w:r>
            <w:r w:rsidR="00F6145A" w:rsidRPr="00241638">
              <w:t>TIV-</w:t>
            </w:r>
            <w:r w:rsidR="00F6145A">
              <w:t>H</w:t>
            </w:r>
            <w:r w:rsidR="00F6145A" w:rsidRPr="00241638">
              <w:t>D</w:t>
            </w:r>
            <w:r w:rsidRPr="000B4B19">
              <w:t xml:space="preserve"> vs. </w:t>
            </w:r>
            <w:r w:rsidR="00F6145A" w:rsidRPr="00241638">
              <w:t>TIV-SD</w:t>
            </w:r>
          </w:p>
        </w:tc>
        <w:tc>
          <w:tcPr>
            <w:tcW w:w="2407" w:type="dxa"/>
          </w:tcPr>
          <w:p w14:paraId="46F04DFC" w14:textId="5A37EB0F" w:rsidR="000B4B19" w:rsidRDefault="000B4B19" w:rsidP="000B4B19">
            <w:r w:rsidRPr="008A4F05">
              <w:t>24</w:t>
            </w:r>
            <w:r w:rsidR="00F6145A">
              <w:t>.</w:t>
            </w:r>
            <w:r w:rsidRPr="008A4F05">
              <w:t>2%</w:t>
            </w:r>
          </w:p>
        </w:tc>
        <w:tc>
          <w:tcPr>
            <w:tcW w:w="2407" w:type="dxa"/>
          </w:tcPr>
          <w:p w14:paraId="0BEC86A8" w14:textId="24F4CF6A" w:rsidR="000B4B19" w:rsidRDefault="000B4B19" w:rsidP="000B4B19">
            <w:r w:rsidRPr="008A4F05">
              <w:t>9</w:t>
            </w:r>
            <w:r w:rsidR="00F6145A">
              <w:t>.</w:t>
            </w:r>
            <w:r w:rsidRPr="008A4F05">
              <w:t>7%</w:t>
            </w:r>
          </w:p>
        </w:tc>
        <w:tc>
          <w:tcPr>
            <w:tcW w:w="2407" w:type="dxa"/>
          </w:tcPr>
          <w:p w14:paraId="0BF680CC" w14:textId="65B37218" w:rsidR="000B4B19" w:rsidRDefault="000B4B19" w:rsidP="000B4B19">
            <w:r w:rsidRPr="008A4F05">
              <w:t>36</w:t>
            </w:r>
            <w:r w:rsidR="00F6145A">
              <w:t>.</w:t>
            </w:r>
            <w:r w:rsidRPr="008A4F05">
              <w:t>5%</w:t>
            </w:r>
          </w:p>
        </w:tc>
      </w:tr>
      <w:tr w:rsidR="000B4B19" w14:paraId="5E0569D1" w14:textId="77777777" w:rsidTr="000B4B19">
        <w:tc>
          <w:tcPr>
            <w:tcW w:w="2407" w:type="dxa"/>
          </w:tcPr>
          <w:p w14:paraId="040BA91D" w14:textId="421A10D5" w:rsidR="000B4B19" w:rsidRDefault="000B4B19" w:rsidP="000B4B19">
            <w:r>
              <w:t>Discount rate outcomes</w:t>
            </w:r>
          </w:p>
        </w:tc>
        <w:tc>
          <w:tcPr>
            <w:tcW w:w="2407" w:type="dxa"/>
          </w:tcPr>
          <w:p w14:paraId="4E635FB4" w14:textId="25F3C28A" w:rsidR="000B4B19" w:rsidRDefault="000B4B19" w:rsidP="000B4B19">
            <w:r>
              <w:t>3%</w:t>
            </w:r>
          </w:p>
        </w:tc>
        <w:tc>
          <w:tcPr>
            <w:tcW w:w="2407" w:type="dxa"/>
          </w:tcPr>
          <w:p w14:paraId="555B4FA3" w14:textId="57396C96" w:rsidR="000B4B19" w:rsidRDefault="000B4B19" w:rsidP="000B4B19">
            <w:r>
              <w:t>0%</w:t>
            </w:r>
          </w:p>
        </w:tc>
        <w:tc>
          <w:tcPr>
            <w:tcW w:w="2407" w:type="dxa"/>
          </w:tcPr>
          <w:p w14:paraId="2B0AF27D" w14:textId="2BC86C93" w:rsidR="000B4B19" w:rsidRDefault="000B4B19" w:rsidP="000B4B19">
            <w:r>
              <w:t>6%</w:t>
            </w:r>
          </w:p>
        </w:tc>
      </w:tr>
      <w:tr w:rsidR="000B4B19" w14:paraId="051780A2" w14:textId="77777777" w:rsidTr="000B4B19">
        <w:tc>
          <w:tcPr>
            <w:tcW w:w="2407" w:type="dxa"/>
          </w:tcPr>
          <w:p w14:paraId="47428604" w14:textId="246F1103" w:rsidR="000B4B19" w:rsidRDefault="000B4B19" w:rsidP="000B4B19">
            <w:r>
              <w:t>Excess mortality due to influenza</w:t>
            </w:r>
          </w:p>
        </w:tc>
        <w:tc>
          <w:tcPr>
            <w:tcW w:w="2407" w:type="dxa"/>
          </w:tcPr>
          <w:p w14:paraId="5E1C23B0" w14:textId="4865F9F6" w:rsidR="000B4B19" w:rsidRDefault="000B4B19" w:rsidP="000B4B19">
            <w:r w:rsidRPr="000C0076">
              <w:t>108</w:t>
            </w:r>
            <w:r w:rsidR="00F6145A">
              <w:t>.</w:t>
            </w:r>
            <w:r w:rsidRPr="000C0076">
              <w:t>14</w:t>
            </w:r>
          </w:p>
        </w:tc>
        <w:tc>
          <w:tcPr>
            <w:tcW w:w="2407" w:type="dxa"/>
          </w:tcPr>
          <w:p w14:paraId="789207C7" w14:textId="43B29041" w:rsidR="000B4B19" w:rsidRDefault="000B4B19" w:rsidP="000B4B19">
            <w:r w:rsidRPr="000C0076">
              <w:t>86</w:t>
            </w:r>
            <w:r w:rsidR="00F6145A">
              <w:t>.</w:t>
            </w:r>
            <w:r w:rsidRPr="000C0076">
              <w:t>51</w:t>
            </w:r>
          </w:p>
        </w:tc>
        <w:tc>
          <w:tcPr>
            <w:tcW w:w="2407" w:type="dxa"/>
          </w:tcPr>
          <w:p w14:paraId="15414C44" w14:textId="3A738577" w:rsidR="000B4B19" w:rsidRDefault="000B4B19" w:rsidP="000B4B19">
            <w:r w:rsidRPr="000C0076">
              <w:t>129</w:t>
            </w:r>
            <w:r w:rsidR="00F6145A">
              <w:t>.</w:t>
            </w:r>
            <w:r w:rsidRPr="000C0076">
              <w:t>77</w:t>
            </w:r>
          </w:p>
        </w:tc>
      </w:tr>
      <w:tr w:rsidR="000B4B19" w14:paraId="6C4E95F3" w14:textId="77777777" w:rsidTr="000B4B19">
        <w:tc>
          <w:tcPr>
            <w:tcW w:w="2407" w:type="dxa"/>
          </w:tcPr>
          <w:p w14:paraId="1564A96A" w14:textId="6B8C5D3D" w:rsidR="000B4B19" w:rsidRDefault="000B4B19" w:rsidP="000B4B19">
            <w:r>
              <w:t>Vaccine efficacy against influenza (</w:t>
            </w:r>
            <w:r w:rsidR="00F6145A" w:rsidRPr="00241638">
              <w:t>TIV-SD</w:t>
            </w:r>
            <w:r>
              <w:t>)</w:t>
            </w:r>
          </w:p>
        </w:tc>
        <w:tc>
          <w:tcPr>
            <w:tcW w:w="2407" w:type="dxa"/>
          </w:tcPr>
          <w:p w14:paraId="51C3F656" w14:textId="6BB1C89B" w:rsidR="000B4B19" w:rsidRPr="000C0076" w:rsidRDefault="000B4B19" w:rsidP="000B4B19">
            <w:r w:rsidRPr="00610F22">
              <w:t>46</w:t>
            </w:r>
            <w:r w:rsidR="00F6145A">
              <w:t>.</w:t>
            </w:r>
            <w:r w:rsidRPr="00610F22">
              <w:t>0%</w:t>
            </w:r>
          </w:p>
        </w:tc>
        <w:tc>
          <w:tcPr>
            <w:tcW w:w="2407" w:type="dxa"/>
          </w:tcPr>
          <w:p w14:paraId="65CE2F3C" w14:textId="5D12A522" w:rsidR="000B4B19" w:rsidRPr="000C0076" w:rsidRDefault="000B4B19" w:rsidP="000B4B19">
            <w:r w:rsidRPr="00610F22">
              <w:t>39</w:t>
            </w:r>
            <w:r w:rsidR="00F6145A">
              <w:t>.</w:t>
            </w:r>
            <w:r w:rsidRPr="00610F22">
              <w:t>0%</w:t>
            </w:r>
          </w:p>
        </w:tc>
        <w:tc>
          <w:tcPr>
            <w:tcW w:w="2407" w:type="dxa"/>
          </w:tcPr>
          <w:p w14:paraId="31F70383" w14:textId="0C9AC4BE" w:rsidR="000B4B19" w:rsidRPr="000C0076" w:rsidRDefault="000B4B19" w:rsidP="000B4B19">
            <w:r w:rsidRPr="00610F22">
              <w:t>65</w:t>
            </w:r>
            <w:r w:rsidR="00F6145A">
              <w:t>.</w:t>
            </w:r>
            <w:r w:rsidRPr="00610F22">
              <w:t>0%</w:t>
            </w:r>
          </w:p>
        </w:tc>
      </w:tr>
      <w:tr w:rsidR="000B4B19" w14:paraId="6EB91873" w14:textId="77777777" w:rsidTr="000B4B19">
        <w:tc>
          <w:tcPr>
            <w:tcW w:w="2407" w:type="dxa"/>
          </w:tcPr>
          <w:p w14:paraId="3A3F5B25" w14:textId="690F14FE" w:rsidR="000B4B19" w:rsidRDefault="000B4B19" w:rsidP="000B4B19">
            <w:r>
              <w:t>Hospitali</w:t>
            </w:r>
            <w:r w:rsidR="00F6145A">
              <w:t>z</w:t>
            </w:r>
            <w:r>
              <w:t>ation rate</w:t>
            </w:r>
          </w:p>
        </w:tc>
        <w:tc>
          <w:tcPr>
            <w:tcW w:w="2407" w:type="dxa"/>
          </w:tcPr>
          <w:p w14:paraId="2B98654C" w14:textId="49D6A59B" w:rsidR="000B4B19" w:rsidRPr="00610F22" w:rsidRDefault="000B4B19" w:rsidP="000B4B19">
            <w:r w:rsidRPr="0092553E">
              <w:t>7</w:t>
            </w:r>
            <w:r w:rsidR="00F6145A">
              <w:t>,</w:t>
            </w:r>
            <w:r w:rsidRPr="0092553E">
              <w:t>839</w:t>
            </w:r>
            <w:r w:rsidR="00F6145A">
              <w:t>.</w:t>
            </w:r>
            <w:r w:rsidRPr="0092553E">
              <w:t>7</w:t>
            </w:r>
          </w:p>
        </w:tc>
        <w:tc>
          <w:tcPr>
            <w:tcW w:w="2407" w:type="dxa"/>
          </w:tcPr>
          <w:p w14:paraId="1072D9B2" w14:textId="48BAAEA7" w:rsidR="000B4B19" w:rsidRPr="00610F22" w:rsidRDefault="000B4B19" w:rsidP="000B4B19">
            <w:r w:rsidRPr="0092553E">
              <w:t>6</w:t>
            </w:r>
            <w:r w:rsidR="00F6145A">
              <w:t>,</w:t>
            </w:r>
            <w:r w:rsidRPr="0092553E">
              <w:t>271</w:t>
            </w:r>
            <w:r w:rsidR="00F6145A">
              <w:t>.</w:t>
            </w:r>
            <w:r w:rsidRPr="0092553E">
              <w:t>8</w:t>
            </w:r>
          </w:p>
        </w:tc>
        <w:tc>
          <w:tcPr>
            <w:tcW w:w="2407" w:type="dxa"/>
          </w:tcPr>
          <w:p w14:paraId="21164746" w14:textId="1D9A5944" w:rsidR="000B4B19" w:rsidRPr="00610F22" w:rsidRDefault="000B4B19" w:rsidP="000B4B19">
            <w:r w:rsidRPr="0092553E">
              <w:t>9</w:t>
            </w:r>
            <w:r w:rsidR="00F6145A">
              <w:t>,</w:t>
            </w:r>
            <w:r w:rsidRPr="0092553E">
              <w:t>407</w:t>
            </w:r>
            <w:r w:rsidR="00F6145A">
              <w:t>.</w:t>
            </w:r>
            <w:r w:rsidRPr="0092553E">
              <w:t>6</w:t>
            </w:r>
          </w:p>
        </w:tc>
      </w:tr>
      <w:tr w:rsidR="000B4B19" w14:paraId="3ED09ABD" w14:textId="77777777" w:rsidTr="000B4B19">
        <w:tc>
          <w:tcPr>
            <w:tcW w:w="2407" w:type="dxa"/>
          </w:tcPr>
          <w:p w14:paraId="79424B94" w14:textId="58ED694A" w:rsidR="000B4B19" w:rsidRDefault="000B4B19" w:rsidP="000B4B19">
            <w:r>
              <w:t>Adjustment factor to influenza season</w:t>
            </w:r>
          </w:p>
        </w:tc>
        <w:tc>
          <w:tcPr>
            <w:tcW w:w="2407" w:type="dxa"/>
          </w:tcPr>
          <w:p w14:paraId="7F5A61E1" w14:textId="2BBD71F5" w:rsidR="000B4B19" w:rsidRPr="0092553E" w:rsidRDefault="000B4B19" w:rsidP="000B4B19">
            <w:r>
              <w:t>60%</w:t>
            </w:r>
          </w:p>
        </w:tc>
        <w:tc>
          <w:tcPr>
            <w:tcW w:w="2407" w:type="dxa"/>
          </w:tcPr>
          <w:p w14:paraId="4969E1E9" w14:textId="2C254A2E" w:rsidR="000B4B19" w:rsidRPr="0092553E" w:rsidRDefault="000B4B19" w:rsidP="000B4B19">
            <w:r w:rsidRPr="002B0CA4">
              <w:t>48,0%</w:t>
            </w:r>
          </w:p>
        </w:tc>
        <w:tc>
          <w:tcPr>
            <w:tcW w:w="2407" w:type="dxa"/>
          </w:tcPr>
          <w:p w14:paraId="7E0C7425" w14:textId="2D9B9F47" w:rsidR="000B4B19" w:rsidRPr="0092553E" w:rsidRDefault="000B4B19" w:rsidP="000B4B19">
            <w:r w:rsidRPr="002B0CA4">
              <w:t>72,0%</w:t>
            </w:r>
          </w:p>
        </w:tc>
      </w:tr>
      <w:tr w:rsidR="000B4B19" w14:paraId="0EBB3138" w14:textId="77777777" w:rsidTr="000B4B19">
        <w:tc>
          <w:tcPr>
            <w:tcW w:w="2407" w:type="dxa"/>
          </w:tcPr>
          <w:p w14:paraId="31E5359E" w14:textId="3BDCD388" w:rsidR="000B4B19" w:rsidRDefault="000B4B19" w:rsidP="000B4B19">
            <w:r>
              <w:t>Cost of influenza-related hospitalization with complications</w:t>
            </w:r>
          </w:p>
        </w:tc>
        <w:tc>
          <w:tcPr>
            <w:tcW w:w="2407" w:type="dxa"/>
          </w:tcPr>
          <w:p w14:paraId="4146BE0C" w14:textId="2702F55F" w:rsidR="000B4B19" w:rsidRDefault="000B4B19" w:rsidP="000B4B19">
            <w:r w:rsidRPr="00E81950">
              <w:t>5</w:t>
            </w:r>
            <w:r w:rsidR="00F6145A">
              <w:t>,</w:t>
            </w:r>
            <w:r w:rsidRPr="00E81950">
              <w:t>237</w:t>
            </w:r>
            <w:r w:rsidR="00F6145A">
              <w:t>.</w:t>
            </w:r>
            <w:r w:rsidRPr="00E81950">
              <w:t>41 €</w:t>
            </w:r>
          </w:p>
        </w:tc>
        <w:tc>
          <w:tcPr>
            <w:tcW w:w="2407" w:type="dxa"/>
          </w:tcPr>
          <w:p w14:paraId="51F5AF6B" w14:textId="3E3FCEF0" w:rsidR="000B4B19" w:rsidRPr="002B0CA4" w:rsidRDefault="000B4B19" w:rsidP="000B4B19">
            <w:r w:rsidRPr="00E81950">
              <w:t>4</w:t>
            </w:r>
            <w:r w:rsidR="00F6145A">
              <w:t>,</w:t>
            </w:r>
            <w:r w:rsidRPr="00E81950">
              <w:t>189</w:t>
            </w:r>
            <w:r w:rsidR="00F6145A">
              <w:t>.</w:t>
            </w:r>
            <w:r w:rsidRPr="00E81950">
              <w:t>93 €</w:t>
            </w:r>
          </w:p>
        </w:tc>
        <w:tc>
          <w:tcPr>
            <w:tcW w:w="2407" w:type="dxa"/>
          </w:tcPr>
          <w:p w14:paraId="59578CA3" w14:textId="2D352354" w:rsidR="000B4B19" w:rsidRPr="002B0CA4" w:rsidRDefault="000B4B19" w:rsidP="000B4B19">
            <w:r w:rsidRPr="00E81950">
              <w:t>6</w:t>
            </w:r>
            <w:r w:rsidR="00F6145A">
              <w:t>,</w:t>
            </w:r>
            <w:r w:rsidRPr="00E81950">
              <w:t>284</w:t>
            </w:r>
            <w:r w:rsidR="00F6145A">
              <w:t>.</w:t>
            </w:r>
            <w:r w:rsidRPr="00E81950">
              <w:t>89 €</w:t>
            </w:r>
          </w:p>
        </w:tc>
      </w:tr>
      <w:tr w:rsidR="0060655A" w14:paraId="1E652B89" w14:textId="77777777" w:rsidTr="000B4B19">
        <w:tc>
          <w:tcPr>
            <w:tcW w:w="2407" w:type="dxa"/>
          </w:tcPr>
          <w:p w14:paraId="6060373F" w14:textId="23182175" w:rsidR="0060655A" w:rsidRDefault="0060655A" w:rsidP="0060655A">
            <w:r>
              <w:t xml:space="preserve">Efficacy against influenza-associated hospitalization for </w:t>
            </w:r>
            <w:r w:rsidR="00F6145A" w:rsidRPr="00241638">
              <w:t>TIV-SD</w:t>
            </w:r>
            <w:r>
              <w:t xml:space="preserve"> vs. no vaccine</w:t>
            </w:r>
          </w:p>
        </w:tc>
        <w:tc>
          <w:tcPr>
            <w:tcW w:w="2407" w:type="dxa"/>
          </w:tcPr>
          <w:p w14:paraId="663458AE" w14:textId="0EBE944C" w:rsidR="0060655A" w:rsidRPr="00E81950" w:rsidRDefault="0060655A" w:rsidP="0060655A">
            <w:r w:rsidRPr="00E614A5">
              <w:t>28</w:t>
            </w:r>
            <w:r w:rsidR="00F6145A">
              <w:t>.</w:t>
            </w:r>
            <w:r w:rsidRPr="00E614A5">
              <w:t>0%</w:t>
            </w:r>
          </w:p>
        </w:tc>
        <w:tc>
          <w:tcPr>
            <w:tcW w:w="2407" w:type="dxa"/>
          </w:tcPr>
          <w:p w14:paraId="013B0187" w14:textId="39854823" w:rsidR="0060655A" w:rsidRPr="00E81950" w:rsidRDefault="0060655A" w:rsidP="0060655A">
            <w:r w:rsidRPr="00E614A5">
              <w:t>13</w:t>
            </w:r>
            <w:r w:rsidR="00F6145A">
              <w:t>.</w:t>
            </w:r>
            <w:r w:rsidRPr="00E614A5">
              <w:t>4%</w:t>
            </w:r>
          </w:p>
        </w:tc>
        <w:tc>
          <w:tcPr>
            <w:tcW w:w="2407" w:type="dxa"/>
          </w:tcPr>
          <w:p w14:paraId="4FB64440" w14:textId="79999DA2" w:rsidR="0060655A" w:rsidRPr="00E81950" w:rsidRDefault="0060655A" w:rsidP="0060655A">
            <w:r w:rsidRPr="00E614A5">
              <w:t>39</w:t>
            </w:r>
            <w:r w:rsidR="00F6145A">
              <w:t>.</w:t>
            </w:r>
            <w:r w:rsidRPr="00E614A5">
              <w:t>1%</w:t>
            </w:r>
          </w:p>
        </w:tc>
      </w:tr>
    </w:tbl>
    <w:p w14:paraId="767B4229" w14:textId="77777777" w:rsidR="00F6145A" w:rsidRPr="00B915E4" w:rsidRDefault="00F6145A" w:rsidP="00F6145A">
      <w:pPr>
        <w:widowControl w:val="0"/>
        <w:spacing w:line="276" w:lineRule="auto"/>
      </w:pPr>
      <w:r w:rsidRPr="00B915E4">
        <w:rPr>
          <w:b/>
        </w:rPr>
        <w:t>Notes:</w:t>
      </w:r>
      <w:r w:rsidRPr="00B915E4">
        <w:t xml:space="preserve"> </w:t>
      </w:r>
    </w:p>
    <w:p w14:paraId="71A60A1D" w14:textId="78861844" w:rsidR="00F6145A" w:rsidRDefault="00F6145A" w:rsidP="00F6145A">
      <w:pPr>
        <w:spacing w:line="276" w:lineRule="auto"/>
      </w:pPr>
      <w:r w:rsidRPr="00B915E4">
        <w:rPr>
          <w:b/>
        </w:rPr>
        <w:t>Abbreviations:</w:t>
      </w:r>
      <w:r w:rsidRPr="00B915E4">
        <w:t xml:space="preserve"> </w:t>
      </w:r>
      <w:r>
        <w:t>TIV</w:t>
      </w:r>
      <w:r w:rsidRPr="00123C9C">
        <w:t>-HD</w:t>
      </w:r>
      <w:r>
        <w:t xml:space="preserve">, </w:t>
      </w:r>
      <w:r w:rsidRPr="00123C9C">
        <w:t xml:space="preserve">high-dose </w:t>
      </w:r>
      <w:r>
        <w:t>trivalent</w:t>
      </w:r>
      <w:r w:rsidRPr="00123C9C">
        <w:t xml:space="preserve"> influenza vaccine; </w:t>
      </w:r>
      <w:r>
        <w:t>TIV</w:t>
      </w:r>
      <w:r w:rsidRPr="00123C9C">
        <w:t>-SD</w:t>
      </w:r>
      <w:r>
        <w:t xml:space="preserve">, </w:t>
      </w:r>
      <w:r w:rsidRPr="00123C9C">
        <w:t xml:space="preserve">standard-dose </w:t>
      </w:r>
      <w:r>
        <w:t>trivalent</w:t>
      </w:r>
      <w:r w:rsidRPr="00123C9C">
        <w:t xml:space="preserve"> influenza vaccine</w:t>
      </w:r>
    </w:p>
    <w:p w14:paraId="54A72BBA" w14:textId="77777777" w:rsidR="000B4B19" w:rsidRPr="000B4B19" w:rsidRDefault="000B4B19"/>
    <w:p w14:paraId="411A64B9" w14:textId="77777777" w:rsidR="000B4B19" w:rsidRDefault="000B4B19"/>
    <w:sectPr w:rsidR="000B4B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19"/>
    <w:rsid w:val="00073D94"/>
    <w:rsid w:val="0008644E"/>
    <w:rsid w:val="000B4B19"/>
    <w:rsid w:val="000F545F"/>
    <w:rsid w:val="00153C69"/>
    <w:rsid w:val="002E5121"/>
    <w:rsid w:val="004115E7"/>
    <w:rsid w:val="0060655A"/>
    <w:rsid w:val="00662FAD"/>
    <w:rsid w:val="007E7D66"/>
    <w:rsid w:val="00805066"/>
    <w:rsid w:val="00B076F3"/>
    <w:rsid w:val="00CE6D3C"/>
    <w:rsid w:val="00F6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3434"/>
  <w15:chartTrackingRefBased/>
  <w15:docId w15:val="{975A32BA-98C0-4483-92A9-8D18FB68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4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0B4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4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4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4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4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4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4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4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4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4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4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4B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4B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4B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4B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4B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4B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4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4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4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4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4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4B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4B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4B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4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4B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4B1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B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Bellone</dc:creator>
  <cp:keywords/>
  <dc:description/>
  <cp:lastModifiedBy>Laura Fascio Pecetto</cp:lastModifiedBy>
  <cp:revision>5</cp:revision>
  <dcterms:created xsi:type="dcterms:W3CDTF">2026-03-06T17:11:00Z</dcterms:created>
  <dcterms:modified xsi:type="dcterms:W3CDTF">2026-03-09T09:24:00Z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e5a4860b-99b2-42af-9b86-0b06a1b78137</vt:lpwstr>
  </property>
</Properties>
</file>