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hint="default" w:ascii="Times New Roman" w:hAnsi="Times New Roman" w:eastAsia="Google Sans" w:cs="Times New Roman"/>
          <w:color w:val="1F1F1F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/>
          <w:bCs/>
          <w:i w:val="0"/>
          <w:iCs w:val="0"/>
          <w:sz w:val="24"/>
          <w:szCs w:val="24"/>
          <w:rtl w:val="0"/>
          <w:lang w:val="en-US" w:eastAsia="zh-CN" w:bidi="ar-SA"/>
        </w:rPr>
        <w:t>S</w:t>
      </w:r>
      <w:r>
        <w:rPr>
          <w:rFonts w:hint="default" w:ascii="Times New Roman" w:hAnsi="Times New Roman" w:eastAsia="Google Sans" w:cs="Times New Roman"/>
          <w:color w:val="1F1F1F"/>
          <w:sz w:val="24"/>
          <w:szCs w:val="24"/>
          <w:rtl w:val="0"/>
        </w:rPr>
        <w:t>upplementary Material</w:t>
      </w:r>
    </w:p>
    <w:p w14:paraId="0000000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hint="default" w:ascii="Times New Roman" w:hAnsi="Times New Roman" w:eastAsia="Google Sans" w:cs="Times New Roman"/>
          <w:color w:val="1F1F1F"/>
          <w:sz w:val="24"/>
          <w:szCs w:val="24"/>
        </w:rPr>
      </w:pPr>
      <w:r>
        <w:rPr>
          <w:rFonts w:hint="default" w:ascii="Times New Roman" w:hAnsi="Times New Roman" w:eastAsia="Google Sans" w:cs="Times New Roman"/>
          <w:color w:val="1F1F1F"/>
          <w:sz w:val="24"/>
          <w:szCs w:val="24"/>
          <w:rtl w:val="0"/>
        </w:rPr>
        <w:t>Calculation Formulas for Derived Biomarkers and Indices</w:t>
      </w:r>
    </w:p>
    <w:p w14:paraId="0000000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hint="default" w:ascii="Times New Roman" w:hAnsi="Times New Roman" w:eastAsia="Google Sans Text" w:cs="Times New Roman"/>
          <w:color w:val="1F1F1F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color w:val="1F1F1F"/>
          <w:sz w:val="24"/>
          <w:szCs w:val="24"/>
          <w:rtl w:val="0"/>
        </w:rPr>
        <w:t>To ensure the reproducibility of our study, the detailed calculation formulas for the derived biomarkers and composite indices used in the predictive model are provided below:</w:t>
      </w:r>
    </w:p>
    <w:p w14:paraId="36D24F68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105" w:leftChars="0"/>
        <w:rPr>
          <w:rFonts w:hint="eastAsia" w:ascii="Times New Roman" w:hAnsi="Times New Roman" w:eastAsia="宋体" w:cs="Times New Roman"/>
          <w:b/>
          <w:bCs/>
          <w:color w:val="1F1F1F"/>
          <w:sz w:val="24"/>
          <w:szCs w:val="24"/>
          <w:rtl w:val="0"/>
          <w:lang w:eastAsia="zh-CN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Triglyceride-Glucose (TyG) Index: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8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Google Sans Text" w:cs="Times New Roman"/>
          <w:i/>
          <w:iCs/>
          <w:color w:val="1F1F1F"/>
          <w:sz w:val="24"/>
          <w:szCs w:val="24"/>
          <w:rtl w:val="0"/>
        </w:rPr>
        <w:t>Note</w:t>
      </w:r>
      <w:r>
        <w:rPr>
          <w:rFonts w:hint="eastAsia" w:ascii="Times New Roman" w:hAnsi="Times New Roman" w:eastAsia="宋体" w:cs="Times New Roman"/>
          <w:i/>
          <w:iCs/>
          <w:color w:val="1F1F1F"/>
          <w:sz w:val="24"/>
          <w:szCs w:val="24"/>
          <w:rtl w:val="0"/>
          <w:lang w:val="en-US" w:eastAsia="zh-CN"/>
        </w:rPr>
        <w:t xml:space="preserve"> </w:t>
      </w:r>
      <w:r>
        <w:rPr>
          <w:rFonts w:hint="default" w:ascii="Times New Roman" w:hAnsi="Times New Roman" w:eastAsia="Google Sans Text" w:cs="Times New Roman"/>
          <w:i/>
          <w:iCs/>
          <w:color w:val="1F1F1F"/>
          <w:sz w:val="24"/>
          <w:szCs w:val="24"/>
          <w:rtl w:val="0"/>
        </w:rPr>
        <w:t>: In this study, the TyG index was calculated utilizing mmol/L values directly derived from laboratory reports. Consequently, the numerical range (typically~1.5-3.0) differs from the standard mg/dL-based index (~8.0-10.0). However, as the transformation is logarithmic, the mathematical correlation with insulin resistance remains preserved</w:t>
      </w:r>
      <w:r>
        <w:rPr>
          <w:rFonts w:hint="eastAsia" w:ascii="Times New Roman" w:hAnsi="Times New Roman" w:eastAsia="宋体" w:cs="Times New Roman"/>
          <w:i/>
          <w:iCs/>
          <w:color w:val="1F1F1F"/>
          <w:sz w:val="24"/>
          <w:szCs w:val="24"/>
          <w:rtl w:val="0"/>
          <w:lang w:val="en-US" w:eastAsia="zh-CN"/>
        </w:rPr>
        <w:t>.</w:t>
      </w:r>
      <w:bookmarkStart w:id="0" w:name="_GoBack"/>
      <w:bookmarkEnd w:id="0"/>
    </w:p>
    <w:p w14:paraId="4D1FD0FC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105" w:leftChars="0"/>
        <w:rPr>
          <w:rFonts w:hint="default" w:ascii="Times New Roman" w:hAnsi="Times New Roman" w:eastAsia="Google Sans Text" w:cs="Times New Roman"/>
          <w:b/>
          <w:bCs/>
          <w:color w:val="1F1F1F"/>
          <w:sz w:val="24"/>
          <w:szCs w:val="24"/>
          <w:rtl w:val="0"/>
        </w:rPr>
      </w:pPr>
    </w:p>
    <w:p w14:paraId="00000006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Non-High-Density Lipoprotein Cholesterol (Non-HDL-C):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485775"/>
            <wp:effectExtent l="0" t="0" r="0" b="0"/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486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7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Atherogenic Index of Albumin (AAI):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9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CRP-Albumin-Lymphocyte (CALLY) Index: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A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Neutrophil-to-Lymphocyte Ratio (NLR):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B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Platelet-to-Lymphocyte Ratio (PLR):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C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Systemic Immune-Inflammation Index (SII):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D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Systemic Inflammation Response Index (SIRI):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E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Neutrophil-to-Albumin Ratio (NAR):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0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120" w:line="275" w:lineRule="auto"/>
        <w:ind w:left="105" w:leftChars="0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ALT/AST Ratio: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  <w:drawing>
          <wp:inline distT="19050" distB="19050" distL="19050" distR="19050">
            <wp:extent cx="5905500" cy="646430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4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after="240" w:line="275" w:lineRule="auto"/>
        <w:rPr>
          <w:rFonts w:hint="default" w:ascii="Times New Roman" w:hAnsi="Times New Roman" w:eastAsia="Google Sans Text" w:cs="Times New Roman"/>
          <w:color w:val="1F1F1F"/>
          <w:sz w:val="24"/>
          <w:szCs w:val="24"/>
        </w:rPr>
      </w:pPr>
      <w:r>
        <w:rPr>
          <w:rFonts w:hint="default" w:ascii="Times New Roman" w:hAnsi="Times New Roman" w:eastAsia="Google Sans Text" w:cs="Times New Roman"/>
          <w:b w:val="0"/>
          <w:bCs w:val="0"/>
          <w:color w:val="1F1F1F"/>
          <w:sz w:val="24"/>
          <w:szCs w:val="24"/>
          <w:rtl w:val="0"/>
        </w:rPr>
        <w:t>Note on Data Collection:</w:t>
      </w:r>
      <w:r>
        <w:rPr>
          <w:rFonts w:hint="default" w:ascii="Times New Roman" w:hAnsi="Times New Roman" w:eastAsia="Google Sans Text" w:cs="Times New Roman"/>
          <w:color w:val="1F1F1F"/>
          <w:sz w:val="24"/>
          <w:szCs w:val="24"/>
          <w:rtl w:val="0"/>
        </w:rPr>
        <w:t xml:space="preserve"> All biological samples were collected following a minimum 8-hour overnight fast. Standardized laboratory procedures and certified biochemical assays were employed for all measurements.</w:t>
      </w: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354DC99-BB4A-4F7B-A8D8-A85C98645B4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47E77B9D-EF0A-411E-B6F5-4582F2439F4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24EAF1EC-980F-4A48-93DB-EF131722170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B329AB3A-D8BC-4FA0-81A5-F4FBACD0E7C5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AC6BF315-CE5D-4313-B7B7-B878F2169C95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89F4CBC7-3A29-4734-A02D-AF759AAF1FF4}"/>
  </w:font>
  <w:font w:name="Google San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8688E235-5411-4BF9-9E5D-97E4BD1843A2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F3D4C5C2-7164-409A-ACA5-9DD07812149D}"/>
  </w:font>
  <w:font w:name="Google Sans Tex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F8E56148-6FE0-4A61-B9E0-016ADD86722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compat>
    <w:useFELayout/>
    <w:compatSetting w:name="compatibilityMode" w:uri="http://schemas.microsoft.com/office/word" w:val="15"/>
  </w:compat>
  <w:rsids>
    <w:rsidRoot w:val="00000000"/>
    <w:rsid w:val="01DF087E"/>
    <w:rsid w:val="02A67A5A"/>
    <w:rsid w:val="18747E3D"/>
    <w:rsid w:val="21752892"/>
    <w:rsid w:val="25A53036"/>
    <w:rsid w:val="25F3318F"/>
    <w:rsid w:val="2B5D50DA"/>
    <w:rsid w:val="36636652"/>
    <w:rsid w:val="3DF44CC0"/>
    <w:rsid w:val="400F6201"/>
    <w:rsid w:val="545112B0"/>
    <w:rsid w:val="5CFA4828"/>
    <w:rsid w:val="5D6E0A86"/>
    <w:rsid w:val="6E0D7678"/>
    <w:rsid w:val="77F73701"/>
    <w:rsid w:val="7C3A09B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eastAsia="Arial" w:cs="Arial"/>
      <w:sz w:val="22"/>
      <w:szCs w:val="22"/>
    </w:rPr>
  </w:style>
  <w:style w:type="paragraph" w:styleId="2">
    <w:name w:val="heading 1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5" w:after="225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18"/>
      <w:szCs w:val="18"/>
    </w:rPr>
  </w:style>
  <w:style w:type="paragraph" w:styleId="7">
    <w:name w:val="heading 6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360"/>
    </w:pPr>
    <w:rPr>
      <w:b/>
      <w:bCs/>
      <w:sz w:val="16"/>
      <w:szCs w:val="16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141</Words>
  <Characters>1044</Characters>
  <TotalTime>12</TotalTime>
  <ScaleCrop>false</ScaleCrop>
  <LinksUpToDate>false</LinksUpToDate>
  <CharactersWithSpaces>1170</CharactersWithSpaces>
  <Application>WPS Office_12.1.0.25225_F1E327BC-269C-435d-A152-05C5408002CA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2026-02-08T08:00:00Z</dcterms:created>
  <dc:creator>lenovo</dc:creator>
  <cp:lastModifiedBy>WPS_1761471770</cp:lastModifiedBy>
  <dcterms:modified xsi:type="dcterms:W3CDTF">2026-02-09T11:50:46Z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eyJoZGlkIjoiOWY0ZmI5ZTNmYzQzMDQ2OWQ0YjAzNGRhM2E0ZjJhZWEiLCJ1c2VySWQiOiIxNzYyODI0NTQ3In0=</vt:lpwstr>
  </property>
  <property fmtid="{D5CDD505-2E9C-101B-9397-08002B2CF9AE}" pid="3" name="KSOProductBuildVer">
    <vt:lpwstr>2052-12.1.0.25225</vt:lpwstr>
  </property>
  <property fmtid="{D5CDD505-2E9C-101B-9397-08002B2CF9AE}" pid="4" name="ICV">
    <vt:lpwstr>601E84EBD49A4BEDBE158E787C0BC127_13</vt:lpwstr>
  </property>
</Properties>
</file>