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12E8">
      <w:pPr>
        <w:widowControl w:val="0"/>
        <w:rPr>
          <w:rFonts w:cs="Arial"/>
          <w:b/>
          <w:bCs/>
          <w:color w:val="000000"/>
        </w:rPr>
      </w:pPr>
      <w:r>
        <w:rPr>
          <w:rFonts w:hint="eastAsia" w:cs="Arial"/>
          <w:b/>
          <w:color w:val="000000"/>
          <w:szCs w:val="20"/>
        </w:rPr>
        <w:t>Supplementary Table 1</w:t>
      </w:r>
      <w:r>
        <w:rPr>
          <w:rStyle w:val="6"/>
          <w:rFonts w:ascii="Segoe UI" w:hAnsi="Segoe UI" w:eastAsia="Segoe UI" w:cs="Segoe UI"/>
          <w:bCs/>
          <w:color w:val="000000"/>
          <w:sz w:val="16"/>
          <w:szCs w:val="16"/>
        </w:rPr>
        <w:t xml:space="preserve"> </w:t>
      </w:r>
      <w:r>
        <w:rPr>
          <w:rFonts w:cs="Arial"/>
          <w:color w:val="000000"/>
          <w:lang w:eastAsia="zh-CN"/>
        </w:rPr>
        <w:t>Comparison of This Study with State-of-the-Art Techniques in the Field of MDR</w:t>
      </w:r>
      <w:r>
        <w:rPr>
          <w:rFonts w:hint="eastAsia" w:cs="Arial"/>
          <w:color w:val="000000"/>
          <w:lang w:eastAsia="zh-CN"/>
        </w:rPr>
        <w:t xml:space="preserve"> </w:t>
      </w:r>
      <w:r>
        <w:rPr>
          <w:rFonts w:cs="Arial"/>
          <w:color w:val="000000"/>
          <w:lang w:eastAsia="zh-CN"/>
        </w:rPr>
        <w:t>Prediction</w:t>
      </w:r>
    </w:p>
    <w:tbl>
      <w:tblPr>
        <w:tblStyle w:val="4"/>
        <w:tblW w:w="10836"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96"/>
        <w:gridCol w:w="1009"/>
        <w:gridCol w:w="1236"/>
        <w:gridCol w:w="1136"/>
        <w:gridCol w:w="955"/>
        <w:gridCol w:w="1071"/>
        <w:gridCol w:w="2465"/>
      </w:tblGrid>
      <w:tr w14:paraId="41C0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bottom w:val="single" w:color="auto" w:sz="4" w:space="0"/>
              <w:right w:val="single" w:color="auto" w:sz="4" w:space="0"/>
            </w:tcBorders>
          </w:tcPr>
          <w:p w14:paraId="20D739F5">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Reference (Year)</w:t>
            </w:r>
          </w:p>
        </w:tc>
        <w:tc>
          <w:tcPr>
            <w:tcW w:w="1796" w:type="dxa"/>
            <w:tcBorders>
              <w:left w:val="single" w:color="auto" w:sz="4" w:space="0"/>
              <w:bottom w:val="single" w:color="auto" w:sz="4" w:space="0"/>
              <w:right w:val="single" w:color="auto" w:sz="4" w:space="0"/>
            </w:tcBorders>
          </w:tcPr>
          <w:p w14:paraId="7BD72027">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Core Model</w:t>
            </w:r>
          </w:p>
        </w:tc>
        <w:tc>
          <w:tcPr>
            <w:tcW w:w="1009" w:type="dxa"/>
            <w:tcBorders>
              <w:left w:val="single" w:color="auto" w:sz="4" w:space="0"/>
              <w:bottom w:val="single" w:color="auto" w:sz="4" w:space="0"/>
              <w:right w:val="single" w:color="auto" w:sz="4" w:space="0"/>
            </w:tcBorders>
          </w:tcPr>
          <w:p w14:paraId="06F96232">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Feature Processing</w:t>
            </w:r>
          </w:p>
        </w:tc>
        <w:tc>
          <w:tcPr>
            <w:tcW w:w="1236" w:type="dxa"/>
            <w:tcBorders>
              <w:left w:val="single" w:color="auto" w:sz="4" w:space="0"/>
              <w:bottom w:val="single" w:color="auto" w:sz="4" w:space="0"/>
              <w:right w:val="single" w:color="auto" w:sz="4" w:space="0"/>
            </w:tcBorders>
          </w:tcPr>
          <w:p w14:paraId="2838CC8A">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Calibration</w:t>
            </w:r>
          </w:p>
        </w:tc>
        <w:tc>
          <w:tcPr>
            <w:tcW w:w="1136" w:type="dxa"/>
            <w:tcBorders>
              <w:left w:val="single" w:color="auto" w:sz="4" w:space="0"/>
              <w:bottom w:val="single" w:color="auto" w:sz="4" w:space="0"/>
              <w:right w:val="single" w:color="auto" w:sz="4" w:space="0"/>
            </w:tcBorders>
          </w:tcPr>
          <w:p w14:paraId="260BA2B3">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Validation Strategy</w:t>
            </w:r>
          </w:p>
        </w:tc>
        <w:tc>
          <w:tcPr>
            <w:tcW w:w="955" w:type="dxa"/>
            <w:tcBorders>
              <w:left w:val="single" w:color="auto" w:sz="4" w:space="0"/>
              <w:bottom w:val="single" w:color="auto" w:sz="4" w:space="0"/>
              <w:right w:val="single" w:color="auto" w:sz="4" w:space="0"/>
            </w:tcBorders>
          </w:tcPr>
          <w:p w14:paraId="276D7B54">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Internal AUROC</w:t>
            </w:r>
          </w:p>
        </w:tc>
        <w:tc>
          <w:tcPr>
            <w:tcW w:w="1071" w:type="dxa"/>
            <w:tcBorders>
              <w:left w:val="single" w:color="auto" w:sz="4" w:space="0"/>
              <w:bottom w:val="single" w:color="auto" w:sz="4" w:space="0"/>
              <w:right w:val="single" w:color="auto" w:sz="4" w:space="0"/>
            </w:tcBorders>
          </w:tcPr>
          <w:p w14:paraId="2E21183D">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External AUROC</w:t>
            </w:r>
          </w:p>
        </w:tc>
        <w:tc>
          <w:tcPr>
            <w:tcW w:w="2465" w:type="dxa"/>
            <w:tcBorders>
              <w:left w:val="single" w:color="auto" w:sz="4" w:space="0"/>
              <w:bottom w:val="single" w:color="auto" w:sz="4" w:space="0"/>
            </w:tcBorders>
          </w:tcPr>
          <w:p w14:paraId="46ABA404">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Key Limitations</w:t>
            </w:r>
          </w:p>
        </w:tc>
      </w:tr>
      <w:tr w14:paraId="7F39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single" w:color="auto" w:sz="4" w:space="0"/>
              <w:bottom w:val="nil"/>
              <w:right w:val="single" w:color="auto" w:sz="4" w:space="0"/>
            </w:tcBorders>
          </w:tcPr>
          <w:p w14:paraId="00012D1E">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Zhao et al. (2025)</w:t>
            </w:r>
          </w:p>
        </w:tc>
        <w:tc>
          <w:tcPr>
            <w:tcW w:w="1796" w:type="dxa"/>
            <w:tcBorders>
              <w:top w:val="single" w:color="auto" w:sz="4" w:space="0"/>
              <w:left w:val="single" w:color="auto" w:sz="4" w:space="0"/>
              <w:bottom w:val="nil"/>
              <w:right w:val="single" w:color="auto" w:sz="4" w:space="0"/>
            </w:tcBorders>
          </w:tcPr>
          <w:p w14:paraId="482C98F0">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Multi-model comparison (RF, SVM, LR, NN; RF best)</w:t>
            </w:r>
          </w:p>
        </w:tc>
        <w:tc>
          <w:tcPr>
            <w:tcW w:w="1009" w:type="dxa"/>
            <w:tcBorders>
              <w:top w:val="single" w:color="auto" w:sz="4" w:space="0"/>
              <w:left w:val="single" w:color="auto" w:sz="4" w:space="0"/>
              <w:bottom w:val="nil"/>
              <w:right w:val="single" w:color="auto" w:sz="4" w:space="0"/>
            </w:tcBorders>
          </w:tcPr>
          <w:p w14:paraId="71F3FC23">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Lasso + multivariate clinical &amp; lab features</w:t>
            </w:r>
          </w:p>
        </w:tc>
        <w:tc>
          <w:tcPr>
            <w:tcW w:w="1236" w:type="dxa"/>
            <w:tcBorders>
              <w:top w:val="single" w:color="auto" w:sz="4" w:space="0"/>
              <w:left w:val="single" w:color="auto" w:sz="4" w:space="0"/>
              <w:bottom w:val="nil"/>
              <w:right w:val="single" w:color="auto" w:sz="4" w:space="0"/>
            </w:tcBorders>
          </w:tcPr>
          <w:p w14:paraId="381CC752">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Calibration curve assessment</w:t>
            </w:r>
          </w:p>
        </w:tc>
        <w:tc>
          <w:tcPr>
            <w:tcW w:w="1136" w:type="dxa"/>
            <w:tcBorders>
              <w:top w:val="single" w:color="auto" w:sz="4" w:space="0"/>
              <w:left w:val="single" w:color="auto" w:sz="4" w:space="0"/>
              <w:bottom w:val="nil"/>
              <w:right w:val="single" w:color="auto" w:sz="4" w:space="0"/>
            </w:tcBorders>
          </w:tcPr>
          <w:p w14:paraId="43177153">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Train/test split (retrospective cohort)</w:t>
            </w:r>
          </w:p>
        </w:tc>
        <w:tc>
          <w:tcPr>
            <w:tcW w:w="955" w:type="dxa"/>
            <w:tcBorders>
              <w:top w:val="single" w:color="auto" w:sz="4" w:space="0"/>
              <w:left w:val="single" w:color="auto" w:sz="4" w:space="0"/>
              <w:bottom w:val="nil"/>
              <w:right w:val="single" w:color="auto" w:sz="4" w:space="0"/>
            </w:tcBorders>
          </w:tcPr>
          <w:p w14:paraId="75636380">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RF AUC = 0.83 (best)</w:t>
            </w:r>
          </w:p>
        </w:tc>
        <w:tc>
          <w:tcPr>
            <w:tcW w:w="1071" w:type="dxa"/>
            <w:tcBorders>
              <w:top w:val="single" w:color="auto" w:sz="4" w:space="0"/>
              <w:left w:val="single" w:color="auto" w:sz="4" w:space="0"/>
              <w:bottom w:val="nil"/>
              <w:right w:val="single" w:color="auto" w:sz="4" w:space="0"/>
            </w:tcBorders>
          </w:tcPr>
          <w:p w14:paraId="00ED2A5A">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None (internal only)</w:t>
            </w:r>
          </w:p>
        </w:tc>
        <w:tc>
          <w:tcPr>
            <w:tcW w:w="2465" w:type="dxa"/>
            <w:tcBorders>
              <w:top w:val="single" w:color="auto" w:sz="4" w:space="0"/>
              <w:left w:val="single" w:color="auto" w:sz="4" w:space="0"/>
              <w:bottom w:val="nil"/>
            </w:tcBorders>
          </w:tcPr>
          <w:p w14:paraId="257E741F">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Single-center retrospective; lacking external validation; generalizability unverified</w:t>
            </w:r>
          </w:p>
        </w:tc>
      </w:tr>
      <w:tr w14:paraId="2409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nil"/>
              <w:bottom w:val="nil"/>
              <w:right w:val="single" w:color="auto" w:sz="4" w:space="0"/>
            </w:tcBorders>
          </w:tcPr>
          <w:p w14:paraId="5E617A14">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Cui et al. (2025)</w:t>
            </w:r>
          </w:p>
        </w:tc>
        <w:tc>
          <w:tcPr>
            <w:tcW w:w="1796" w:type="dxa"/>
            <w:tcBorders>
              <w:top w:val="nil"/>
              <w:left w:val="single" w:color="auto" w:sz="4" w:space="0"/>
              <w:bottom w:val="nil"/>
              <w:right w:val="single" w:color="auto" w:sz="4" w:space="0"/>
            </w:tcBorders>
          </w:tcPr>
          <w:p w14:paraId="5C9537FE">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XGBoost (optimal)</w:t>
            </w:r>
          </w:p>
        </w:tc>
        <w:tc>
          <w:tcPr>
            <w:tcW w:w="1009" w:type="dxa"/>
            <w:tcBorders>
              <w:top w:val="nil"/>
              <w:left w:val="single" w:color="auto" w:sz="4" w:space="0"/>
              <w:bottom w:val="nil"/>
              <w:right w:val="single" w:color="auto" w:sz="4" w:space="0"/>
            </w:tcBorders>
          </w:tcPr>
          <w:p w14:paraId="6391E63C">
            <w:pPr>
              <w:spacing w:line="240" w:lineRule="auto"/>
              <w:jc w:val="center"/>
              <w:rPr>
                <w:rFonts w:cs="Arial"/>
                <w:snapToGrid w:val="0"/>
                <w:color w:val="000000"/>
                <w:szCs w:val="20"/>
                <w:lang w:eastAsia="zh-CN" w:bidi="en-US"/>
              </w:rPr>
            </w:pPr>
            <w:r>
              <w:rPr>
                <w:rFonts w:cs="Arial"/>
                <w:snapToGrid w:val="0"/>
                <w:color w:val="000000"/>
                <w:szCs w:val="20"/>
                <w:lang w:eastAsia="zh-CN" w:bidi="en-US"/>
              </w:rPr>
              <w:t>20 clinical + lab variables (SHAP explained)</w:t>
            </w:r>
          </w:p>
          <w:p w14:paraId="6F3A7944">
            <w:pPr>
              <w:widowControl w:val="0"/>
              <w:spacing w:line="240" w:lineRule="auto"/>
              <w:jc w:val="center"/>
              <w:rPr>
                <w:rFonts w:cs="Arial"/>
                <w:snapToGrid w:val="0"/>
                <w:color w:val="000000"/>
                <w:szCs w:val="20"/>
                <w:lang w:eastAsia="zh-CN" w:bidi="en-US"/>
              </w:rPr>
            </w:pPr>
          </w:p>
        </w:tc>
        <w:tc>
          <w:tcPr>
            <w:tcW w:w="1236" w:type="dxa"/>
            <w:tcBorders>
              <w:top w:val="nil"/>
              <w:left w:val="single" w:color="auto" w:sz="4" w:space="0"/>
              <w:bottom w:val="nil"/>
              <w:right w:val="single" w:color="auto" w:sz="4" w:space="0"/>
            </w:tcBorders>
          </w:tcPr>
          <w:p w14:paraId="314B0E01">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Calibration curve evaluation</w:t>
            </w:r>
          </w:p>
        </w:tc>
        <w:tc>
          <w:tcPr>
            <w:tcW w:w="1136" w:type="dxa"/>
            <w:tcBorders>
              <w:top w:val="nil"/>
              <w:left w:val="single" w:color="auto" w:sz="4" w:space="0"/>
              <w:bottom w:val="nil"/>
              <w:right w:val="single" w:color="auto" w:sz="4" w:space="0"/>
            </w:tcBorders>
          </w:tcPr>
          <w:p w14:paraId="27651036">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MIMIC-IV train/test split (internal)</w:t>
            </w:r>
          </w:p>
        </w:tc>
        <w:tc>
          <w:tcPr>
            <w:tcW w:w="955" w:type="dxa"/>
            <w:tcBorders>
              <w:top w:val="nil"/>
              <w:left w:val="single" w:color="auto" w:sz="4" w:space="0"/>
              <w:bottom w:val="nil"/>
              <w:right w:val="single" w:color="auto" w:sz="4" w:space="0"/>
            </w:tcBorders>
          </w:tcPr>
          <w:p w14:paraId="6B2BA4E8">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XGBoost AUC = 0.831</w:t>
            </w:r>
          </w:p>
        </w:tc>
        <w:tc>
          <w:tcPr>
            <w:tcW w:w="1071" w:type="dxa"/>
            <w:tcBorders>
              <w:top w:val="nil"/>
              <w:left w:val="single" w:color="auto" w:sz="4" w:space="0"/>
              <w:bottom w:val="nil"/>
              <w:right w:val="single" w:color="auto" w:sz="4" w:space="0"/>
            </w:tcBorders>
          </w:tcPr>
          <w:p w14:paraId="04624874">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No independent external set</w:t>
            </w:r>
          </w:p>
        </w:tc>
        <w:tc>
          <w:tcPr>
            <w:tcW w:w="2465" w:type="dxa"/>
            <w:tcBorders>
              <w:top w:val="nil"/>
              <w:left w:val="single" w:color="auto" w:sz="4" w:space="0"/>
              <w:bottom w:val="nil"/>
            </w:tcBorders>
          </w:tcPr>
          <w:p w14:paraId="49823A78">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Single-database; VAP-specific limits generalization; no true external validation</w:t>
            </w:r>
          </w:p>
        </w:tc>
      </w:tr>
      <w:tr w14:paraId="3CEE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Borders>
              <w:top w:val="nil"/>
              <w:right w:val="single" w:color="auto" w:sz="4" w:space="0"/>
            </w:tcBorders>
          </w:tcPr>
          <w:p w14:paraId="2BE93486">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This Study (2026)</w:t>
            </w:r>
          </w:p>
        </w:tc>
        <w:tc>
          <w:tcPr>
            <w:tcW w:w="1796" w:type="dxa"/>
            <w:tcBorders>
              <w:top w:val="nil"/>
              <w:left w:val="single" w:color="auto" w:sz="4" w:space="0"/>
              <w:right w:val="single" w:color="auto" w:sz="4" w:space="0"/>
            </w:tcBorders>
          </w:tcPr>
          <w:p w14:paraId="2C90B72C">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Multi-model comparison (LR/RF/XGB/LightGBM; LR optimal)</w:t>
            </w:r>
          </w:p>
        </w:tc>
        <w:tc>
          <w:tcPr>
            <w:tcW w:w="1009" w:type="dxa"/>
            <w:tcBorders>
              <w:top w:val="nil"/>
              <w:left w:val="single" w:color="auto" w:sz="4" w:space="0"/>
              <w:right w:val="single" w:color="auto" w:sz="4" w:space="0"/>
            </w:tcBorders>
          </w:tcPr>
          <w:p w14:paraId="46CFD931">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Lasso + Chi-square dual screening + collinearity handling (final n=20)</w:t>
            </w:r>
          </w:p>
        </w:tc>
        <w:tc>
          <w:tcPr>
            <w:tcW w:w="1236" w:type="dxa"/>
            <w:tcBorders>
              <w:top w:val="nil"/>
              <w:left w:val="single" w:color="auto" w:sz="4" w:space="0"/>
              <w:right w:val="single" w:color="auto" w:sz="4" w:space="0"/>
            </w:tcBorders>
          </w:tcPr>
          <w:p w14:paraId="2ECC0E35">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Discrimination-preserving improved isotonic calibration</w:t>
            </w:r>
          </w:p>
        </w:tc>
        <w:tc>
          <w:tcPr>
            <w:tcW w:w="1136" w:type="dxa"/>
            <w:tcBorders>
              <w:top w:val="nil"/>
              <w:left w:val="single" w:color="auto" w:sz="4" w:space="0"/>
              <w:right w:val="single" w:color="auto" w:sz="4" w:space="0"/>
            </w:tcBorders>
          </w:tcPr>
          <w:p w14:paraId="6549E630">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Internal stratified sampling + independent external validation (hosp_data)</w:t>
            </w:r>
          </w:p>
        </w:tc>
        <w:tc>
          <w:tcPr>
            <w:tcW w:w="955" w:type="dxa"/>
            <w:tcBorders>
              <w:top w:val="nil"/>
              <w:left w:val="single" w:color="auto" w:sz="4" w:space="0"/>
              <w:right w:val="single" w:color="auto" w:sz="4" w:space="0"/>
            </w:tcBorders>
          </w:tcPr>
          <w:p w14:paraId="5F109E98">
            <w:pPr>
              <w:widowControl w:val="0"/>
              <w:spacing w:line="240" w:lineRule="auto"/>
              <w:jc w:val="center"/>
              <w:rPr>
                <w:rFonts w:hint="default" w:cs="Arial"/>
                <w:snapToGrid w:val="0"/>
                <w:color w:val="000000"/>
                <w:szCs w:val="20"/>
                <w:lang w:val="en-US" w:eastAsia="zh-CN" w:bidi="en-US"/>
              </w:rPr>
            </w:pPr>
            <w:r>
              <w:rPr>
                <w:rFonts w:cs="Arial"/>
                <w:snapToGrid w:val="0"/>
                <w:color w:val="000000"/>
                <w:szCs w:val="20"/>
                <w:lang w:eastAsia="zh-CN" w:bidi="en-US"/>
              </w:rPr>
              <w:t>LR 0.798 (optimal); RF 0.771; XGB 0.742</w:t>
            </w:r>
            <w:r>
              <w:rPr>
                <w:rFonts w:hint="eastAsia" w:cs="Arial"/>
                <w:snapToGrid w:val="0"/>
                <w:color w:val="000000"/>
                <w:szCs w:val="20"/>
                <w:lang w:val="en-US" w:eastAsia="zh-CN" w:bidi="en-US"/>
              </w:rPr>
              <w:t>,LGBM 0.715</w:t>
            </w:r>
          </w:p>
        </w:tc>
        <w:tc>
          <w:tcPr>
            <w:tcW w:w="1071" w:type="dxa"/>
            <w:tcBorders>
              <w:top w:val="nil"/>
              <w:left w:val="single" w:color="auto" w:sz="4" w:space="0"/>
              <w:right w:val="single" w:color="auto" w:sz="4" w:space="0"/>
            </w:tcBorders>
          </w:tcPr>
          <w:p w14:paraId="1BA12149">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 xml:space="preserve">LR </w:t>
            </w:r>
            <w:r>
              <w:rPr>
                <w:rFonts w:hint="eastAsia" w:cs="Arial"/>
                <w:snapToGrid w:val="0"/>
                <w:color w:val="000000"/>
                <w:szCs w:val="20"/>
                <w:lang w:eastAsia="zh-CN" w:bidi="en-US"/>
              </w:rPr>
              <w:t>0.845</w:t>
            </w:r>
            <w:r>
              <w:rPr>
                <w:rFonts w:cs="Arial"/>
                <w:snapToGrid w:val="0"/>
                <w:color w:val="000000"/>
                <w:szCs w:val="20"/>
                <w:lang w:eastAsia="zh-CN" w:bidi="en-US"/>
              </w:rPr>
              <w:t xml:space="preserve"> (optimal)</w:t>
            </w:r>
          </w:p>
        </w:tc>
        <w:tc>
          <w:tcPr>
            <w:tcW w:w="2465" w:type="dxa"/>
            <w:tcBorders>
              <w:top w:val="nil"/>
              <w:left w:val="single" w:color="auto" w:sz="4" w:space="0"/>
            </w:tcBorders>
          </w:tcPr>
          <w:p w14:paraId="0F86AEDC">
            <w:pPr>
              <w:widowControl w:val="0"/>
              <w:spacing w:line="240" w:lineRule="auto"/>
              <w:jc w:val="center"/>
              <w:rPr>
                <w:rFonts w:cs="Arial"/>
                <w:snapToGrid w:val="0"/>
                <w:color w:val="000000"/>
                <w:szCs w:val="20"/>
                <w:lang w:eastAsia="zh-CN" w:bidi="en-US"/>
              </w:rPr>
            </w:pPr>
            <w:r>
              <w:rPr>
                <w:rFonts w:cs="Arial"/>
                <w:snapToGrid w:val="0"/>
                <w:color w:val="000000"/>
                <w:szCs w:val="20"/>
                <w:lang w:eastAsia="zh-CN" w:bidi="en-US"/>
              </w:rPr>
              <w:t>Sample size to be expanded; multi-center validation needed</w:t>
            </w:r>
          </w:p>
        </w:tc>
      </w:tr>
    </w:tbl>
    <w:p w14:paraId="632F7F84">
      <w:pPr>
        <w:rPr>
          <w:rFonts w:hint="eastAsia" w:cs="Arial"/>
          <w:color w:val="000000"/>
          <w:szCs w:val="20"/>
          <w:lang w:eastAsia="zh-CN"/>
        </w:rPr>
      </w:pPr>
      <w:r>
        <w:rPr>
          <w:rFonts w:hint="eastAsia" w:cs="Arial"/>
          <w:b/>
          <w:bCs/>
          <w:color w:val="000000"/>
        </w:rPr>
        <w:t xml:space="preserve">Abbreviations: </w:t>
      </w:r>
      <w:r>
        <w:rPr>
          <w:rFonts w:hint="eastAsia" w:cs="Arial"/>
          <w:color w:val="000000"/>
          <w:szCs w:val="20"/>
          <w:lang w:eastAsia="zh-CN"/>
        </w:rPr>
        <w:t>AUROC, area under the receiver operating characteristic curve; Lasso, least absolute shrinkage and selection operator; LightGBM, light gradient boosting machine; LR, logistic regression; MDR, multidrug resistance; MIMIC-IV, Medical Information Mart for Intensive Care IV; NN, neural network; RF, random forest; SHAP, Shapley additive explanations; SVM, support vector machine; VAP, ventilator-associated pneumonia; XGBoost, extreme gradient boosting.</w:t>
      </w:r>
    </w:p>
    <w:p w14:paraId="176F1DD5">
      <w:pPr>
        <w:rPr>
          <w:rFonts w:hint="eastAsia" w:cs="Arial"/>
          <w:color w:val="000000"/>
          <w:szCs w:val="20"/>
          <w:lang w:eastAsia="zh-CN"/>
        </w:rPr>
      </w:pPr>
    </w:p>
    <w:p w14:paraId="3FBBE83E">
      <w:pPr>
        <w:widowControl w:val="0"/>
        <w:numPr>
          <w:ilvl w:val="0"/>
          <w:numId w:val="0"/>
        </w:numPr>
        <w:jc w:val="both"/>
        <w:rPr>
          <w:rFonts w:cs="Arial"/>
          <w:color w:val="000000"/>
          <w:lang w:eastAsia="zh-CN"/>
        </w:rPr>
      </w:pPr>
      <w:r>
        <w:rPr>
          <w:rFonts w:cs="Arial"/>
          <w:color w:val="000000"/>
          <w:lang w:eastAsia="zh-CN"/>
        </w:rPr>
        <w:drawing>
          <wp:inline distT="0" distB="0" distL="114300" distR="114300">
            <wp:extent cx="5268595" cy="2390140"/>
            <wp:effectExtent l="0" t="0" r="1905" b="10160"/>
            <wp:docPr id="1" name="图片 1"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ure 1"/>
                    <pic:cNvPicPr>
                      <a:picLocks noChangeAspect="1"/>
                    </pic:cNvPicPr>
                  </pic:nvPicPr>
                  <pic:blipFill>
                    <a:blip r:embed="rId6"/>
                    <a:stretch>
                      <a:fillRect/>
                    </a:stretch>
                  </pic:blipFill>
                  <pic:spPr>
                    <a:xfrm>
                      <a:off x="0" y="0"/>
                      <a:ext cx="5268595" cy="2390140"/>
                    </a:xfrm>
                    <a:prstGeom prst="rect">
                      <a:avLst/>
                    </a:prstGeom>
                  </pic:spPr>
                </pic:pic>
              </a:graphicData>
            </a:graphic>
          </wp:inline>
        </w:drawing>
      </w:r>
    </w:p>
    <w:p w14:paraId="7B18D638">
      <w:pPr>
        <w:widowControl w:val="0"/>
        <w:jc w:val="both"/>
        <w:rPr>
          <w:rFonts w:cs="Arial"/>
          <w:color w:val="000000"/>
          <w:lang w:eastAsia="zh-CN"/>
        </w:rPr>
      </w:pPr>
      <w:r>
        <w:rPr>
          <w:rFonts w:hint="eastAsia" w:cs="Arial"/>
          <w:b/>
          <w:bCs/>
          <w:color w:val="000000"/>
          <w:lang w:eastAsia="zh-CN"/>
        </w:rPr>
        <w:t>Supplementary Figure 1</w:t>
      </w:r>
      <w:r>
        <w:rPr>
          <w:rFonts w:hint="eastAsia" w:cs="Arial"/>
          <w:b/>
          <w:bCs/>
          <w:color w:val="000000"/>
          <w:lang w:val="en-US" w:eastAsia="zh-CN"/>
        </w:rPr>
        <w:t xml:space="preserve"> </w:t>
      </w:r>
      <w:r>
        <w:rPr>
          <w:rFonts w:cs="Arial"/>
          <w:color w:val="000000"/>
          <w:lang w:eastAsia="zh-CN"/>
        </w:rPr>
        <w:t>Distribution comparison of the screened candidate predictors between the MDRO group and non-MDRO group</w:t>
      </w:r>
      <w:r>
        <w:rPr>
          <w:rFonts w:hint="eastAsia" w:cs="Arial"/>
          <w:color w:val="000000"/>
          <w:lang w:eastAsia="zh-CN"/>
        </w:rPr>
        <w:t>.</w:t>
      </w:r>
    </w:p>
    <w:p w14:paraId="6A3285CA">
      <w:pPr>
        <w:widowControl w:val="0"/>
        <w:numPr>
          <w:ilvl w:val="0"/>
          <w:numId w:val="1"/>
        </w:numPr>
        <w:jc w:val="both"/>
        <w:rPr>
          <w:rFonts w:cs="Arial"/>
          <w:color w:val="000000"/>
          <w:lang w:eastAsia="zh-CN"/>
        </w:rPr>
      </w:pPr>
      <w:r>
        <w:rPr>
          <w:rFonts w:cs="Arial"/>
          <w:color w:val="000000"/>
          <w:lang w:eastAsia="zh-CN"/>
        </w:rPr>
        <w:t>Box</w:t>
      </w:r>
      <w:r>
        <w:rPr>
          <w:rFonts w:hint="eastAsia" w:cs="Arial"/>
          <w:color w:val="000000"/>
          <w:lang w:eastAsia="zh-CN"/>
        </w:rPr>
        <w:t xml:space="preserve"> </w:t>
      </w:r>
      <w:r>
        <w:rPr>
          <w:rFonts w:cs="Arial"/>
          <w:color w:val="000000"/>
          <w:lang w:eastAsia="zh-CN"/>
        </w:rPr>
        <w:t>plot</w:t>
      </w:r>
      <w:r>
        <w:rPr>
          <w:rFonts w:hint="eastAsia" w:cs="Arial"/>
          <w:color w:val="000000"/>
          <w:lang w:eastAsia="zh-CN"/>
        </w:rPr>
        <w:t>s</w:t>
      </w:r>
      <w:r>
        <w:rPr>
          <w:rFonts w:cs="Arial"/>
          <w:color w:val="000000"/>
          <w:lang w:eastAsia="zh-CN"/>
        </w:rPr>
        <w:t xml:space="preserve"> of continuous candidate predictors. The red solid line in each box indicates the median value of the variable, and the blue and orange dashed lines represent the overall mean level of the non-MDRO group and MDRO group, respectively. </w:t>
      </w:r>
      <w:r>
        <w:rPr>
          <w:rFonts w:hint="eastAsia" w:cs="Arial"/>
          <w:color w:val="000000"/>
          <w:lang w:eastAsia="zh-CN"/>
        </w:rPr>
        <w:t>(</w:t>
      </w:r>
      <w:r>
        <w:rPr>
          <w:rFonts w:cs="Arial"/>
          <w:b/>
          <w:bCs/>
          <w:color w:val="000000"/>
          <w:lang w:eastAsia="zh-CN"/>
        </w:rPr>
        <w:t>B</w:t>
      </w:r>
      <w:r>
        <w:rPr>
          <w:rFonts w:hint="eastAsia" w:cs="Arial"/>
          <w:color w:val="000000"/>
          <w:lang w:eastAsia="zh-CN"/>
        </w:rPr>
        <w:t>)</w:t>
      </w:r>
      <w:r>
        <w:rPr>
          <w:rFonts w:cs="Arial"/>
          <w:color w:val="000000"/>
          <w:lang w:eastAsia="zh-CN"/>
        </w:rPr>
        <w:t xml:space="preserve"> Stacked bar plots of binary categorical predictors, showing the distribution proportion of cerebral infarction and chronic obstructive pulmonary disease (COPD) in the non-MDRO group (left) and MDRO group (right). Gray bars represent the negative category of the variable, and orange bars represent the positive category.</w:t>
      </w:r>
    </w:p>
    <w:p w14:paraId="2234B99C">
      <w:pPr>
        <w:widowControl w:val="0"/>
        <w:numPr>
          <w:ilvl w:val="0"/>
          <w:numId w:val="0"/>
        </w:numPr>
        <w:jc w:val="both"/>
        <w:rPr>
          <w:rFonts w:cs="Arial"/>
          <w:color w:val="000000"/>
          <w:lang w:eastAsia="zh-CN"/>
        </w:rPr>
      </w:pPr>
      <w:bookmarkStart w:id="0" w:name="_GoBack"/>
      <w:bookmarkEnd w:id="0"/>
    </w:p>
    <w:p w14:paraId="4A71C1EB">
      <w:pPr>
        <w:rPr>
          <w:rFonts w:hint="eastAsia" w:cs="Arial"/>
          <w:color w:val="000000"/>
          <w:szCs w:val="20"/>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5D336"/>
    <w:multiLevelType w:val="singleLevel"/>
    <w:tmpl w:val="7195D33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E6F99"/>
    <w:rsid w:val="001B76D2"/>
    <w:rsid w:val="016714F3"/>
    <w:rsid w:val="019B29A8"/>
    <w:rsid w:val="01B11349"/>
    <w:rsid w:val="038266AD"/>
    <w:rsid w:val="042E6F99"/>
    <w:rsid w:val="04A36FD9"/>
    <w:rsid w:val="05946A62"/>
    <w:rsid w:val="05EE70C5"/>
    <w:rsid w:val="070B5416"/>
    <w:rsid w:val="07EA41D2"/>
    <w:rsid w:val="083203BF"/>
    <w:rsid w:val="0AE670EE"/>
    <w:rsid w:val="0B0F0333"/>
    <w:rsid w:val="0BBB4C7D"/>
    <w:rsid w:val="0BBF4B92"/>
    <w:rsid w:val="0CB532F2"/>
    <w:rsid w:val="0CC644D2"/>
    <w:rsid w:val="0DB66BF7"/>
    <w:rsid w:val="0E8F5944"/>
    <w:rsid w:val="0F5E12B1"/>
    <w:rsid w:val="10663314"/>
    <w:rsid w:val="10B7316B"/>
    <w:rsid w:val="13385972"/>
    <w:rsid w:val="13CA7323"/>
    <w:rsid w:val="149463AE"/>
    <w:rsid w:val="14EF5DFE"/>
    <w:rsid w:val="1658772A"/>
    <w:rsid w:val="17026B0D"/>
    <w:rsid w:val="176A4C21"/>
    <w:rsid w:val="17AE297E"/>
    <w:rsid w:val="17CF5412"/>
    <w:rsid w:val="185A5D57"/>
    <w:rsid w:val="185C7C52"/>
    <w:rsid w:val="1BB82E9E"/>
    <w:rsid w:val="1CD653E0"/>
    <w:rsid w:val="1D137AAD"/>
    <w:rsid w:val="1D1E0B40"/>
    <w:rsid w:val="1D6008C9"/>
    <w:rsid w:val="1F6B67DA"/>
    <w:rsid w:val="1FB10449"/>
    <w:rsid w:val="1FB5532D"/>
    <w:rsid w:val="215879DE"/>
    <w:rsid w:val="225C4A3E"/>
    <w:rsid w:val="250C42A3"/>
    <w:rsid w:val="255A61D6"/>
    <w:rsid w:val="262855ED"/>
    <w:rsid w:val="271208F0"/>
    <w:rsid w:val="273F7B9F"/>
    <w:rsid w:val="287D5E44"/>
    <w:rsid w:val="28875911"/>
    <w:rsid w:val="28A73C50"/>
    <w:rsid w:val="293633B6"/>
    <w:rsid w:val="295526AA"/>
    <w:rsid w:val="29903F08"/>
    <w:rsid w:val="29A944F1"/>
    <w:rsid w:val="2A340A22"/>
    <w:rsid w:val="2A7E08A2"/>
    <w:rsid w:val="2B4B6E5A"/>
    <w:rsid w:val="2CC26958"/>
    <w:rsid w:val="2CEC6BA3"/>
    <w:rsid w:val="2D0042F8"/>
    <w:rsid w:val="2D0279D7"/>
    <w:rsid w:val="2D662499"/>
    <w:rsid w:val="2DCD1C5B"/>
    <w:rsid w:val="2DEB1CC0"/>
    <w:rsid w:val="2E7236BD"/>
    <w:rsid w:val="2E960DD5"/>
    <w:rsid w:val="2F7B436C"/>
    <w:rsid w:val="2FA64869"/>
    <w:rsid w:val="2FBC0F95"/>
    <w:rsid w:val="309D466A"/>
    <w:rsid w:val="30DA3A46"/>
    <w:rsid w:val="316F3770"/>
    <w:rsid w:val="320302C0"/>
    <w:rsid w:val="32C36630"/>
    <w:rsid w:val="3412385F"/>
    <w:rsid w:val="349047A6"/>
    <w:rsid w:val="352D24C8"/>
    <w:rsid w:val="36A3551D"/>
    <w:rsid w:val="36B56E5B"/>
    <w:rsid w:val="399D0B61"/>
    <w:rsid w:val="39C64EA1"/>
    <w:rsid w:val="3A20126B"/>
    <w:rsid w:val="3AEA6898"/>
    <w:rsid w:val="3BF3711E"/>
    <w:rsid w:val="3C7A402A"/>
    <w:rsid w:val="3CD44042"/>
    <w:rsid w:val="3DB13C94"/>
    <w:rsid w:val="3DE43B39"/>
    <w:rsid w:val="3F9D61BA"/>
    <w:rsid w:val="3FAC65C8"/>
    <w:rsid w:val="3FC5150B"/>
    <w:rsid w:val="40C621F7"/>
    <w:rsid w:val="41944473"/>
    <w:rsid w:val="41E75CE7"/>
    <w:rsid w:val="42036270"/>
    <w:rsid w:val="42451713"/>
    <w:rsid w:val="42850425"/>
    <w:rsid w:val="43692C95"/>
    <w:rsid w:val="442B7238"/>
    <w:rsid w:val="45B20B92"/>
    <w:rsid w:val="48185404"/>
    <w:rsid w:val="48D2687E"/>
    <w:rsid w:val="48FC6273"/>
    <w:rsid w:val="4A1D3ECB"/>
    <w:rsid w:val="4A260602"/>
    <w:rsid w:val="4AA654D8"/>
    <w:rsid w:val="4BAC168E"/>
    <w:rsid w:val="4BC42C93"/>
    <w:rsid w:val="4BE4564C"/>
    <w:rsid w:val="4C8F26DE"/>
    <w:rsid w:val="4CA40DD3"/>
    <w:rsid w:val="4D665699"/>
    <w:rsid w:val="4E3D3D55"/>
    <w:rsid w:val="4EA8678F"/>
    <w:rsid w:val="4F115435"/>
    <w:rsid w:val="51271E1F"/>
    <w:rsid w:val="51B25B03"/>
    <w:rsid w:val="53E254D8"/>
    <w:rsid w:val="55287E2E"/>
    <w:rsid w:val="55AE2B78"/>
    <w:rsid w:val="55BF1205"/>
    <w:rsid w:val="5607252A"/>
    <w:rsid w:val="560E2E1E"/>
    <w:rsid w:val="56E72C2C"/>
    <w:rsid w:val="573B04E8"/>
    <w:rsid w:val="5851368E"/>
    <w:rsid w:val="585D0AA7"/>
    <w:rsid w:val="589706C7"/>
    <w:rsid w:val="58A957B0"/>
    <w:rsid w:val="593D22A8"/>
    <w:rsid w:val="594D3CEB"/>
    <w:rsid w:val="5A120B77"/>
    <w:rsid w:val="5A367A66"/>
    <w:rsid w:val="5A840B9E"/>
    <w:rsid w:val="5B5B3087"/>
    <w:rsid w:val="5B625A57"/>
    <w:rsid w:val="5BA02655"/>
    <w:rsid w:val="5BB37243"/>
    <w:rsid w:val="5C8C212C"/>
    <w:rsid w:val="5D1D0765"/>
    <w:rsid w:val="5E2E05F2"/>
    <w:rsid w:val="5E42301C"/>
    <w:rsid w:val="5EE03E33"/>
    <w:rsid w:val="60160C9B"/>
    <w:rsid w:val="61AC19A4"/>
    <w:rsid w:val="646E1E4F"/>
    <w:rsid w:val="646F3172"/>
    <w:rsid w:val="659A32E1"/>
    <w:rsid w:val="65CE62E0"/>
    <w:rsid w:val="66113266"/>
    <w:rsid w:val="664D687F"/>
    <w:rsid w:val="6779728D"/>
    <w:rsid w:val="682B7BFF"/>
    <w:rsid w:val="683B7661"/>
    <w:rsid w:val="68FA053F"/>
    <w:rsid w:val="692832E3"/>
    <w:rsid w:val="69655663"/>
    <w:rsid w:val="6CBC7BA6"/>
    <w:rsid w:val="6F6C6492"/>
    <w:rsid w:val="71E14940"/>
    <w:rsid w:val="722D084E"/>
    <w:rsid w:val="72372E81"/>
    <w:rsid w:val="726C70D9"/>
    <w:rsid w:val="730368FC"/>
    <w:rsid w:val="74DD3120"/>
    <w:rsid w:val="75BA439E"/>
    <w:rsid w:val="75BA5464"/>
    <w:rsid w:val="7753160C"/>
    <w:rsid w:val="782805F3"/>
    <w:rsid w:val="789F38CE"/>
    <w:rsid w:val="78C94CAF"/>
    <w:rsid w:val="78D40276"/>
    <w:rsid w:val="796721C8"/>
    <w:rsid w:val="7A5A23F8"/>
    <w:rsid w:val="7B7A5E39"/>
    <w:rsid w:val="7B7F7F69"/>
    <w:rsid w:val="7BEE05C3"/>
    <w:rsid w:val="7BFB3E76"/>
    <w:rsid w:val="7C79389E"/>
    <w:rsid w:val="7CB13B6C"/>
    <w:rsid w:val="7D6116DC"/>
    <w:rsid w:val="7D83228B"/>
    <w:rsid w:val="7D8F3265"/>
    <w:rsid w:val="7E0C779A"/>
    <w:rsid w:val="7F0F6C8E"/>
    <w:rsid w:val="7F324FF3"/>
    <w:rsid w:val="7F6F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Times New Roman" w:cs="Times New Roman"/>
      <w:szCs w:val="24"/>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rPr>
      <w:szCs w:val="20"/>
    </w:rPr>
  </w:style>
  <w:style w:type="table" w:styleId="4">
    <w:name w:val="Table Grid"/>
    <w:basedOn w:val="3"/>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annotation reference"/>
    <w:semiHidden/>
    <w:qFormat/>
    <w:uiPriority w:val="0"/>
    <w:rPr>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316</Words>
  <Characters>2073</Characters>
  <Lines>0</Lines>
  <Paragraphs>0</Paragraphs>
  <TotalTime>0</TotalTime>
  <ScaleCrop>false</ScaleCrop>
  <LinksUpToDate>false</LinksUpToDate>
  <CharactersWithSpaces>2353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2026-03-10T06:08:00Z</dcterms:created>
  <dc:creator>空城旧忆</dc:creator>
  <cp:lastModifiedBy>Yuejiao</cp:lastModifiedBy>
  <dcterms:modified xsi:type="dcterms:W3CDTF">2026-03-10T07:38:02Z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4A591A10D546424890761A0C649E3EF3_11</vt:lpwstr>
  </property>
  <property fmtid="{D5CDD505-2E9C-101B-9397-08002B2CF9AE}" pid="4" name="KSOTemplateDocerSaveRecord">
    <vt:lpwstr>eyJoZGlkIjoiZGI2ZmRlYzUwMTk0NzE3ZGRmNzY1Y2E0OTRmMGQ3MDciLCJ1c2VySWQiOiIyODIxOTkyOTIifQ==</vt:lpwstr>
  </property>
</Properties>
</file>