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6B47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SUPPLEMENTARY MATERIAL - SEARCH CRITERIA AND SYNTHESIS : </w:t>
      </w:r>
    </w:p>
    <w:p w14:paraId="31EDCCBF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For this narrative review, a systematic and multi-stage search strategy was developed to identify relevant literature. The search was conducted across three primary electronic databases: PubMed, Embase, and the Cochrane Library (Cochrane Database of Systematic Reviews).</w:t>
      </w:r>
    </w:p>
    <w:p w14:paraId="7F433517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The strategy was executed in two main phases: an initial broad search to capture foundational concepts and landmark studies, followed by a series of targeted searches focused on specific thematic areas of the review.</w:t>
      </w:r>
    </w:p>
    <w:p w14:paraId="7BFD7819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Phase 1: Broad Foundational Search</w:t>
      </w:r>
    </w:p>
    <w:p w14:paraId="451F977C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An initial comprehensive search was performed to identify all fundamental literature concerning fluid resuscitation, septic shock, and endothelial dysfunction. The search was conducted from database inception until October 2025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and was restricted to English-language publications. The primary search string, adapted for each database, combined MeSH terms (or equivalent, e.g., Emtree in Embase) with free-text keywords.</w:t>
      </w:r>
    </w:p>
    <w:p w14:paraId="6B6CA1A0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The general PubMed search equation was:</w:t>
      </w:r>
    </w:p>
    <w:p w14:paraId="1D505B95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 "Shock, Septic"[Mesh] OR "Sepsis"[Mesh] OR "septic shock" OR "sepsis" )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AND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 "Fluid Therapy"[Mesh] OR "Resuscitation"[Mesh] OR "fluid resuscitation" OR "fluid management" OR "intravenous fluids" )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AND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 "Endothelium, Vascular"[Mesh] OR "Capillary Permeability"[Mesh] OR "Endothelial Glycocalyx"[Mesh] OR "endothelial dysfunction" OR "capillary leak" OR "vascular permeability" OR "endotheliopathy" )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(n =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4353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p w14:paraId="70C96292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Phase 2: Focused Thematic Searches</w:t>
      </w:r>
    </w:p>
    <w:p w14:paraId="4B006E65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Drawing from the results of the initial search and the specific focus of this review, we identified key concepts that each represent a distinct area of investigation. For each of these concepts, a secondary, more focused search was conducted. This search primarily covered the period from January 2014 to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October 2025.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This timeframe was deliberately chosen to capture the most recent evidence following the publication of the landmark ProCESS, ARISE, and ProMISe trials, which marked a significant paradigm shift in sepsis management. This phase prioritized the retrieval of systematic reviews, meta-analyses, major randomized controlled trials, and international society guidelines to synthesize high-level evidence.</w:t>
      </w:r>
    </w:p>
    <w:p w14:paraId="53221AD4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The key concepts were grouped into three domains, and each was combined with the terms "sepsis" or "septic shock":</w:t>
      </w:r>
    </w:p>
    <w:p w14:paraId="634F5FA5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Endothelial Pathophysiology and Biomarkers:</w:t>
      </w:r>
    </w:p>
    <w:p w14:paraId="5008DCAB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Keywords: Endothelial glycocalyx, glycocalyx shedding, syndecan-1, heparan sulfate, cytokine storm, inflammation, endothelial apoptosis, oxidative stress,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reactive oxygen species, nitric oxide, iNOS, angiopoietin-2.</w:t>
      </w:r>
    </w:p>
    <w:p w14:paraId="4B1D6E7A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Pharmacology of Resuscitation Fluids and Major Clinical Trials:</w:t>
      </w:r>
    </w:p>
    <w:p w14:paraId="4391CBCB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Keywords: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Crystalloids, colloids, balanced crystalloids, saline, hyperchloremia, albumin, hydroxyethyl starch, HES, SMART trial, ALBIOS trial, CRISTAL trial, 6S trial, BEST-Living trial, ALPS trial.</w:t>
      </w:r>
    </w:p>
    <w:p w14:paraId="6E5D220D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Clinical Management Strategies and Monitoring: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01EBFD4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Keywords: Fluid responsiveness, dynamic assessment, passive leg raise, stroke volume variation, conservative fluid strategy, de-escalation, deresuscitation, point-of-care ultrasound, POCUS, capillary refill time, ANDROMEDA-SHOCK.</w:t>
      </w:r>
    </w:p>
    <w:p w14:paraId="649EAAA2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00DFFD">
      <w:pPr>
        <w:pStyle w:val="2"/>
        <w:keepNext w:val="0"/>
        <w:keepLines w:val="0"/>
        <w:widowControl/>
        <w:suppressLineNumbers w:val="0"/>
        <w:spacing w:before="100" w:after="100" w:line="36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Finally, the reference lists of all retrieved cornerstone articles, reviews, and guidelines were manually screened to identify any additional relevant publications not captured by the electronic searches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071D"/>
    <w:rsid w:val="17C277CE"/>
    <w:rsid w:val="33D23ADD"/>
    <w:rsid w:val="35E054DE"/>
    <w:rsid w:val="36794FEB"/>
    <w:rsid w:val="414C6CA9"/>
    <w:rsid w:val="477E4B57"/>
    <w:rsid w:val="47C651E6"/>
    <w:rsid w:val="74E22D7C"/>
    <w:rsid w:val="76C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2025-11-01T13:54:00Z</dcterms:created>
  <dc:creator>ASUS</dc:creator>
  <cp:lastModifiedBy>永恒V守护</cp:lastModifiedBy>
  <dcterms:modified xsi:type="dcterms:W3CDTF">2025-12-01T15:06:46Z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eyJoZGlkIjoiODgzN2IxMjQ3N2MzM2IxMTg5YjNjNzZhMGYxYmVhMGYiLCJ1c2VySWQiOiIyODgwMTAxNjYifQ==</vt:lpwstr>
  </property>
  <property fmtid="{D5CDD505-2E9C-101B-9397-08002B2CF9AE}" pid="4" name="ICV">
    <vt:lpwstr>29A766AA21B346CBA972D0CBEFB7A7F5_12</vt:lpwstr>
  </property>
</Properties>
</file>