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ACB33A" w14:textId="77777777" w:rsidR="00BA1E38" w:rsidRDefault="00000000">
      <w:pPr>
        <w:spacing w:line="480" w:lineRule="auto"/>
        <w:rPr>
          <w:rFonts w:ascii="Arial" w:eastAsia="Arial Unicode MS" w:hAnsi="Arial" w:cs="Arial"/>
          <w:b/>
          <w:bCs/>
          <w:sz w:val="20"/>
          <w:szCs w:val="20"/>
          <w:lang w:bidi="ar"/>
        </w:rPr>
      </w:pPr>
      <w:r>
        <w:rPr>
          <w:rFonts w:ascii="Arial" w:eastAsia="Arial Unicode MS" w:hAnsi="Arial" w:cs="Arial"/>
          <w:b/>
          <w:bCs/>
          <w:sz w:val="20"/>
          <w:szCs w:val="20"/>
          <w:lang w:bidi="ar"/>
        </w:rPr>
        <w:t>Supplementary Methods</w:t>
      </w:r>
    </w:p>
    <w:p w14:paraId="3764A59E" w14:textId="77777777" w:rsidR="00BA1E38" w:rsidRDefault="00000000">
      <w:pPr>
        <w:spacing w:line="480" w:lineRule="auto"/>
        <w:rPr>
          <w:rFonts w:ascii="Arial" w:eastAsia="Arial Unicode MS" w:hAnsi="Arial" w:cs="Arial"/>
          <w:sz w:val="20"/>
          <w:szCs w:val="20"/>
        </w:rPr>
      </w:pPr>
      <w:r>
        <w:rPr>
          <w:rFonts w:ascii="Arial" w:eastAsia="Arial Unicode MS" w:hAnsi="Arial" w:cs="Arial" w:hint="eastAsia"/>
          <w:b/>
          <w:bCs/>
          <w:sz w:val="20"/>
          <w:szCs w:val="20"/>
          <w:lang w:bidi="ar"/>
        </w:rPr>
        <w:t>Targeted Quantitative Analysis of Tryptophan Pathway Metabolites</w:t>
      </w:r>
    </w:p>
    <w:p w14:paraId="2B326775" w14:textId="77777777" w:rsidR="00BA1E38" w:rsidRDefault="00000000">
      <w:pPr>
        <w:spacing w:line="480" w:lineRule="auto"/>
        <w:rPr>
          <w:rFonts w:ascii="Arial" w:eastAsia="Arial Unicode MS" w:hAnsi="Arial" w:cs="Arial"/>
          <w:sz w:val="20"/>
          <w:szCs w:val="20"/>
          <w:lang w:bidi="ar"/>
        </w:rPr>
      </w:pPr>
      <w:r>
        <w:rPr>
          <w:rFonts w:ascii="Arial" w:eastAsia="Arial Unicode MS" w:hAnsi="Arial" w:cs="Arial"/>
          <w:sz w:val="20"/>
          <w:szCs w:val="20"/>
          <w:lang w:bidi="ar"/>
        </w:rPr>
        <w:t xml:space="preserve">Metabolites were quantitatively analyzed using ultra-performance liquid chromatography-tandem mass spectrometry (UPLC-MS/MS). Following methanol extraction and centrifugation, the supernatant was collected for analysis. Chromatographic separation was performed on a Waters ACQUITY UPLC HSS T3 C18 column (1.8 μm,100 mm × 2.1 mm) with mobile phases of 0.1% formic acid in water (A) and 0.1% formic acid in acetonitrile (B) using gradient elution. The flow rate was 0.35 mL/min at 40°C. Mass spectrometric detection employed an electrospray ionization (ESI) source in both positive and negative ion modes, with ion pairs detected based on optimized </w:t>
      </w:r>
      <w:proofErr w:type="spellStart"/>
      <w:r>
        <w:rPr>
          <w:rFonts w:ascii="Arial" w:eastAsia="Arial Unicode MS" w:hAnsi="Arial" w:cs="Arial"/>
          <w:sz w:val="20"/>
          <w:szCs w:val="20"/>
          <w:lang w:bidi="ar"/>
        </w:rPr>
        <w:t>declustering</w:t>
      </w:r>
      <w:proofErr w:type="spellEnd"/>
      <w:r>
        <w:rPr>
          <w:rFonts w:ascii="Arial" w:eastAsia="Arial Unicode MS" w:hAnsi="Arial" w:cs="Arial"/>
          <w:sz w:val="20"/>
          <w:szCs w:val="20"/>
          <w:lang w:bidi="ar"/>
        </w:rPr>
        <w:t xml:space="preserve"> potential and collision energy parameters.</w:t>
      </w:r>
    </w:p>
    <w:p w14:paraId="47B7AACD" w14:textId="77777777" w:rsidR="00BA1E38" w:rsidRDefault="00BA1E38"/>
    <w:p w14:paraId="6C205642" w14:textId="77777777" w:rsidR="00BA1E38" w:rsidRDefault="00000000">
      <w:pPr>
        <w:spacing w:line="480" w:lineRule="auto"/>
        <w:rPr>
          <w:rFonts w:ascii="Arial" w:eastAsia="Arial Unicode MS" w:hAnsi="Arial" w:cs="Arial"/>
          <w:sz w:val="20"/>
          <w:szCs w:val="20"/>
          <w:shd w:val="clear" w:color="auto" w:fill="FFFFFF"/>
        </w:rPr>
      </w:pPr>
      <w:r>
        <w:rPr>
          <w:rStyle w:val="a4"/>
          <w:rFonts w:ascii="Arial" w:eastAsia="Arial Unicode MS" w:hAnsi="Arial" w:cs="Arial"/>
          <w:sz w:val="20"/>
          <w:szCs w:val="20"/>
          <w:shd w:val="clear" w:color="auto" w:fill="FFFFFF"/>
          <w:lang w:bidi="ar"/>
        </w:rPr>
        <w:t xml:space="preserve">Supplementary Table 1. Results of Adonis analysis of </w:t>
      </w:r>
      <w:bookmarkStart w:id="0" w:name="_Hlk198626221"/>
      <w:r>
        <w:rPr>
          <w:rStyle w:val="a4"/>
          <w:rFonts w:ascii="Arial" w:eastAsia="Arial Unicode MS" w:hAnsi="Arial" w:cs="Arial"/>
          <w:sz w:val="20"/>
          <w:szCs w:val="20"/>
          <w:shd w:val="clear" w:color="auto" w:fill="FFFFFF"/>
          <w:lang w:bidi="ar"/>
        </w:rPr>
        <w:t>β</w:t>
      </w:r>
      <w:bookmarkEnd w:id="0"/>
      <w:r>
        <w:rPr>
          <w:rStyle w:val="a4"/>
          <w:rFonts w:ascii="Arial" w:eastAsia="Arial Unicode MS" w:hAnsi="Arial" w:cs="Arial"/>
          <w:sz w:val="20"/>
          <w:szCs w:val="20"/>
          <w:shd w:val="clear" w:color="auto" w:fill="FFFFFF"/>
          <w:lang w:bidi="ar"/>
        </w:rPr>
        <w:t xml:space="preserve"> diversity based on Bray-</w:t>
      </w:r>
      <w:proofErr w:type="gramStart"/>
      <w:r>
        <w:rPr>
          <w:rStyle w:val="a4"/>
          <w:rFonts w:ascii="Arial" w:eastAsia="Arial Unicode MS" w:hAnsi="Arial" w:cs="Arial"/>
          <w:sz w:val="20"/>
          <w:szCs w:val="20"/>
          <w:shd w:val="clear" w:color="auto" w:fill="FFFFFF"/>
          <w:lang w:bidi="ar"/>
        </w:rPr>
        <w:t>Curtis</w:t>
      </w:r>
      <w:proofErr w:type="gramEnd"/>
      <w:r>
        <w:rPr>
          <w:rStyle w:val="a4"/>
          <w:rFonts w:ascii="Arial" w:eastAsia="Arial Unicode MS" w:hAnsi="Arial" w:cs="Arial"/>
          <w:sz w:val="20"/>
          <w:szCs w:val="20"/>
          <w:shd w:val="clear" w:color="auto" w:fill="FFFFFF"/>
          <w:lang w:bidi="ar"/>
        </w:rPr>
        <w:t xml:space="preserve"> distance</w:t>
      </w:r>
    </w:p>
    <w:tbl>
      <w:tblPr>
        <w:tblStyle w:val="a3"/>
        <w:tblW w:w="0" w:type="auto"/>
        <w:tblBorders>
          <w:top w:val="single" w:sz="12" w:space="0" w:color="auto"/>
          <w:left w:val="none" w:sz="4" w:space="0" w:color="auto"/>
          <w:bottom w:val="single" w:sz="12" w:space="0" w:color="auto"/>
          <w:right w:val="none" w:sz="4" w:space="0" w:color="auto"/>
          <w:insideH w:val="none" w:sz="4" w:space="0" w:color="auto"/>
          <w:insideV w:val="none" w:sz="4" w:space="0" w:color="auto"/>
        </w:tblBorders>
        <w:tblLook w:val="04A0" w:firstRow="1" w:lastRow="0" w:firstColumn="1" w:lastColumn="0" w:noHBand="0" w:noVBand="1"/>
      </w:tblPr>
      <w:tblGrid>
        <w:gridCol w:w="1200"/>
        <w:gridCol w:w="1149"/>
        <w:gridCol w:w="1283"/>
        <w:gridCol w:w="1198"/>
        <w:gridCol w:w="1191"/>
        <w:gridCol w:w="1173"/>
        <w:gridCol w:w="1179"/>
      </w:tblGrid>
      <w:tr w:rsidR="00BA1E38" w14:paraId="2EC2A17B" w14:textId="77777777">
        <w:tc>
          <w:tcPr>
            <w:tcW w:w="120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2F9A0F60" w14:textId="77777777" w:rsidR="00BA1E38" w:rsidRDefault="00BA1E38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149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444C90D8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proofErr w:type="spellStart"/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Df</w:t>
            </w:r>
            <w:proofErr w:type="spellEnd"/>
          </w:p>
        </w:tc>
        <w:tc>
          <w:tcPr>
            <w:tcW w:w="1216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485D866F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proofErr w:type="spellStart"/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SumsOfSqs</w:t>
            </w:r>
            <w:proofErr w:type="spellEnd"/>
          </w:p>
        </w:tc>
        <w:tc>
          <w:tcPr>
            <w:tcW w:w="1198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46FB339B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proofErr w:type="spellStart"/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MeanSqs</w:t>
            </w:r>
            <w:proofErr w:type="spellEnd"/>
          </w:p>
        </w:tc>
        <w:tc>
          <w:tcPr>
            <w:tcW w:w="1191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2DF78EA3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proofErr w:type="spellStart"/>
            <w:proofErr w:type="gramStart"/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F.Model</w:t>
            </w:r>
            <w:proofErr w:type="spellEnd"/>
            <w:proofErr w:type="gramEnd"/>
          </w:p>
        </w:tc>
        <w:tc>
          <w:tcPr>
            <w:tcW w:w="1173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0D27C814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R2</w:t>
            </w:r>
          </w:p>
        </w:tc>
        <w:tc>
          <w:tcPr>
            <w:tcW w:w="1179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4A3357F8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proofErr w:type="spellStart"/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Pr</w:t>
            </w:r>
            <w:proofErr w:type="spellEnd"/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(&gt;F)</w:t>
            </w:r>
          </w:p>
        </w:tc>
      </w:tr>
      <w:tr w:rsidR="00BA1E38" w14:paraId="49F6C92C" w14:textId="77777777"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BB9C418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sz w:val="20"/>
                <w:szCs w:val="20"/>
                <w:shd w:val="clear" w:color="auto" w:fill="FFFFFF"/>
                <w:lang w:bidi="ar"/>
              </w:rPr>
              <w:t>L</w:t>
            </w:r>
            <w:r>
              <w:rPr>
                <w:rFonts w:ascii="Arial" w:eastAsia="Arial Unicode MS" w:hAnsi="Arial" w:cs="Arial"/>
                <w:sz w:val="20"/>
                <w:szCs w:val="20"/>
                <w:lang w:bidi="ar"/>
              </w:rPr>
              <w:t>ITUS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0A4D9D0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1</w:t>
            </w:r>
          </w:p>
        </w:tc>
        <w:tc>
          <w:tcPr>
            <w:tcW w:w="121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F44B53C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sz w:val="20"/>
                <w:szCs w:val="20"/>
                <w:shd w:val="clear" w:color="auto" w:fill="FAFAFA"/>
                <w:lang w:bidi="ar"/>
              </w:rPr>
              <w:t>0.3492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9E9B33C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sz w:val="20"/>
                <w:szCs w:val="20"/>
                <w:shd w:val="clear" w:color="auto" w:fill="FAFAFA"/>
                <w:lang w:bidi="ar"/>
              </w:rPr>
              <w:t>0.3492</w:t>
            </w:r>
          </w:p>
        </w:tc>
        <w:tc>
          <w:tcPr>
            <w:tcW w:w="119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58DE920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sz w:val="20"/>
                <w:szCs w:val="20"/>
                <w:shd w:val="clear" w:color="auto" w:fill="FAFAFA"/>
                <w:lang w:bidi="ar"/>
              </w:rPr>
              <w:t>1.1931</w:t>
            </w:r>
          </w:p>
        </w:tc>
        <w:tc>
          <w:tcPr>
            <w:tcW w:w="117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03552C8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sz w:val="20"/>
                <w:szCs w:val="20"/>
                <w:shd w:val="clear" w:color="auto" w:fill="FAFAFA"/>
                <w:lang w:bidi="ar"/>
              </w:rPr>
              <w:t>0.0785</w:t>
            </w:r>
          </w:p>
        </w:tc>
        <w:tc>
          <w:tcPr>
            <w:tcW w:w="117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8B59A8C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sz w:val="20"/>
                <w:szCs w:val="20"/>
                <w:shd w:val="clear" w:color="auto" w:fill="FAFAFA"/>
                <w:lang w:bidi="ar"/>
              </w:rPr>
              <w:t>0.195</w:t>
            </w:r>
          </w:p>
        </w:tc>
      </w:tr>
      <w:tr w:rsidR="00BA1E38" w14:paraId="0F196255" w14:textId="77777777"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</w:tcPr>
          <w:p w14:paraId="1B906E6F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Residuals</w:t>
            </w:r>
          </w:p>
        </w:tc>
        <w:tc>
          <w:tcPr>
            <w:tcW w:w="1149" w:type="dxa"/>
            <w:tcBorders>
              <w:top w:val="nil"/>
              <w:left w:val="nil"/>
              <w:bottom w:val="nil"/>
              <w:right w:val="nil"/>
            </w:tcBorders>
          </w:tcPr>
          <w:p w14:paraId="0EE95CD0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sz w:val="20"/>
                <w:szCs w:val="20"/>
                <w:shd w:val="clear" w:color="auto" w:fill="FAFAFA"/>
                <w:lang w:bidi="ar"/>
              </w:rPr>
              <w:t>14</w:t>
            </w: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</w:tcPr>
          <w:p w14:paraId="299A4BCA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sz w:val="20"/>
                <w:szCs w:val="20"/>
                <w:shd w:val="clear" w:color="auto" w:fill="FAFAFA"/>
                <w:lang w:bidi="ar"/>
              </w:rPr>
              <w:t>4.0972</w:t>
            </w:r>
          </w:p>
        </w:tc>
        <w:tc>
          <w:tcPr>
            <w:tcW w:w="1198" w:type="dxa"/>
            <w:tcBorders>
              <w:top w:val="nil"/>
              <w:left w:val="nil"/>
              <w:bottom w:val="nil"/>
              <w:right w:val="nil"/>
            </w:tcBorders>
          </w:tcPr>
          <w:p w14:paraId="1F5A4F04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sz w:val="20"/>
                <w:szCs w:val="20"/>
                <w:shd w:val="clear" w:color="auto" w:fill="FAFAFA"/>
                <w:lang w:bidi="ar"/>
              </w:rPr>
              <w:t>0.2927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</w:tcPr>
          <w:p w14:paraId="6695FCA1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NA</w:t>
            </w:r>
          </w:p>
        </w:tc>
        <w:tc>
          <w:tcPr>
            <w:tcW w:w="1173" w:type="dxa"/>
            <w:tcBorders>
              <w:top w:val="nil"/>
              <w:left w:val="nil"/>
              <w:bottom w:val="nil"/>
              <w:right w:val="nil"/>
            </w:tcBorders>
          </w:tcPr>
          <w:p w14:paraId="2309A4D3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sz w:val="20"/>
                <w:szCs w:val="20"/>
                <w:shd w:val="clear" w:color="auto" w:fill="FAFAFA"/>
                <w:lang w:bidi="ar"/>
              </w:rPr>
              <w:t>0.9215</w:t>
            </w:r>
          </w:p>
        </w:tc>
        <w:tc>
          <w:tcPr>
            <w:tcW w:w="1179" w:type="dxa"/>
            <w:tcBorders>
              <w:top w:val="nil"/>
              <w:left w:val="nil"/>
              <w:bottom w:val="nil"/>
              <w:right w:val="nil"/>
            </w:tcBorders>
          </w:tcPr>
          <w:p w14:paraId="4405018D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NA</w:t>
            </w:r>
          </w:p>
        </w:tc>
      </w:tr>
      <w:tr w:rsidR="00BA1E38" w14:paraId="6D307828" w14:textId="77777777">
        <w:tc>
          <w:tcPr>
            <w:tcW w:w="1200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5BDDFDC4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Total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6E5D2C74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sz w:val="20"/>
                <w:szCs w:val="20"/>
                <w:shd w:val="clear" w:color="auto" w:fill="FAFAFA"/>
                <w:lang w:bidi="ar"/>
              </w:rPr>
              <w:t>15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77F5FB2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sz w:val="20"/>
                <w:szCs w:val="20"/>
                <w:shd w:val="clear" w:color="auto" w:fill="FAFAFA"/>
                <w:lang w:bidi="ar"/>
              </w:rPr>
              <w:t>4.4463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C86E563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NA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1E1AE9DF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NA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98AE0DD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1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FE13163" w14:textId="77777777" w:rsidR="00BA1E38" w:rsidRDefault="00000000">
            <w:pPr>
              <w:spacing w:line="480" w:lineRule="auto"/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Arial Unicode MS" w:hAnsi="Arial" w:cs="Arial"/>
                <w:color w:val="1A2029"/>
                <w:sz w:val="20"/>
                <w:szCs w:val="20"/>
                <w:shd w:val="clear" w:color="auto" w:fill="FFFFFF"/>
                <w:lang w:bidi="ar"/>
              </w:rPr>
              <w:t>NA</w:t>
            </w:r>
          </w:p>
        </w:tc>
      </w:tr>
    </w:tbl>
    <w:p w14:paraId="777E8486" w14:textId="77777777" w:rsidR="00BA1E38" w:rsidRDefault="00000000">
      <w:pPr>
        <w:spacing w:line="480" w:lineRule="auto"/>
        <w:rPr>
          <w:rFonts w:ascii="Arial" w:eastAsia="Arial Unicode MS" w:hAnsi="Arial" w:cs="Arial"/>
          <w:kern w:val="0"/>
          <w:sz w:val="20"/>
          <w:szCs w:val="20"/>
          <w:shd w:val="clear" w:color="auto" w:fill="FFFFFF"/>
          <w:lang w:bidi="ar"/>
        </w:rPr>
      </w:pPr>
      <w:r>
        <w:rPr>
          <w:rFonts w:ascii="Arial" w:eastAsia="Arial Unicode MS" w:hAnsi="Arial" w:cs="Arial"/>
          <w:kern w:val="0"/>
          <w:sz w:val="20"/>
          <w:szCs w:val="20"/>
          <w:shd w:val="clear" w:color="auto" w:fill="FFFFFF"/>
          <w:lang w:bidi="ar"/>
        </w:rPr>
        <w:t>Note: Adonis analysis is based on Bray-Curtis distances; Adonis analysis was performed using the vegan package in R (999 permutations).</w:t>
      </w:r>
      <w:r>
        <w:rPr>
          <w:rFonts w:ascii="等线" w:eastAsia="等线" w:hAnsi="等线" w:cs="Times New Roman" w:hint="eastAsia"/>
          <w:szCs w:val="22"/>
          <w:lang w:bidi="ar"/>
        </w:rPr>
        <w:t xml:space="preserve"> </w:t>
      </w:r>
      <w:r>
        <w:rPr>
          <w:rFonts w:ascii="Arial" w:eastAsia="Arial Unicode MS" w:hAnsi="Arial" w:cs="Arial"/>
          <w:kern w:val="0"/>
          <w:sz w:val="20"/>
          <w:szCs w:val="20"/>
          <w:shd w:val="clear" w:color="auto" w:fill="FFFFFF"/>
          <w:lang w:bidi="ar"/>
        </w:rPr>
        <w:t>Abbreviations: “NA” indicates no corresponding statistics.</w:t>
      </w:r>
    </w:p>
    <w:p w14:paraId="4BAEFB65" w14:textId="55C46932" w:rsidR="00BA1E38" w:rsidRPr="00AD5A3D" w:rsidRDefault="00AD5A3D">
      <w:pPr>
        <w:spacing w:line="480" w:lineRule="auto"/>
        <w:rPr>
          <w:rFonts w:ascii="Arial" w:eastAsia="Arial Unicode MS" w:hAnsi="Arial" w:cs="Arial"/>
          <w:kern w:val="0"/>
          <w:sz w:val="20"/>
          <w:szCs w:val="20"/>
          <w:shd w:val="clear" w:color="auto" w:fill="FFFFFF"/>
          <w:lang w:bidi="ar"/>
        </w:rPr>
      </w:pPr>
      <w:r>
        <w:rPr>
          <w:rFonts w:ascii="Arial" w:eastAsia="Arial Unicode MS" w:hAnsi="Arial" w:cs="Arial"/>
          <w:noProof/>
          <w:kern w:val="0"/>
          <w:sz w:val="20"/>
          <w:szCs w:val="20"/>
          <w:shd w:val="clear" w:color="auto" w:fill="FFFFFF"/>
          <w:lang w:bidi="ar"/>
        </w:rPr>
        <w:lastRenderedPageBreak/>
        <w:drawing>
          <wp:inline distT="0" distB="0" distL="0" distR="0" wp14:anchorId="6B0489D0" wp14:editId="6419BF0C">
            <wp:extent cx="4797552" cy="1565148"/>
            <wp:effectExtent l="0" t="0" r="3175" b="0"/>
            <wp:docPr id="1257892002" name="图片 1" descr="图片包含 地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892002" name="图片 1" descr="图片包含 地图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97552" cy="156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F2F21" w14:textId="77777777" w:rsidR="00BA1E38" w:rsidRPr="00AD5A3D" w:rsidRDefault="00000000">
      <w:pPr>
        <w:spacing w:line="480" w:lineRule="auto"/>
        <w:rPr>
          <w:rFonts w:ascii="Arial" w:eastAsia="Arial Unicode MS" w:hAnsi="Arial" w:cs="Arial"/>
          <w:sz w:val="20"/>
          <w:szCs w:val="20"/>
          <w:shd w:val="clear" w:color="auto" w:fill="FFFFFF"/>
          <w:lang w:bidi="ar"/>
        </w:rPr>
      </w:pPr>
      <w:r w:rsidRPr="00AD5A3D">
        <w:rPr>
          <w:rFonts w:ascii="Arial" w:eastAsia="Arial Unicode MS" w:hAnsi="Arial" w:cs="Arial"/>
          <w:sz w:val="20"/>
          <w:szCs w:val="20"/>
          <w:shd w:val="clear" w:color="auto" w:fill="FFFFFF"/>
          <w:lang w:bidi="ar"/>
        </w:rPr>
        <w:t xml:space="preserve">Supplementary Figure 1 Histological analysis (H&amp;E staining) of the prelimbic (PRL) brain area. (A) LIFUS2 group and (B) SHAM group. Representative images show no tissue damage or hemorrhage in the PRL area after 2 weeks of stimulation in the LIFUS2 group compared to the SHAM group. Scale bar </w:t>
      </w:r>
      <w:r w:rsidRPr="00992BFF">
        <w:rPr>
          <w:rFonts w:ascii="Arial" w:eastAsia="Arial Unicode MS" w:hAnsi="Arial" w:cs="Arial"/>
          <w:color w:val="000000" w:themeColor="text1"/>
          <w:sz w:val="20"/>
          <w:szCs w:val="20"/>
          <w:shd w:val="clear" w:color="auto" w:fill="FFFFFF"/>
          <w:lang w:bidi="ar"/>
        </w:rPr>
        <w:t xml:space="preserve">= </w:t>
      </w:r>
      <w:r w:rsidRPr="00992BFF">
        <w:rPr>
          <w:rFonts w:ascii="Arial" w:eastAsia="Arial Unicode MS" w:hAnsi="Arial" w:cs="Arial"/>
          <w:color w:val="000000" w:themeColor="text1"/>
          <w:sz w:val="20"/>
          <w:szCs w:val="20"/>
          <w:lang w:bidi="ar"/>
        </w:rPr>
        <w:t xml:space="preserve">100 </w:t>
      </w:r>
      <w:proofErr w:type="spellStart"/>
      <w:r w:rsidRPr="00992BFF">
        <w:rPr>
          <w:rFonts w:ascii="Arial" w:eastAsia="Arial Unicode MS" w:hAnsi="Arial" w:cs="Arial"/>
          <w:color w:val="000000" w:themeColor="text1"/>
          <w:sz w:val="20"/>
          <w:szCs w:val="20"/>
          <w:lang w:bidi="ar"/>
        </w:rPr>
        <w:t>μm</w:t>
      </w:r>
      <w:proofErr w:type="spellEnd"/>
      <w:r w:rsidRPr="00992BFF">
        <w:rPr>
          <w:rFonts w:ascii="Arial" w:eastAsia="Arial Unicode MS" w:hAnsi="Arial" w:cs="Arial"/>
          <w:color w:val="000000" w:themeColor="text1"/>
          <w:sz w:val="20"/>
          <w:szCs w:val="20"/>
          <w:shd w:val="clear" w:color="auto" w:fill="FFFFFF"/>
          <w:lang w:bidi="ar"/>
        </w:rPr>
        <w:t>.</w:t>
      </w:r>
    </w:p>
    <w:p w14:paraId="7CEFCBDE" w14:textId="77777777" w:rsidR="00BA1E38" w:rsidRPr="00AD5A3D" w:rsidRDefault="00000000">
      <w:pPr>
        <w:rPr>
          <w:rFonts w:ascii="Arial" w:hAnsi="Arial" w:cs="Arial"/>
          <w:sz w:val="20"/>
          <w:szCs w:val="20"/>
        </w:rPr>
      </w:pPr>
      <w:r w:rsidRPr="00AD5A3D">
        <w:rPr>
          <w:rFonts w:ascii="Arial" w:eastAsia="宋体" w:hAnsi="Arial" w:cs="Arial"/>
          <w:sz w:val="20"/>
          <w:szCs w:val="20"/>
          <w:lang w:bidi="ar"/>
        </w:rPr>
        <w:t>Abbreviations: LIFUS2, Low-Intensity Transcranial Focused Ultrasound Stimulation with a PRF of 1.5 kHz.</w:t>
      </w:r>
    </w:p>
    <w:p w14:paraId="166CFD69" w14:textId="77777777" w:rsidR="00BA1E38" w:rsidRDefault="00BA1E38">
      <w:pPr>
        <w:spacing w:line="480" w:lineRule="auto"/>
        <w:rPr>
          <w:rFonts w:ascii="Arial" w:eastAsia="Arial Unicode MS" w:hAnsi="Arial" w:cs="Arial"/>
          <w:kern w:val="0"/>
          <w:sz w:val="20"/>
          <w:szCs w:val="20"/>
          <w:shd w:val="clear" w:color="auto" w:fill="FFFFFF"/>
          <w:lang w:bidi="ar"/>
        </w:rPr>
      </w:pPr>
    </w:p>
    <w:p w14:paraId="6E425F10" w14:textId="77777777" w:rsidR="00BA1E38" w:rsidRDefault="00BA1E38"/>
    <w:sectPr w:rsidR="00BA1E38">
      <w:pgSz w:w="12240" w:h="15840"/>
      <w:pgMar w:top="1440" w:right="1800" w:bottom="1440" w:left="1800" w:header="720" w:footer="72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96F43D" w14:textId="77777777" w:rsidR="00C0760F" w:rsidRDefault="00C0760F"/>
  </w:endnote>
  <w:endnote w:type="continuationSeparator" w:id="0">
    <w:p w14:paraId="67EF481F" w14:textId="77777777" w:rsidR="00C0760F" w:rsidRDefault="00C0760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2E9F5C" w14:textId="77777777" w:rsidR="00C0760F" w:rsidRDefault="00C0760F"/>
  </w:footnote>
  <w:footnote w:type="continuationSeparator" w:id="0">
    <w:p w14:paraId="4657ABEF" w14:textId="77777777" w:rsidR="00C0760F" w:rsidRDefault="00C0760F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55BD"/>
    <w:rsid w:val="00257ED9"/>
    <w:rsid w:val="003730E0"/>
    <w:rsid w:val="004B4005"/>
    <w:rsid w:val="00503150"/>
    <w:rsid w:val="00527499"/>
    <w:rsid w:val="00630BCF"/>
    <w:rsid w:val="0078639C"/>
    <w:rsid w:val="00845251"/>
    <w:rsid w:val="00992BFF"/>
    <w:rsid w:val="00A755BD"/>
    <w:rsid w:val="00A755DB"/>
    <w:rsid w:val="00AD5A3D"/>
    <w:rsid w:val="00AE1756"/>
    <w:rsid w:val="00BA1E38"/>
    <w:rsid w:val="00C0760F"/>
    <w:rsid w:val="00C75573"/>
    <w:rsid w:val="00CE1D48"/>
    <w:rsid w:val="00DA1CED"/>
    <w:rsid w:val="00F32F64"/>
    <w:rsid w:val="43253C54"/>
    <w:rsid w:val="46C225E1"/>
    <w:rsid w:val="78D93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28A6B7E"/>
  <w14:defaultImageDpi w14:val="32767"/>
  <w15:docId w15:val="{61314586-9BDD-4F91-9085-A8AD3BC7AE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tc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cBorders>
    </w:tcPr>
  </w:style>
  <w:style w:type="character" w:styleId="a4">
    <w:name w:val="Strong"/>
    <w:basedOn w:val="a0"/>
    <w:qFormat/>
    <w:rPr>
      <w:b/>
    </w:rPr>
  </w:style>
  <w:style w:type="paragraph" w:styleId="a5">
    <w:name w:val="header"/>
    <w:basedOn w:val="a"/>
    <w:link w:val="a6"/>
    <w:rsid w:val="00992BFF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rsid w:val="00992BFF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7">
    <w:name w:val="footer"/>
    <w:basedOn w:val="a"/>
    <w:link w:val="a8"/>
    <w:rsid w:val="00992BF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rsid w:val="00992BFF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245</Words>
  <Characters>1400</Characters>
  <Application>Microsoft Office Word</Application>
  <DocSecurity>0</DocSecurity>
  <Lines>11</Lines>
  <Paragraphs>3</Paragraphs>
  <ScaleCrop>false</ScaleCrop>
  <Company/>
  <LinksUpToDate>false</LinksUpToDate>
  <CharactersWithSpaces>1642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yanyan</dc:creator>
  <cp:lastModifiedBy>Z62087</cp:lastModifiedBy>
  <cp:revision>5</cp:revision>
  <dcterms:created xsi:type="dcterms:W3CDTF">2026-02-10T05:48:00Z</dcterms:created>
  <dcterms:modified xsi:type="dcterms:W3CDTF">2026-02-10T08:50:00Z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KSOTemplateDocerSaveRecord">
    <vt:lpwstr>eyJoZGlkIjoiNjUwMmMwYTU2MmI5YTMxYTBkZjU5NjQyZjcxMjQyYjUiLCJ1c2VySWQiOiI0NzI1Njg4OTgifQ==</vt:lpwstr>
  </property>
  <property fmtid="{D5CDD505-2E9C-101B-9397-08002B2CF9AE}" pid="4" name="ICV">
    <vt:lpwstr>2256C64C79334372AAEA61CAAF11F521_13</vt:lpwstr>
  </property>
  <property fmtid="{D5CDD505-2E9C-101B-9397-08002B2CF9AE}" pid="5" name="GrammarlyDocumentId">
    <vt:lpwstr>6126fa27-3ba5-4361-b6a0-6b5c6afe352a</vt:lpwstr>
  </property>
</Properties>
</file>