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4DA81" w14:textId="77777777" w:rsidR="00FD5A98" w:rsidRPr="00FD5A98" w:rsidRDefault="00FD5A98" w:rsidP="00FD5A98">
      <w:pPr>
        <w:pStyle w:val="berschrift1"/>
        <w:rPr>
          <w:lang w:val="en-US"/>
        </w:rPr>
      </w:pPr>
      <w:r w:rsidRPr="00FD5A98">
        <w:rPr>
          <w:lang w:val="en-US"/>
        </w:rPr>
        <w:t>Appendix</w:t>
      </w:r>
    </w:p>
    <w:p w14:paraId="0D9F71DE" w14:textId="77777777" w:rsidR="00FD5A98" w:rsidRPr="00D410D5" w:rsidDel="00027269" w:rsidRDefault="00FD5A98" w:rsidP="00FD5A98">
      <w:pPr>
        <w:pStyle w:val="Beschriftung"/>
        <w:spacing w:before="0" w:after="0" w:line="480" w:lineRule="auto"/>
        <w:jc w:val="left"/>
        <w:rPr>
          <w:rFonts w:ascii="Arial" w:hAnsi="Arial" w:cs="Arial"/>
          <w:i w:val="0"/>
          <w:iCs w:val="0"/>
          <w:color w:val="auto"/>
          <w:lang w:val="en-US"/>
        </w:rPr>
      </w:pPr>
      <w:bookmarkStart w:id="0" w:name="_Toc199349004"/>
      <w:bookmarkStart w:id="1" w:name="_Toc199349024"/>
      <w:r w:rsidRPr="00D410D5">
        <w:rPr>
          <w:rFonts w:ascii="Arial" w:hAnsi="Arial" w:cs="Arial"/>
          <w:i w:val="0"/>
          <w:iCs w:val="0"/>
          <w:color w:val="auto"/>
          <w:lang w:val="en-US"/>
        </w:rPr>
        <w:t xml:space="preserve">Appendix Table </w:t>
      </w:r>
      <w:r w:rsidRPr="00D410D5">
        <w:rPr>
          <w:rFonts w:ascii="Arial" w:hAnsi="Arial" w:cs="Arial"/>
          <w:i w:val="0"/>
          <w:iCs w:val="0"/>
          <w:color w:val="auto"/>
          <w:lang w:val="en-US"/>
        </w:rPr>
        <w:fldChar w:fldCharType="begin"/>
      </w:r>
      <w:r w:rsidRPr="00D410D5">
        <w:rPr>
          <w:rFonts w:ascii="Arial" w:hAnsi="Arial" w:cs="Arial"/>
          <w:i w:val="0"/>
          <w:iCs w:val="0"/>
          <w:color w:val="auto"/>
          <w:lang w:val="en-US"/>
        </w:rPr>
        <w:instrText xml:space="preserve"> SEQ Appendix_Table \* ARABIC </w:instrText>
      </w:r>
      <w:r w:rsidRPr="00D410D5">
        <w:rPr>
          <w:rFonts w:ascii="Arial" w:hAnsi="Arial" w:cs="Arial"/>
          <w:i w:val="0"/>
          <w:iCs w:val="0"/>
          <w:color w:val="auto"/>
          <w:lang w:val="en-US"/>
        </w:rPr>
        <w:fldChar w:fldCharType="separate"/>
      </w:r>
      <w:r w:rsidRPr="00D410D5">
        <w:rPr>
          <w:rFonts w:ascii="Arial" w:hAnsi="Arial" w:cs="Arial"/>
          <w:i w:val="0"/>
          <w:iCs w:val="0"/>
          <w:noProof/>
          <w:color w:val="auto"/>
          <w:lang w:val="en-US"/>
        </w:rPr>
        <w:t>1</w:t>
      </w:r>
      <w:r w:rsidRPr="00D410D5">
        <w:rPr>
          <w:rFonts w:ascii="Arial" w:hAnsi="Arial" w:cs="Arial"/>
          <w:i w:val="0"/>
          <w:iCs w:val="0"/>
          <w:color w:val="auto"/>
          <w:lang w:val="en-US"/>
        </w:rPr>
        <w:fldChar w:fldCharType="end"/>
      </w:r>
      <w:r w:rsidRPr="00D410D5">
        <w:rPr>
          <w:rFonts w:ascii="Arial" w:hAnsi="Arial" w:cs="Arial"/>
          <w:i w:val="0"/>
          <w:iCs w:val="0"/>
          <w:color w:val="auto"/>
          <w:lang w:val="en-US"/>
        </w:rPr>
        <w:t xml:space="preserve">: Abbreviations and Names of the Working Groups Used for </w:t>
      </w:r>
      <w:proofErr w:type="spellStart"/>
      <w:r w:rsidRPr="00D410D5">
        <w:rPr>
          <w:rFonts w:ascii="Arial" w:hAnsi="Arial" w:cs="Arial"/>
          <w:i w:val="0"/>
          <w:iCs w:val="0"/>
          <w:color w:val="auto"/>
          <w:lang w:val="en-US"/>
        </w:rPr>
        <w:t>PharmGKB</w:t>
      </w:r>
      <w:proofErr w:type="spellEnd"/>
      <w:r w:rsidRPr="00D410D5">
        <w:rPr>
          <w:rFonts w:ascii="Arial" w:hAnsi="Arial" w:cs="Arial"/>
          <w:i w:val="0"/>
          <w:iCs w:val="0"/>
          <w:color w:val="auto"/>
          <w:lang w:val="en-US"/>
        </w:rPr>
        <w:t xml:space="preserve"> Clinical Guideline Annotations</w:t>
      </w:r>
      <w:bookmarkEnd w:id="0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D5A98" w:rsidRPr="004A0F74" w14:paraId="1B85C5A7" w14:textId="77777777" w:rsidTr="00DF7C10">
        <w:tc>
          <w:tcPr>
            <w:tcW w:w="4531" w:type="dxa"/>
          </w:tcPr>
          <w:p w14:paraId="38DFFB16" w14:textId="77777777" w:rsidR="00FD5A98" w:rsidRPr="004A0F74" w:rsidRDefault="00FD5A98" w:rsidP="00DF7C10">
            <w:pPr>
              <w:pStyle w:val="Beschriftung"/>
              <w:spacing w:before="0" w:after="0" w:line="480" w:lineRule="auto"/>
              <w:jc w:val="left"/>
              <w:rPr>
                <w:rFonts w:ascii="Arial" w:hAnsi="Arial" w:cs="Arial"/>
                <w:b/>
                <w:bCs/>
                <w:i w:val="0"/>
                <w:iCs w:val="0"/>
                <w:color w:val="auto"/>
                <w:szCs w:val="20"/>
                <w:lang w:val="en-US"/>
              </w:rPr>
            </w:pPr>
            <w:r w:rsidRPr="004A0F74">
              <w:rPr>
                <w:rFonts w:ascii="Arial" w:hAnsi="Arial" w:cs="Arial"/>
                <w:b/>
                <w:bCs/>
                <w:i w:val="0"/>
                <w:iCs w:val="0"/>
                <w:color w:val="auto"/>
                <w:szCs w:val="20"/>
                <w:lang w:val="en-US"/>
              </w:rPr>
              <w:t>Abbreviation of the Working Group</w:t>
            </w:r>
          </w:p>
        </w:tc>
        <w:tc>
          <w:tcPr>
            <w:tcW w:w="4531" w:type="dxa"/>
          </w:tcPr>
          <w:p w14:paraId="03B03FA1" w14:textId="77777777" w:rsidR="00FD5A98" w:rsidRPr="004A0F74" w:rsidRDefault="00FD5A98" w:rsidP="00DF7C10">
            <w:pPr>
              <w:pStyle w:val="Beschriftung"/>
              <w:spacing w:before="0" w:after="0" w:line="480" w:lineRule="auto"/>
              <w:jc w:val="left"/>
              <w:rPr>
                <w:rFonts w:ascii="Arial" w:hAnsi="Arial" w:cs="Arial"/>
                <w:b/>
                <w:bCs/>
                <w:i w:val="0"/>
                <w:iCs w:val="0"/>
                <w:color w:val="auto"/>
                <w:szCs w:val="20"/>
                <w:lang w:val="en-US"/>
              </w:rPr>
            </w:pPr>
            <w:r w:rsidRPr="004A0F74">
              <w:rPr>
                <w:rFonts w:ascii="Arial" w:hAnsi="Arial" w:cs="Arial"/>
                <w:b/>
                <w:bCs/>
                <w:i w:val="0"/>
                <w:iCs w:val="0"/>
                <w:color w:val="auto"/>
                <w:szCs w:val="20"/>
                <w:lang w:val="en-US"/>
              </w:rPr>
              <w:t>Name of the Working Group</w:t>
            </w:r>
          </w:p>
        </w:tc>
      </w:tr>
      <w:tr w:rsidR="00FD5A98" w:rsidRPr="004A0F74" w14:paraId="3EBD2E3E" w14:textId="77777777" w:rsidTr="00DF7C10">
        <w:tc>
          <w:tcPr>
            <w:tcW w:w="4531" w:type="dxa"/>
          </w:tcPr>
          <w:p w14:paraId="75FC5A0D" w14:textId="77777777" w:rsidR="00FD5A98" w:rsidRPr="004A0F74" w:rsidRDefault="00FD5A98" w:rsidP="00DF7C10">
            <w:pPr>
              <w:pStyle w:val="Beschriftung"/>
              <w:spacing w:before="0" w:after="0" w:line="480" w:lineRule="auto"/>
              <w:jc w:val="left"/>
              <w:rPr>
                <w:rFonts w:ascii="Arial" w:hAnsi="Arial" w:cs="Arial"/>
                <w:i w:val="0"/>
                <w:iCs w:val="0"/>
                <w:color w:val="auto"/>
                <w:szCs w:val="20"/>
                <w:lang w:val="en-US"/>
              </w:rPr>
            </w:pPr>
            <w:r w:rsidRPr="004A0F74">
              <w:rPr>
                <w:rFonts w:ascii="Arial" w:hAnsi="Arial" w:cs="Arial"/>
                <w:i w:val="0"/>
                <w:iCs w:val="0"/>
                <w:color w:val="auto"/>
                <w:szCs w:val="20"/>
                <w:lang w:val="en-US"/>
              </w:rPr>
              <w:t>ACR</w:t>
            </w:r>
          </w:p>
        </w:tc>
        <w:tc>
          <w:tcPr>
            <w:tcW w:w="4531" w:type="dxa"/>
          </w:tcPr>
          <w:p w14:paraId="6D17A260" w14:textId="77777777" w:rsidR="00FD5A98" w:rsidRPr="004A0F74" w:rsidRDefault="00FD5A98" w:rsidP="00DF7C10">
            <w:pPr>
              <w:pStyle w:val="Beschriftung"/>
              <w:spacing w:before="0" w:after="0" w:line="480" w:lineRule="auto"/>
              <w:jc w:val="left"/>
              <w:rPr>
                <w:rFonts w:ascii="Arial" w:hAnsi="Arial" w:cs="Arial"/>
                <w:i w:val="0"/>
                <w:iCs w:val="0"/>
                <w:color w:val="auto"/>
                <w:szCs w:val="20"/>
                <w:lang w:val="en-US"/>
              </w:rPr>
            </w:pPr>
            <w:r w:rsidRPr="004A0F74">
              <w:rPr>
                <w:rFonts w:ascii="Arial" w:hAnsi="Arial" w:cs="Arial"/>
                <w:i w:val="0"/>
                <w:iCs w:val="0"/>
                <w:color w:val="auto"/>
                <w:szCs w:val="20"/>
                <w:lang w:val="en-US"/>
              </w:rPr>
              <w:t>American College of Rheumatology</w:t>
            </w:r>
          </w:p>
        </w:tc>
      </w:tr>
      <w:tr w:rsidR="00FD5A98" w:rsidRPr="004A0F74" w14:paraId="10536EBD" w14:textId="77777777" w:rsidTr="00DF7C10">
        <w:tc>
          <w:tcPr>
            <w:tcW w:w="4531" w:type="dxa"/>
          </w:tcPr>
          <w:p w14:paraId="7AA3D39E" w14:textId="77777777" w:rsidR="00FD5A98" w:rsidRPr="004A0F74" w:rsidRDefault="00FD5A98" w:rsidP="00DF7C10">
            <w:pPr>
              <w:pStyle w:val="Beschriftung"/>
              <w:spacing w:before="0" w:after="0" w:line="480" w:lineRule="auto"/>
              <w:jc w:val="left"/>
              <w:rPr>
                <w:rFonts w:ascii="Arial" w:hAnsi="Arial" w:cs="Arial"/>
                <w:i w:val="0"/>
                <w:iCs w:val="0"/>
                <w:color w:val="auto"/>
                <w:szCs w:val="20"/>
                <w:lang w:val="en-US"/>
              </w:rPr>
            </w:pPr>
            <w:r w:rsidRPr="004A0F74">
              <w:rPr>
                <w:rFonts w:ascii="Arial" w:hAnsi="Arial" w:cs="Arial"/>
                <w:i w:val="0"/>
                <w:iCs w:val="0"/>
                <w:color w:val="auto"/>
                <w:szCs w:val="20"/>
                <w:lang w:val="en-US"/>
              </w:rPr>
              <w:t xml:space="preserve">AIOM </w:t>
            </w:r>
          </w:p>
        </w:tc>
        <w:tc>
          <w:tcPr>
            <w:tcW w:w="4531" w:type="dxa"/>
          </w:tcPr>
          <w:p w14:paraId="79FA3F18" w14:textId="77777777" w:rsidR="00FD5A98" w:rsidRPr="004A0F74" w:rsidRDefault="00FD5A98" w:rsidP="00DF7C10">
            <w:pPr>
              <w:pStyle w:val="Beschriftung"/>
              <w:spacing w:before="0" w:after="0" w:line="480" w:lineRule="auto"/>
              <w:jc w:val="left"/>
              <w:rPr>
                <w:rFonts w:ascii="Arial" w:hAnsi="Arial" w:cs="Arial"/>
                <w:i w:val="0"/>
                <w:iCs w:val="0"/>
                <w:color w:val="auto"/>
                <w:szCs w:val="20"/>
                <w:lang w:val="en-US"/>
              </w:rPr>
            </w:pPr>
            <w:r w:rsidRPr="004A0F74">
              <w:rPr>
                <w:rFonts w:ascii="Arial" w:hAnsi="Arial" w:cs="Arial"/>
                <w:i w:val="0"/>
                <w:iCs w:val="0"/>
                <w:color w:val="auto"/>
                <w:szCs w:val="20"/>
                <w:lang w:val="en-US"/>
              </w:rPr>
              <w:t>Italian Association of Medical Oncology</w:t>
            </w:r>
          </w:p>
        </w:tc>
      </w:tr>
      <w:tr w:rsidR="00FD5A98" w:rsidRPr="004A0F74" w14:paraId="3DF24D90" w14:textId="77777777" w:rsidTr="00DF7C10">
        <w:tc>
          <w:tcPr>
            <w:tcW w:w="4531" w:type="dxa"/>
          </w:tcPr>
          <w:p w14:paraId="6BCBF53D" w14:textId="77777777" w:rsidR="00FD5A98" w:rsidRPr="004A0F74" w:rsidRDefault="00FD5A98" w:rsidP="00DF7C10">
            <w:pPr>
              <w:pStyle w:val="Beschriftung"/>
              <w:spacing w:before="0" w:after="0" w:line="480" w:lineRule="auto"/>
              <w:jc w:val="left"/>
              <w:rPr>
                <w:rFonts w:ascii="Arial" w:hAnsi="Arial" w:cs="Arial"/>
                <w:i w:val="0"/>
                <w:iCs w:val="0"/>
                <w:color w:val="auto"/>
                <w:szCs w:val="20"/>
                <w:lang w:val="en-US"/>
              </w:rPr>
            </w:pPr>
            <w:proofErr w:type="spellStart"/>
            <w:r w:rsidRPr="004A0F74">
              <w:rPr>
                <w:rFonts w:ascii="Arial" w:hAnsi="Arial" w:cs="Arial"/>
                <w:i w:val="0"/>
                <w:iCs w:val="0"/>
                <w:color w:val="auto"/>
                <w:szCs w:val="20"/>
                <w:lang w:val="en-US"/>
              </w:rPr>
              <w:t>AusNZ</w:t>
            </w:r>
            <w:proofErr w:type="spellEnd"/>
          </w:p>
        </w:tc>
        <w:tc>
          <w:tcPr>
            <w:tcW w:w="4531" w:type="dxa"/>
          </w:tcPr>
          <w:p w14:paraId="0A8C284A" w14:textId="77777777" w:rsidR="00FD5A98" w:rsidRPr="004A0F74" w:rsidRDefault="00FD5A98" w:rsidP="00DF7C10">
            <w:pPr>
              <w:pStyle w:val="Beschriftung"/>
              <w:spacing w:before="0" w:after="0" w:line="480" w:lineRule="auto"/>
              <w:jc w:val="left"/>
              <w:rPr>
                <w:rFonts w:ascii="Arial" w:hAnsi="Arial" w:cs="Arial"/>
                <w:i w:val="0"/>
                <w:iCs w:val="0"/>
                <w:color w:val="auto"/>
                <w:szCs w:val="20"/>
                <w:lang w:val="en-US"/>
              </w:rPr>
            </w:pPr>
            <w:r w:rsidRPr="004A0F74">
              <w:rPr>
                <w:rFonts w:ascii="Arial" w:hAnsi="Arial" w:cs="Arial"/>
                <w:i w:val="0"/>
                <w:iCs w:val="0"/>
                <w:color w:val="auto"/>
                <w:szCs w:val="20"/>
                <w:lang w:val="en-US"/>
              </w:rPr>
              <w:t>Australian and New Zealand consensus guidelines</w:t>
            </w:r>
          </w:p>
        </w:tc>
      </w:tr>
      <w:tr w:rsidR="00FD5A98" w:rsidRPr="004A0F74" w14:paraId="3B00AA6C" w14:textId="77777777" w:rsidTr="00DF7C10">
        <w:tc>
          <w:tcPr>
            <w:tcW w:w="4531" w:type="dxa"/>
          </w:tcPr>
          <w:p w14:paraId="13966D60" w14:textId="77777777" w:rsidR="00FD5A98" w:rsidRPr="004A0F74" w:rsidRDefault="00FD5A98" w:rsidP="00DF7C10">
            <w:pPr>
              <w:pStyle w:val="Beschriftung"/>
              <w:spacing w:before="0" w:after="0" w:line="480" w:lineRule="auto"/>
              <w:jc w:val="left"/>
              <w:rPr>
                <w:rFonts w:ascii="Arial" w:hAnsi="Arial" w:cs="Arial"/>
                <w:i w:val="0"/>
                <w:iCs w:val="0"/>
                <w:color w:val="auto"/>
                <w:szCs w:val="20"/>
                <w:lang w:val="en-US"/>
              </w:rPr>
            </w:pPr>
            <w:r w:rsidRPr="004A0F74">
              <w:rPr>
                <w:rFonts w:ascii="Arial" w:hAnsi="Arial" w:cs="Arial"/>
                <w:i w:val="0"/>
                <w:iCs w:val="0"/>
                <w:color w:val="auto"/>
                <w:szCs w:val="20"/>
                <w:lang w:val="en-US"/>
              </w:rPr>
              <w:t>CFF</w:t>
            </w:r>
          </w:p>
        </w:tc>
        <w:tc>
          <w:tcPr>
            <w:tcW w:w="4531" w:type="dxa"/>
          </w:tcPr>
          <w:p w14:paraId="0CEEAA1C" w14:textId="77777777" w:rsidR="00FD5A98" w:rsidRPr="004A0F74" w:rsidRDefault="00FD5A98" w:rsidP="00DF7C10">
            <w:pPr>
              <w:pStyle w:val="Beschriftung"/>
              <w:spacing w:before="0" w:after="0" w:line="480" w:lineRule="auto"/>
              <w:jc w:val="left"/>
              <w:rPr>
                <w:rFonts w:ascii="Arial" w:hAnsi="Arial" w:cs="Arial"/>
                <w:i w:val="0"/>
                <w:iCs w:val="0"/>
                <w:color w:val="auto"/>
                <w:szCs w:val="20"/>
                <w:lang w:val="en-US"/>
              </w:rPr>
            </w:pPr>
            <w:r w:rsidRPr="004A0F74">
              <w:rPr>
                <w:rFonts w:ascii="Arial" w:hAnsi="Arial" w:cs="Arial"/>
                <w:i w:val="0"/>
                <w:iCs w:val="0"/>
                <w:color w:val="auto"/>
                <w:szCs w:val="20"/>
                <w:lang w:val="en-US"/>
              </w:rPr>
              <w:t>Cystic Fibrosis Foundation</w:t>
            </w:r>
          </w:p>
        </w:tc>
      </w:tr>
      <w:tr w:rsidR="00FD5A98" w:rsidRPr="004A0F74" w14:paraId="7003C958" w14:textId="77777777" w:rsidTr="00DF7C10">
        <w:tc>
          <w:tcPr>
            <w:tcW w:w="4531" w:type="dxa"/>
          </w:tcPr>
          <w:p w14:paraId="2396B832" w14:textId="77777777" w:rsidR="00FD5A98" w:rsidRPr="004A0F74" w:rsidRDefault="00FD5A98" w:rsidP="00DF7C10">
            <w:pPr>
              <w:pStyle w:val="Beschriftung"/>
              <w:spacing w:before="0" w:after="0" w:line="480" w:lineRule="auto"/>
              <w:jc w:val="left"/>
              <w:rPr>
                <w:rFonts w:ascii="Arial" w:hAnsi="Arial" w:cs="Arial"/>
                <w:i w:val="0"/>
                <w:iCs w:val="0"/>
                <w:color w:val="auto"/>
                <w:szCs w:val="20"/>
                <w:lang w:val="en-US"/>
              </w:rPr>
            </w:pPr>
            <w:r w:rsidRPr="004A0F74">
              <w:rPr>
                <w:rFonts w:ascii="Arial" w:hAnsi="Arial" w:cs="Arial"/>
                <w:i w:val="0"/>
                <w:iCs w:val="0"/>
                <w:color w:val="auto"/>
                <w:szCs w:val="20"/>
                <w:lang w:val="en-US"/>
              </w:rPr>
              <w:t>CPNDS</w:t>
            </w:r>
          </w:p>
        </w:tc>
        <w:tc>
          <w:tcPr>
            <w:tcW w:w="4531" w:type="dxa"/>
          </w:tcPr>
          <w:p w14:paraId="68250A2A" w14:textId="77777777" w:rsidR="00FD5A98" w:rsidRPr="004A0F74" w:rsidRDefault="00FD5A98" w:rsidP="00DF7C10">
            <w:pPr>
              <w:pStyle w:val="Beschriftung"/>
              <w:spacing w:before="0" w:after="0" w:line="480" w:lineRule="auto"/>
              <w:jc w:val="left"/>
              <w:rPr>
                <w:rFonts w:ascii="Arial" w:hAnsi="Arial" w:cs="Arial"/>
                <w:i w:val="0"/>
                <w:iCs w:val="0"/>
                <w:color w:val="auto"/>
                <w:szCs w:val="20"/>
                <w:lang w:val="en-US"/>
              </w:rPr>
            </w:pPr>
            <w:r w:rsidRPr="004A0F74">
              <w:rPr>
                <w:rFonts w:ascii="Arial" w:hAnsi="Arial" w:cs="Arial"/>
                <w:i w:val="0"/>
                <w:iCs w:val="0"/>
                <w:color w:val="auto"/>
                <w:szCs w:val="20"/>
                <w:lang w:val="en-US"/>
              </w:rPr>
              <w:t>Canadian Pharmacogenomics Network for Drug Safety</w:t>
            </w:r>
          </w:p>
        </w:tc>
      </w:tr>
      <w:tr w:rsidR="00FD5A98" w:rsidRPr="004A0F74" w14:paraId="22580D2C" w14:textId="77777777" w:rsidTr="00DF7C10">
        <w:tc>
          <w:tcPr>
            <w:tcW w:w="4531" w:type="dxa"/>
          </w:tcPr>
          <w:p w14:paraId="5C5017DF" w14:textId="77777777" w:rsidR="00FD5A98" w:rsidRPr="004A0F74" w:rsidRDefault="00FD5A98" w:rsidP="00DF7C10">
            <w:pPr>
              <w:pStyle w:val="Beschriftung"/>
              <w:spacing w:before="0" w:after="0" w:line="480" w:lineRule="auto"/>
              <w:jc w:val="left"/>
              <w:rPr>
                <w:rFonts w:ascii="Arial" w:hAnsi="Arial" w:cs="Arial"/>
                <w:i w:val="0"/>
                <w:iCs w:val="0"/>
                <w:color w:val="auto"/>
                <w:szCs w:val="20"/>
                <w:lang w:val="en-US"/>
              </w:rPr>
            </w:pPr>
            <w:proofErr w:type="spellStart"/>
            <w:r w:rsidRPr="004A0F74">
              <w:rPr>
                <w:rFonts w:ascii="Arial" w:hAnsi="Arial" w:cs="Arial"/>
                <w:i w:val="0"/>
                <w:iCs w:val="0"/>
                <w:color w:val="auto"/>
                <w:szCs w:val="20"/>
                <w:lang w:val="en-US"/>
              </w:rPr>
              <w:t>RNPGx</w:t>
            </w:r>
            <w:proofErr w:type="spellEnd"/>
          </w:p>
        </w:tc>
        <w:tc>
          <w:tcPr>
            <w:tcW w:w="4531" w:type="dxa"/>
          </w:tcPr>
          <w:p w14:paraId="07B0BD3A" w14:textId="77777777" w:rsidR="00FD5A98" w:rsidRPr="004A0F74" w:rsidRDefault="00FD5A98" w:rsidP="00DF7C10">
            <w:pPr>
              <w:pStyle w:val="Beschriftung"/>
              <w:spacing w:before="0" w:after="0" w:line="480" w:lineRule="auto"/>
              <w:jc w:val="left"/>
              <w:rPr>
                <w:rFonts w:ascii="Arial" w:hAnsi="Arial" w:cs="Arial"/>
                <w:i w:val="0"/>
                <w:iCs w:val="0"/>
                <w:color w:val="auto"/>
                <w:szCs w:val="20"/>
                <w:lang w:val="en-US"/>
              </w:rPr>
            </w:pPr>
            <w:r w:rsidRPr="004A0F74">
              <w:rPr>
                <w:rFonts w:ascii="Arial" w:hAnsi="Arial" w:cs="Arial"/>
                <w:i w:val="0"/>
                <w:iCs w:val="0"/>
                <w:color w:val="auto"/>
                <w:szCs w:val="20"/>
                <w:lang w:val="en-US"/>
              </w:rPr>
              <w:t>French National Network of Pharmacogenetics</w:t>
            </w:r>
          </w:p>
        </w:tc>
      </w:tr>
      <w:tr w:rsidR="00FD5A98" w:rsidRPr="004A0F74" w14:paraId="76614E51" w14:textId="77777777" w:rsidTr="00DF7C10">
        <w:tc>
          <w:tcPr>
            <w:tcW w:w="4531" w:type="dxa"/>
          </w:tcPr>
          <w:p w14:paraId="26FE262E" w14:textId="77777777" w:rsidR="00FD5A98" w:rsidRPr="004A0F74" w:rsidRDefault="00FD5A98" w:rsidP="00DF7C10">
            <w:pPr>
              <w:pStyle w:val="Beschriftung"/>
              <w:spacing w:before="0" w:after="0" w:line="480" w:lineRule="auto"/>
              <w:jc w:val="left"/>
              <w:rPr>
                <w:rFonts w:ascii="Arial" w:hAnsi="Arial" w:cs="Arial"/>
                <w:i w:val="0"/>
                <w:iCs w:val="0"/>
                <w:color w:val="auto"/>
                <w:szCs w:val="20"/>
                <w:lang w:val="en-US"/>
              </w:rPr>
            </w:pPr>
            <w:r w:rsidRPr="004A0F74">
              <w:rPr>
                <w:rFonts w:ascii="Arial" w:hAnsi="Arial" w:cs="Arial"/>
                <w:i w:val="0"/>
                <w:iCs w:val="0"/>
                <w:color w:val="auto"/>
                <w:szCs w:val="20"/>
                <w:lang w:val="en-US"/>
              </w:rPr>
              <w:t>SEFF</w:t>
            </w:r>
          </w:p>
        </w:tc>
        <w:tc>
          <w:tcPr>
            <w:tcW w:w="4531" w:type="dxa"/>
          </w:tcPr>
          <w:p w14:paraId="7F0B7A57" w14:textId="77777777" w:rsidR="00FD5A98" w:rsidRPr="004A0F74" w:rsidRDefault="00FD5A98" w:rsidP="00DF7C10">
            <w:pPr>
              <w:pStyle w:val="Beschriftung"/>
              <w:spacing w:before="0" w:after="0" w:line="480" w:lineRule="auto"/>
              <w:jc w:val="left"/>
              <w:rPr>
                <w:rFonts w:ascii="Arial" w:hAnsi="Arial" w:cs="Arial"/>
                <w:i w:val="0"/>
                <w:iCs w:val="0"/>
                <w:color w:val="auto"/>
                <w:szCs w:val="20"/>
                <w:lang w:val="en-US"/>
              </w:rPr>
            </w:pPr>
            <w:r w:rsidRPr="004A0F74">
              <w:rPr>
                <w:rFonts w:ascii="Arial" w:hAnsi="Arial" w:cs="Arial"/>
                <w:i w:val="0"/>
                <w:iCs w:val="0"/>
                <w:color w:val="auto"/>
                <w:szCs w:val="20"/>
                <w:lang w:val="en-US"/>
              </w:rPr>
              <w:t>Spanish Pharmacogenetics and Pharmacogenomics Society</w:t>
            </w:r>
          </w:p>
        </w:tc>
      </w:tr>
      <w:tr w:rsidR="00FD5A98" w:rsidRPr="004A0F74" w14:paraId="320BA3E8" w14:textId="77777777" w:rsidTr="00DF7C10">
        <w:tc>
          <w:tcPr>
            <w:tcW w:w="4531" w:type="dxa"/>
          </w:tcPr>
          <w:p w14:paraId="0E067D3A" w14:textId="77777777" w:rsidR="00FD5A98" w:rsidRPr="004A0F74" w:rsidRDefault="00FD5A98" w:rsidP="00DF7C10">
            <w:pPr>
              <w:pStyle w:val="Beschriftung"/>
              <w:spacing w:before="0" w:after="0" w:line="480" w:lineRule="auto"/>
              <w:jc w:val="left"/>
              <w:rPr>
                <w:rFonts w:ascii="Arial" w:hAnsi="Arial" w:cs="Arial"/>
                <w:i w:val="0"/>
                <w:iCs w:val="0"/>
                <w:color w:val="auto"/>
                <w:szCs w:val="20"/>
                <w:lang w:val="en-US"/>
              </w:rPr>
            </w:pPr>
            <w:r w:rsidRPr="004A0F74">
              <w:rPr>
                <w:rFonts w:ascii="Arial" w:hAnsi="Arial" w:cs="Arial"/>
                <w:i w:val="0"/>
                <w:iCs w:val="0"/>
                <w:color w:val="auto"/>
                <w:szCs w:val="20"/>
                <w:lang w:val="en-US"/>
              </w:rPr>
              <w:t>SEOM</w:t>
            </w:r>
          </w:p>
        </w:tc>
        <w:tc>
          <w:tcPr>
            <w:tcW w:w="4531" w:type="dxa"/>
          </w:tcPr>
          <w:p w14:paraId="29FEE107" w14:textId="77777777" w:rsidR="00FD5A98" w:rsidRPr="004A0F74" w:rsidRDefault="00FD5A98" w:rsidP="00DF7C10">
            <w:pPr>
              <w:pStyle w:val="Beschriftung"/>
              <w:spacing w:before="0" w:after="0" w:line="480" w:lineRule="auto"/>
              <w:jc w:val="left"/>
              <w:rPr>
                <w:rFonts w:ascii="Arial" w:hAnsi="Arial" w:cs="Arial"/>
                <w:i w:val="0"/>
                <w:iCs w:val="0"/>
                <w:color w:val="auto"/>
                <w:szCs w:val="20"/>
                <w:lang w:val="en-US"/>
              </w:rPr>
            </w:pPr>
            <w:r w:rsidRPr="004A0F74">
              <w:rPr>
                <w:rFonts w:ascii="Arial" w:hAnsi="Arial" w:cs="Arial"/>
                <w:i w:val="0"/>
                <w:iCs w:val="0"/>
                <w:color w:val="auto"/>
                <w:szCs w:val="20"/>
                <w:lang w:val="en-US"/>
              </w:rPr>
              <w:t>Spanish Society of Medical Oncology</w:t>
            </w:r>
          </w:p>
        </w:tc>
      </w:tr>
    </w:tbl>
    <w:p w14:paraId="039BD75F" w14:textId="77777777" w:rsidR="00FD5A98" w:rsidRPr="00D410D5" w:rsidRDefault="00FD5A98" w:rsidP="00FD5A98">
      <w:pPr>
        <w:pStyle w:val="Beschriftung"/>
        <w:spacing w:before="0" w:after="0" w:line="480" w:lineRule="auto"/>
        <w:jc w:val="left"/>
        <w:rPr>
          <w:rFonts w:ascii="Arial" w:hAnsi="Arial" w:cs="Arial"/>
          <w:i w:val="0"/>
          <w:iCs w:val="0"/>
          <w:color w:val="auto"/>
          <w:szCs w:val="20"/>
          <w:lang w:val="en-US"/>
        </w:rPr>
      </w:pPr>
      <w:r w:rsidRPr="00D410D5">
        <w:rPr>
          <w:rFonts w:ascii="Arial" w:hAnsi="Arial" w:cs="Arial"/>
          <w:b/>
          <w:bCs/>
          <w:i w:val="0"/>
          <w:iCs w:val="0"/>
          <w:color w:val="auto"/>
          <w:szCs w:val="20"/>
          <w:lang w:val="en-US"/>
        </w:rPr>
        <w:t xml:space="preserve">Notes: </w:t>
      </w:r>
      <w:r w:rsidRPr="00D410D5">
        <w:rPr>
          <w:rFonts w:ascii="Arial" w:hAnsi="Arial" w:cs="Arial"/>
          <w:i w:val="0"/>
          <w:iCs w:val="0"/>
          <w:color w:val="auto"/>
          <w:szCs w:val="20"/>
          <w:lang w:val="en-US"/>
        </w:rPr>
        <w:t xml:space="preserve">These are the working groups with PGx-based clinical guidelines used in Clinical Guideline Annotations by </w:t>
      </w:r>
      <w:proofErr w:type="spellStart"/>
      <w:r w:rsidRPr="00D410D5">
        <w:rPr>
          <w:rFonts w:ascii="Arial" w:hAnsi="Arial" w:cs="Arial"/>
          <w:i w:val="0"/>
          <w:iCs w:val="0"/>
          <w:color w:val="auto"/>
          <w:szCs w:val="20"/>
          <w:lang w:val="en-US"/>
        </w:rPr>
        <w:t>PharmGKB</w:t>
      </w:r>
      <w:proofErr w:type="spellEnd"/>
      <w:r w:rsidRPr="00D410D5">
        <w:rPr>
          <w:rFonts w:ascii="Arial" w:hAnsi="Arial" w:cs="Arial"/>
          <w:i w:val="0"/>
          <w:iCs w:val="0"/>
          <w:color w:val="auto"/>
          <w:szCs w:val="20"/>
          <w:lang w:val="en-US"/>
        </w:rPr>
        <w:t>, excluding CPIC and DPWG.</w:t>
      </w:r>
    </w:p>
    <w:p w14:paraId="0CA2140F" w14:textId="77777777" w:rsidR="00FD5A98" w:rsidRPr="004A0F74" w:rsidRDefault="00FD5A98" w:rsidP="00FD5A98">
      <w:pPr>
        <w:spacing w:line="480" w:lineRule="auto"/>
        <w:rPr>
          <w:rFonts w:ascii="Arial" w:hAnsi="Arial" w:cs="Arial"/>
          <w:sz w:val="20"/>
          <w:szCs w:val="20"/>
          <w:lang w:val="en-US"/>
        </w:rPr>
      </w:pPr>
    </w:p>
    <w:p w14:paraId="40E82DEF" w14:textId="77777777" w:rsidR="00FD5A98" w:rsidRPr="00D410D5" w:rsidRDefault="00FD5A98" w:rsidP="00FD5A98">
      <w:pPr>
        <w:pStyle w:val="Beschriftung"/>
        <w:spacing w:before="0" w:after="0" w:line="480" w:lineRule="auto"/>
        <w:jc w:val="left"/>
        <w:rPr>
          <w:rFonts w:ascii="Arial" w:hAnsi="Arial" w:cs="Arial"/>
          <w:i w:val="0"/>
          <w:iCs w:val="0"/>
          <w:color w:val="auto"/>
          <w:szCs w:val="20"/>
          <w:lang w:val="en-US"/>
        </w:rPr>
      </w:pPr>
      <w:bookmarkStart w:id="2" w:name="_Toc199349005"/>
      <w:r w:rsidRPr="00D410D5">
        <w:rPr>
          <w:rFonts w:ascii="Arial" w:hAnsi="Arial" w:cs="Arial"/>
          <w:i w:val="0"/>
          <w:iCs w:val="0"/>
          <w:color w:val="auto"/>
          <w:szCs w:val="20"/>
          <w:lang w:val="en-US"/>
        </w:rPr>
        <w:t xml:space="preserve">Appendix Table </w:t>
      </w:r>
      <w:r w:rsidRPr="00D410D5">
        <w:rPr>
          <w:rFonts w:ascii="Arial" w:hAnsi="Arial" w:cs="Arial"/>
          <w:i w:val="0"/>
          <w:iCs w:val="0"/>
          <w:color w:val="auto"/>
          <w:szCs w:val="20"/>
          <w:lang w:val="en-US"/>
        </w:rPr>
        <w:fldChar w:fldCharType="begin"/>
      </w:r>
      <w:r w:rsidRPr="00D410D5">
        <w:rPr>
          <w:rFonts w:ascii="Arial" w:hAnsi="Arial" w:cs="Arial"/>
          <w:i w:val="0"/>
          <w:iCs w:val="0"/>
          <w:color w:val="auto"/>
          <w:szCs w:val="20"/>
          <w:lang w:val="en-US"/>
        </w:rPr>
        <w:instrText xml:space="preserve"> SEQ Appendix_Table \* ARABIC </w:instrText>
      </w:r>
      <w:r w:rsidRPr="00D410D5">
        <w:rPr>
          <w:rFonts w:ascii="Arial" w:hAnsi="Arial" w:cs="Arial"/>
          <w:i w:val="0"/>
          <w:iCs w:val="0"/>
          <w:color w:val="auto"/>
          <w:szCs w:val="20"/>
          <w:lang w:val="en-US"/>
        </w:rPr>
        <w:fldChar w:fldCharType="separate"/>
      </w:r>
      <w:r w:rsidRPr="00D410D5">
        <w:rPr>
          <w:rFonts w:ascii="Arial" w:hAnsi="Arial" w:cs="Arial"/>
          <w:i w:val="0"/>
          <w:iCs w:val="0"/>
          <w:noProof/>
          <w:color w:val="auto"/>
          <w:szCs w:val="20"/>
          <w:lang w:val="en-US"/>
        </w:rPr>
        <w:t>2</w:t>
      </w:r>
      <w:r w:rsidRPr="00D410D5">
        <w:rPr>
          <w:rFonts w:ascii="Arial" w:hAnsi="Arial" w:cs="Arial"/>
          <w:i w:val="0"/>
          <w:iCs w:val="0"/>
          <w:color w:val="auto"/>
          <w:szCs w:val="20"/>
          <w:lang w:val="en-US"/>
        </w:rPr>
        <w:fldChar w:fldCharType="end"/>
      </w:r>
      <w:r w:rsidRPr="00D410D5">
        <w:rPr>
          <w:rFonts w:ascii="Arial" w:hAnsi="Arial" w:cs="Arial"/>
          <w:i w:val="0"/>
          <w:iCs w:val="0"/>
          <w:color w:val="auto"/>
          <w:szCs w:val="20"/>
          <w:lang w:val="en-US"/>
        </w:rPr>
        <w:t>: ATC codes of PGx Substrates, Inhibitors, and Inducers, by Enzyme, Strength, and Systemic resp. Topical Administration</w:t>
      </w:r>
      <w:bookmarkEnd w:id="2"/>
    </w:p>
    <w:tbl>
      <w:tblPr>
        <w:tblStyle w:val="Tabellenraster"/>
        <w:tblW w:w="0" w:type="auto"/>
        <w:tblInd w:w="10" w:type="dxa"/>
        <w:tblLook w:val="04A0" w:firstRow="1" w:lastRow="0" w:firstColumn="1" w:lastColumn="0" w:noHBand="0" w:noVBand="1"/>
      </w:tblPr>
      <w:tblGrid>
        <w:gridCol w:w="1064"/>
        <w:gridCol w:w="1341"/>
        <w:gridCol w:w="1266"/>
        <w:gridCol w:w="5381"/>
      </w:tblGrid>
      <w:tr w:rsidR="00FD5A98" w:rsidRPr="004A0F74" w14:paraId="0ED37DA5" w14:textId="77777777" w:rsidTr="00DF7C10">
        <w:tc>
          <w:tcPr>
            <w:tcW w:w="1064" w:type="dxa"/>
            <w:vAlign w:val="center"/>
          </w:tcPr>
          <w:p w14:paraId="2637034A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4A0F7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Enzyme</w:t>
            </w:r>
          </w:p>
        </w:tc>
        <w:tc>
          <w:tcPr>
            <w:tcW w:w="1341" w:type="dxa"/>
            <w:vAlign w:val="center"/>
          </w:tcPr>
          <w:p w14:paraId="27860314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4A0F7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Category</w:t>
            </w:r>
          </w:p>
        </w:tc>
        <w:tc>
          <w:tcPr>
            <w:tcW w:w="1266" w:type="dxa"/>
            <w:vAlign w:val="center"/>
          </w:tcPr>
          <w:p w14:paraId="5B30DDE5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4A0F7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Division</w:t>
            </w:r>
          </w:p>
        </w:tc>
        <w:tc>
          <w:tcPr>
            <w:tcW w:w="5381" w:type="dxa"/>
            <w:vAlign w:val="center"/>
          </w:tcPr>
          <w:p w14:paraId="7CBD8CE7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4A0F7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ATC Codes</w:t>
            </w:r>
          </w:p>
        </w:tc>
      </w:tr>
      <w:tr w:rsidR="00FD5A98" w:rsidRPr="004A0F74" w14:paraId="1CECBF0C" w14:textId="77777777" w:rsidTr="00DF7C10">
        <w:tc>
          <w:tcPr>
            <w:tcW w:w="1064" w:type="dxa"/>
            <w:vMerge w:val="restart"/>
            <w:vAlign w:val="center"/>
          </w:tcPr>
          <w:p w14:paraId="6287E301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4A0F7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OATP1B1</w:t>
            </w:r>
          </w:p>
        </w:tc>
        <w:tc>
          <w:tcPr>
            <w:tcW w:w="1341" w:type="dxa"/>
            <w:vMerge w:val="restart"/>
            <w:vAlign w:val="center"/>
          </w:tcPr>
          <w:p w14:paraId="121C82D2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4A0F7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PGx substrate</w:t>
            </w:r>
          </w:p>
        </w:tc>
        <w:tc>
          <w:tcPr>
            <w:tcW w:w="1266" w:type="dxa"/>
          </w:tcPr>
          <w:p w14:paraId="6AD36384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Total</w:t>
            </w:r>
          </w:p>
        </w:tc>
        <w:tc>
          <w:tcPr>
            <w:tcW w:w="5381" w:type="dxa"/>
          </w:tcPr>
          <w:p w14:paraId="4A9DA5C1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‘C10BA05’, ‘C10BX11</w:t>
            </w:r>
            <w:proofErr w:type="gramStart"/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’, ‘</w:t>
            </w:r>
            <w:proofErr w:type="gramEnd"/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C10AA05’, ‘C10BX03’, ‘C10AA04’, ‘C10AA08’, ‘C10AA03’, ‘C10AA07’, ‘C10BA06’, ‘C10AA01’, ‘C10BA02’, ‘C10BA04’</w:t>
            </w:r>
          </w:p>
        </w:tc>
      </w:tr>
      <w:tr w:rsidR="00FD5A98" w:rsidRPr="004A0F74" w14:paraId="53D8BEDD" w14:textId="77777777" w:rsidTr="00DF7C10">
        <w:tc>
          <w:tcPr>
            <w:tcW w:w="1064" w:type="dxa"/>
            <w:vMerge/>
            <w:vAlign w:val="center"/>
          </w:tcPr>
          <w:p w14:paraId="4169F258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341" w:type="dxa"/>
            <w:vMerge/>
            <w:vAlign w:val="center"/>
          </w:tcPr>
          <w:p w14:paraId="188302A5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66" w:type="dxa"/>
          </w:tcPr>
          <w:p w14:paraId="75094443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Systemic</w:t>
            </w:r>
          </w:p>
        </w:tc>
        <w:tc>
          <w:tcPr>
            <w:tcW w:w="5381" w:type="dxa"/>
          </w:tcPr>
          <w:p w14:paraId="7F8CB3C0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‘C10BA05’, ‘C10BX11</w:t>
            </w:r>
            <w:proofErr w:type="gramStart"/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’, ‘</w:t>
            </w:r>
            <w:proofErr w:type="gramEnd"/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C10AA05’, ‘C10BX03’, ‘C10AA04’, ‘C10AA08’, ‘C10AA03’, ‘C10AA07’, ‘C10BA06’, ‘C10AA01’, ‘C10BA02’, ‘C10BA04’</w:t>
            </w:r>
          </w:p>
        </w:tc>
      </w:tr>
      <w:tr w:rsidR="00FD5A98" w:rsidRPr="004A0F74" w14:paraId="50F777B9" w14:textId="77777777" w:rsidTr="00DF7C10">
        <w:tc>
          <w:tcPr>
            <w:tcW w:w="1064" w:type="dxa"/>
            <w:vMerge/>
            <w:vAlign w:val="center"/>
          </w:tcPr>
          <w:p w14:paraId="3D1F16B3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341" w:type="dxa"/>
            <w:vMerge/>
            <w:vAlign w:val="center"/>
          </w:tcPr>
          <w:p w14:paraId="6CB6B8E0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66" w:type="dxa"/>
          </w:tcPr>
          <w:p w14:paraId="38DF6023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Topic</w:t>
            </w:r>
          </w:p>
        </w:tc>
        <w:tc>
          <w:tcPr>
            <w:tcW w:w="5381" w:type="dxa"/>
          </w:tcPr>
          <w:p w14:paraId="6C77F4CE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-</w:t>
            </w:r>
          </w:p>
        </w:tc>
      </w:tr>
      <w:tr w:rsidR="00FD5A98" w:rsidRPr="004A0F74" w14:paraId="7D362663" w14:textId="77777777" w:rsidTr="00DF7C10">
        <w:trPr>
          <w:trHeight w:val="310"/>
        </w:trPr>
        <w:tc>
          <w:tcPr>
            <w:tcW w:w="1064" w:type="dxa"/>
            <w:vMerge/>
            <w:vAlign w:val="center"/>
          </w:tcPr>
          <w:p w14:paraId="40B8DBD5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341" w:type="dxa"/>
            <w:vMerge w:val="restart"/>
            <w:vAlign w:val="center"/>
          </w:tcPr>
          <w:p w14:paraId="0ED65C3D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4A0F7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Inhibitor</w:t>
            </w:r>
          </w:p>
        </w:tc>
        <w:tc>
          <w:tcPr>
            <w:tcW w:w="1266" w:type="dxa"/>
          </w:tcPr>
          <w:p w14:paraId="509D4C2D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Total</w:t>
            </w:r>
          </w:p>
        </w:tc>
        <w:tc>
          <w:tcPr>
            <w:tcW w:w="5381" w:type="dxa"/>
          </w:tcPr>
          <w:p w14:paraId="3D804725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‘J05AE08’, ‘J05AE30</w:t>
            </w:r>
            <w:proofErr w:type="gramStart"/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’, ‘</w:t>
            </w:r>
            <w:proofErr w:type="gramEnd"/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J01FA09’, ‘S01XA18’, ‘L04AD01’, ‘L02BB06’, ‘B02BX05’, ‘C10AB04’, ‘J05AR10’, ‘J04AB02’, ‘J04AM05’, ‘J04AM02’, ‘J04AM06’, ‘J05AP55’, ‘J05AP56’, ‘L04AK02’</w:t>
            </w:r>
          </w:p>
        </w:tc>
      </w:tr>
      <w:tr w:rsidR="00FD5A98" w:rsidRPr="004A0F74" w14:paraId="5EC9A86A" w14:textId="77777777" w:rsidTr="00DF7C10">
        <w:tc>
          <w:tcPr>
            <w:tcW w:w="1064" w:type="dxa"/>
            <w:vMerge/>
            <w:vAlign w:val="center"/>
          </w:tcPr>
          <w:p w14:paraId="216B9CE7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341" w:type="dxa"/>
            <w:vMerge/>
            <w:vAlign w:val="center"/>
          </w:tcPr>
          <w:p w14:paraId="386F03FD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66" w:type="dxa"/>
          </w:tcPr>
          <w:p w14:paraId="15F8D1FC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Systemic</w:t>
            </w:r>
          </w:p>
        </w:tc>
        <w:tc>
          <w:tcPr>
            <w:tcW w:w="5381" w:type="dxa"/>
          </w:tcPr>
          <w:p w14:paraId="059C788F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J05AE08</w:t>
            </w:r>
            <w:proofErr w:type="gramStart"/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’, ‘</w:t>
            </w:r>
            <w:proofErr w:type="gramEnd"/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 xml:space="preserve">J05AE30’, ‘J01FA09’, ‘L04AD01’, ‘L02BB06’, ‘B02BX05’, ‘C10AB04’, ‘J05AR10’, ‘J04AB02’, J04AM05’, ‘J04AM02’, ‘J04AM06’, </w:t>
            </w:r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‘J05AP55’, ‘J05AP56’, ‘L04AK02’</w:t>
            </w:r>
          </w:p>
        </w:tc>
      </w:tr>
      <w:tr w:rsidR="00FD5A98" w:rsidRPr="004A0F74" w14:paraId="213E2AF0" w14:textId="77777777" w:rsidTr="00DF7C10">
        <w:trPr>
          <w:trHeight w:val="334"/>
        </w:trPr>
        <w:tc>
          <w:tcPr>
            <w:tcW w:w="1064" w:type="dxa"/>
            <w:vMerge/>
            <w:vAlign w:val="center"/>
          </w:tcPr>
          <w:p w14:paraId="794ED9A0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341" w:type="dxa"/>
            <w:vMerge/>
            <w:vAlign w:val="center"/>
          </w:tcPr>
          <w:p w14:paraId="60FFB746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66" w:type="dxa"/>
          </w:tcPr>
          <w:p w14:paraId="4D26E4DA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Topic</w:t>
            </w:r>
          </w:p>
        </w:tc>
        <w:tc>
          <w:tcPr>
            <w:tcW w:w="5381" w:type="dxa"/>
          </w:tcPr>
          <w:p w14:paraId="682652AA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‘S01XA18’</w:t>
            </w:r>
          </w:p>
        </w:tc>
      </w:tr>
      <w:tr w:rsidR="00FD5A98" w:rsidRPr="004A0F74" w14:paraId="0FB23D00" w14:textId="77777777" w:rsidTr="00DF7C10">
        <w:trPr>
          <w:trHeight w:val="334"/>
        </w:trPr>
        <w:tc>
          <w:tcPr>
            <w:tcW w:w="1064" w:type="dxa"/>
            <w:vMerge w:val="restart"/>
            <w:vAlign w:val="center"/>
          </w:tcPr>
          <w:p w14:paraId="6901F13B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4A0F7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BCRP</w:t>
            </w:r>
          </w:p>
        </w:tc>
        <w:tc>
          <w:tcPr>
            <w:tcW w:w="1341" w:type="dxa"/>
            <w:vMerge w:val="restart"/>
            <w:vAlign w:val="center"/>
          </w:tcPr>
          <w:p w14:paraId="0A905F8B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4A0F7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PGx substrate</w:t>
            </w:r>
          </w:p>
        </w:tc>
        <w:tc>
          <w:tcPr>
            <w:tcW w:w="1266" w:type="dxa"/>
          </w:tcPr>
          <w:p w14:paraId="5FAE1BAE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Total</w:t>
            </w:r>
          </w:p>
        </w:tc>
        <w:tc>
          <w:tcPr>
            <w:tcW w:w="5381" w:type="dxa"/>
          </w:tcPr>
          <w:p w14:paraId="3568C74A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‘M04AA01’, ‘C10AA07</w:t>
            </w:r>
            <w:proofErr w:type="gramStart"/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’, ‘</w:t>
            </w:r>
            <w:proofErr w:type="gramEnd"/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C10BA06’, ‘C10BA05’</w:t>
            </w:r>
          </w:p>
        </w:tc>
      </w:tr>
      <w:tr w:rsidR="00FD5A98" w:rsidRPr="004A0F74" w14:paraId="28C18CB0" w14:textId="77777777" w:rsidTr="00DF7C10">
        <w:trPr>
          <w:trHeight w:val="334"/>
        </w:trPr>
        <w:tc>
          <w:tcPr>
            <w:tcW w:w="1064" w:type="dxa"/>
            <w:vMerge/>
            <w:vAlign w:val="center"/>
          </w:tcPr>
          <w:p w14:paraId="43DAD7AE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341" w:type="dxa"/>
            <w:vMerge/>
            <w:vAlign w:val="center"/>
          </w:tcPr>
          <w:p w14:paraId="3D910E45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66" w:type="dxa"/>
          </w:tcPr>
          <w:p w14:paraId="00DD41AA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Systemic</w:t>
            </w:r>
          </w:p>
        </w:tc>
        <w:tc>
          <w:tcPr>
            <w:tcW w:w="5381" w:type="dxa"/>
          </w:tcPr>
          <w:p w14:paraId="432CCD02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‘M04AA01’, ‘C10AA07</w:t>
            </w:r>
            <w:proofErr w:type="gramStart"/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’, ‘</w:t>
            </w:r>
            <w:proofErr w:type="gramEnd"/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C10BA06’, ‘C10BA05’</w:t>
            </w:r>
          </w:p>
        </w:tc>
      </w:tr>
      <w:tr w:rsidR="00FD5A98" w:rsidRPr="004A0F74" w14:paraId="40D00547" w14:textId="77777777" w:rsidTr="00DF7C10">
        <w:trPr>
          <w:trHeight w:val="334"/>
        </w:trPr>
        <w:tc>
          <w:tcPr>
            <w:tcW w:w="1064" w:type="dxa"/>
            <w:vMerge/>
            <w:vAlign w:val="center"/>
          </w:tcPr>
          <w:p w14:paraId="243EFB67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341" w:type="dxa"/>
            <w:vMerge/>
            <w:vAlign w:val="center"/>
          </w:tcPr>
          <w:p w14:paraId="1F3F727D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66" w:type="dxa"/>
          </w:tcPr>
          <w:p w14:paraId="6017F79B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Topic</w:t>
            </w:r>
          </w:p>
        </w:tc>
        <w:tc>
          <w:tcPr>
            <w:tcW w:w="5381" w:type="dxa"/>
          </w:tcPr>
          <w:p w14:paraId="1282D91E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-</w:t>
            </w:r>
          </w:p>
        </w:tc>
      </w:tr>
      <w:tr w:rsidR="00FD5A98" w:rsidRPr="004A0F74" w14:paraId="1B6DF780" w14:textId="77777777" w:rsidTr="00DF7C10">
        <w:trPr>
          <w:trHeight w:val="334"/>
        </w:trPr>
        <w:tc>
          <w:tcPr>
            <w:tcW w:w="1064" w:type="dxa"/>
            <w:vMerge/>
            <w:vAlign w:val="center"/>
          </w:tcPr>
          <w:p w14:paraId="0767432C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341" w:type="dxa"/>
            <w:vMerge w:val="restart"/>
            <w:vAlign w:val="center"/>
          </w:tcPr>
          <w:p w14:paraId="1F88A250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4A0F7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Inhibitor</w:t>
            </w:r>
          </w:p>
        </w:tc>
        <w:tc>
          <w:tcPr>
            <w:tcW w:w="1266" w:type="dxa"/>
          </w:tcPr>
          <w:p w14:paraId="57C79ACC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Total</w:t>
            </w:r>
          </w:p>
        </w:tc>
        <w:tc>
          <w:tcPr>
            <w:tcW w:w="5381" w:type="dxa"/>
          </w:tcPr>
          <w:p w14:paraId="1F8A65BE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‘L04AD01’, ‘S01XA18</w:t>
            </w:r>
            <w:proofErr w:type="gramStart"/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’, ‘</w:t>
            </w:r>
            <w:proofErr w:type="gramEnd"/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L02BB06’, ‘B02BX05’, ‘M04AA03’, ‘J05AP56’, ‘L04AK02’</w:t>
            </w:r>
          </w:p>
        </w:tc>
      </w:tr>
      <w:tr w:rsidR="00FD5A98" w:rsidRPr="004A0F74" w14:paraId="2058B50B" w14:textId="77777777" w:rsidTr="00DF7C10">
        <w:trPr>
          <w:trHeight w:val="334"/>
        </w:trPr>
        <w:tc>
          <w:tcPr>
            <w:tcW w:w="1064" w:type="dxa"/>
            <w:vMerge/>
          </w:tcPr>
          <w:p w14:paraId="64BCBC4B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341" w:type="dxa"/>
            <w:vMerge/>
          </w:tcPr>
          <w:p w14:paraId="37907E6F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66" w:type="dxa"/>
          </w:tcPr>
          <w:p w14:paraId="3D4F4576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Systemic</w:t>
            </w:r>
          </w:p>
        </w:tc>
        <w:tc>
          <w:tcPr>
            <w:tcW w:w="5381" w:type="dxa"/>
          </w:tcPr>
          <w:p w14:paraId="2528913E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‘L04AD01’, ‘L02BB06</w:t>
            </w:r>
            <w:proofErr w:type="gramStart"/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’, ‘</w:t>
            </w:r>
            <w:proofErr w:type="gramEnd"/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B02BX05’, ‘M04AA03’, ‘J05AP56’, ‘L04AK02’</w:t>
            </w:r>
          </w:p>
        </w:tc>
      </w:tr>
      <w:tr w:rsidR="00FD5A98" w:rsidRPr="004A0F74" w14:paraId="0C930936" w14:textId="77777777" w:rsidTr="00DF7C10">
        <w:trPr>
          <w:trHeight w:val="334"/>
        </w:trPr>
        <w:tc>
          <w:tcPr>
            <w:tcW w:w="1064" w:type="dxa"/>
            <w:vMerge/>
          </w:tcPr>
          <w:p w14:paraId="06261F59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341" w:type="dxa"/>
            <w:vMerge/>
          </w:tcPr>
          <w:p w14:paraId="7F8D3D38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66" w:type="dxa"/>
          </w:tcPr>
          <w:p w14:paraId="68728DC5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Topic</w:t>
            </w:r>
          </w:p>
        </w:tc>
        <w:tc>
          <w:tcPr>
            <w:tcW w:w="5381" w:type="dxa"/>
          </w:tcPr>
          <w:p w14:paraId="0DB5A54C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‘S01XA18’</w:t>
            </w:r>
          </w:p>
        </w:tc>
      </w:tr>
      <w:tr w:rsidR="00FD5A98" w:rsidRPr="004A0F74" w14:paraId="4E5C84F8" w14:textId="77777777" w:rsidTr="00DF7C10">
        <w:tc>
          <w:tcPr>
            <w:tcW w:w="1064" w:type="dxa"/>
            <w:vMerge w:val="restart"/>
            <w:vAlign w:val="center"/>
          </w:tcPr>
          <w:p w14:paraId="7FD523B8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4A0F7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CYP2B6</w:t>
            </w:r>
          </w:p>
        </w:tc>
        <w:tc>
          <w:tcPr>
            <w:tcW w:w="1341" w:type="dxa"/>
            <w:vMerge w:val="restart"/>
            <w:vAlign w:val="center"/>
          </w:tcPr>
          <w:p w14:paraId="2EC85882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4A0F7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PGx substrate</w:t>
            </w:r>
          </w:p>
        </w:tc>
        <w:tc>
          <w:tcPr>
            <w:tcW w:w="1266" w:type="dxa"/>
          </w:tcPr>
          <w:p w14:paraId="56F84712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Total</w:t>
            </w:r>
          </w:p>
        </w:tc>
        <w:tc>
          <w:tcPr>
            <w:tcW w:w="5381" w:type="dxa"/>
          </w:tcPr>
          <w:p w14:paraId="0DCB6132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‘J05AG03’, ‘J05AR06</w:t>
            </w:r>
            <w:proofErr w:type="gramStart"/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’, ‘</w:t>
            </w:r>
            <w:proofErr w:type="gramEnd"/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N06AB06’</w:t>
            </w:r>
          </w:p>
        </w:tc>
      </w:tr>
      <w:tr w:rsidR="00FD5A98" w:rsidRPr="004A0F74" w14:paraId="68B0B4F3" w14:textId="77777777" w:rsidTr="00DF7C10">
        <w:tc>
          <w:tcPr>
            <w:tcW w:w="1064" w:type="dxa"/>
            <w:vMerge/>
            <w:vAlign w:val="center"/>
          </w:tcPr>
          <w:p w14:paraId="4E65F4B6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341" w:type="dxa"/>
            <w:vMerge/>
            <w:vAlign w:val="center"/>
          </w:tcPr>
          <w:p w14:paraId="3869C30F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66" w:type="dxa"/>
          </w:tcPr>
          <w:p w14:paraId="4C6CE13A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Systemic</w:t>
            </w:r>
          </w:p>
        </w:tc>
        <w:tc>
          <w:tcPr>
            <w:tcW w:w="5381" w:type="dxa"/>
          </w:tcPr>
          <w:p w14:paraId="0809528E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‘J05AG03’, ‘J05AR06</w:t>
            </w:r>
            <w:proofErr w:type="gramStart"/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’, ‘</w:t>
            </w:r>
            <w:proofErr w:type="gramEnd"/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N06AB06’</w:t>
            </w:r>
          </w:p>
        </w:tc>
      </w:tr>
      <w:tr w:rsidR="00FD5A98" w:rsidRPr="004A0F74" w14:paraId="4CB7F3EF" w14:textId="77777777" w:rsidTr="00DF7C10">
        <w:tc>
          <w:tcPr>
            <w:tcW w:w="1064" w:type="dxa"/>
            <w:vMerge/>
            <w:vAlign w:val="center"/>
          </w:tcPr>
          <w:p w14:paraId="5E1AC44A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341" w:type="dxa"/>
            <w:vMerge/>
            <w:vAlign w:val="center"/>
          </w:tcPr>
          <w:p w14:paraId="43E927F2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66" w:type="dxa"/>
          </w:tcPr>
          <w:p w14:paraId="62AE3951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Topic</w:t>
            </w:r>
          </w:p>
        </w:tc>
        <w:tc>
          <w:tcPr>
            <w:tcW w:w="5381" w:type="dxa"/>
          </w:tcPr>
          <w:p w14:paraId="50D9C06D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-</w:t>
            </w:r>
          </w:p>
        </w:tc>
      </w:tr>
      <w:tr w:rsidR="00FD5A98" w:rsidRPr="0094676B" w14:paraId="1D928E15" w14:textId="77777777" w:rsidTr="00DF7C10">
        <w:tc>
          <w:tcPr>
            <w:tcW w:w="1064" w:type="dxa"/>
            <w:vMerge/>
            <w:vAlign w:val="center"/>
          </w:tcPr>
          <w:p w14:paraId="4815E59A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341" w:type="dxa"/>
            <w:vMerge w:val="restart"/>
            <w:vAlign w:val="center"/>
          </w:tcPr>
          <w:p w14:paraId="0B160D41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4A0F7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Inhibitor</w:t>
            </w:r>
          </w:p>
        </w:tc>
        <w:tc>
          <w:tcPr>
            <w:tcW w:w="1266" w:type="dxa"/>
          </w:tcPr>
          <w:p w14:paraId="680734F4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Total</w:t>
            </w:r>
          </w:p>
        </w:tc>
        <w:tc>
          <w:tcPr>
            <w:tcW w:w="5381" w:type="dxa"/>
          </w:tcPr>
          <w:p w14:paraId="77875346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de-CH"/>
              </w:rPr>
            </w:pPr>
            <w:r w:rsidRPr="004A0F74">
              <w:rPr>
                <w:rFonts w:ascii="Arial" w:hAnsi="Arial" w:cs="Arial"/>
                <w:sz w:val="16"/>
                <w:szCs w:val="16"/>
                <w:lang w:val="de-CH"/>
              </w:rPr>
              <w:t>‘B01AC04’, ‘J05AG03’, ‘J05AR06’, ‘B01AC22’, ‘N06AB06’, ‘L01AC01’, ‘J02AC03’</w:t>
            </w:r>
          </w:p>
        </w:tc>
      </w:tr>
      <w:tr w:rsidR="00FD5A98" w:rsidRPr="004A0F74" w14:paraId="64265AE1" w14:textId="77777777" w:rsidTr="00DF7C10">
        <w:tc>
          <w:tcPr>
            <w:tcW w:w="1064" w:type="dxa"/>
            <w:vMerge/>
            <w:vAlign w:val="center"/>
          </w:tcPr>
          <w:p w14:paraId="1A61739A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</w:pPr>
          </w:p>
        </w:tc>
        <w:tc>
          <w:tcPr>
            <w:tcW w:w="1341" w:type="dxa"/>
            <w:vMerge/>
            <w:vAlign w:val="center"/>
          </w:tcPr>
          <w:p w14:paraId="279CA8B9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</w:pPr>
          </w:p>
        </w:tc>
        <w:tc>
          <w:tcPr>
            <w:tcW w:w="1266" w:type="dxa"/>
          </w:tcPr>
          <w:p w14:paraId="40018983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Strong</w:t>
            </w:r>
          </w:p>
        </w:tc>
        <w:tc>
          <w:tcPr>
            <w:tcW w:w="5381" w:type="dxa"/>
          </w:tcPr>
          <w:p w14:paraId="16054B4C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‘J02AC03’</w:t>
            </w:r>
          </w:p>
        </w:tc>
      </w:tr>
      <w:tr w:rsidR="00FD5A98" w:rsidRPr="0094676B" w14:paraId="6E968962" w14:textId="77777777" w:rsidTr="00DF7C10">
        <w:tc>
          <w:tcPr>
            <w:tcW w:w="1064" w:type="dxa"/>
            <w:vMerge/>
            <w:vAlign w:val="center"/>
          </w:tcPr>
          <w:p w14:paraId="2E795363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341" w:type="dxa"/>
            <w:vMerge/>
            <w:vAlign w:val="center"/>
          </w:tcPr>
          <w:p w14:paraId="7F80DB25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66" w:type="dxa"/>
          </w:tcPr>
          <w:p w14:paraId="0D642703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5381" w:type="dxa"/>
          </w:tcPr>
          <w:p w14:paraId="56394846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de-CH"/>
              </w:rPr>
            </w:pPr>
            <w:r w:rsidRPr="004A0F74">
              <w:rPr>
                <w:rFonts w:ascii="Arial" w:hAnsi="Arial" w:cs="Arial"/>
                <w:sz w:val="16"/>
                <w:szCs w:val="16"/>
                <w:lang w:val="de-CH"/>
              </w:rPr>
              <w:t>‘B01AC04’, ‘J05AG03’, ‘J05AR06’, ‘B01AC22’, ‘N06AB06’</w:t>
            </w:r>
          </w:p>
        </w:tc>
      </w:tr>
      <w:tr w:rsidR="00FD5A98" w:rsidRPr="004A0F74" w14:paraId="7B460C87" w14:textId="77777777" w:rsidTr="00DF7C10">
        <w:tc>
          <w:tcPr>
            <w:tcW w:w="1064" w:type="dxa"/>
            <w:vMerge/>
            <w:vAlign w:val="center"/>
          </w:tcPr>
          <w:p w14:paraId="20215A48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</w:pPr>
          </w:p>
        </w:tc>
        <w:tc>
          <w:tcPr>
            <w:tcW w:w="1341" w:type="dxa"/>
            <w:vMerge/>
            <w:vAlign w:val="center"/>
          </w:tcPr>
          <w:p w14:paraId="3A91425D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</w:pPr>
          </w:p>
        </w:tc>
        <w:tc>
          <w:tcPr>
            <w:tcW w:w="1266" w:type="dxa"/>
          </w:tcPr>
          <w:p w14:paraId="71ABCB30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Weak</w:t>
            </w:r>
          </w:p>
        </w:tc>
        <w:tc>
          <w:tcPr>
            <w:tcW w:w="5381" w:type="dxa"/>
          </w:tcPr>
          <w:p w14:paraId="669EF5BC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‘L01AC01’</w:t>
            </w:r>
          </w:p>
        </w:tc>
      </w:tr>
      <w:tr w:rsidR="00FD5A98" w:rsidRPr="0094676B" w14:paraId="0A93B614" w14:textId="77777777" w:rsidTr="00DF7C10">
        <w:tc>
          <w:tcPr>
            <w:tcW w:w="1064" w:type="dxa"/>
            <w:vMerge/>
            <w:vAlign w:val="center"/>
          </w:tcPr>
          <w:p w14:paraId="495B9213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341" w:type="dxa"/>
            <w:vMerge/>
            <w:vAlign w:val="center"/>
          </w:tcPr>
          <w:p w14:paraId="58FFC6A1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66" w:type="dxa"/>
          </w:tcPr>
          <w:p w14:paraId="6774059F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Systemic</w:t>
            </w:r>
          </w:p>
        </w:tc>
        <w:tc>
          <w:tcPr>
            <w:tcW w:w="5381" w:type="dxa"/>
          </w:tcPr>
          <w:p w14:paraId="69089D9E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de-CH"/>
              </w:rPr>
            </w:pPr>
            <w:r w:rsidRPr="004A0F74">
              <w:rPr>
                <w:rFonts w:ascii="Arial" w:hAnsi="Arial" w:cs="Arial"/>
                <w:sz w:val="16"/>
                <w:szCs w:val="16"/>
                <w:lang w:val="de-CH"/>
              </w:rPr>
              <w:t>‘B01AC04’, ‘J05AG03’, ‘J05AR06’, ‘B01AC22’, ‘N06AB06’, ‘L01AC01’, ‘J02AC03’</w:t>
            </w:r>
          </w:p>
        </w:tc>
      </w:tr>
      <w:tr w:rsidR="00FD5A98" w:rsidRPr="004A0F74" w14:paraId="5E182519" w14:textId="77777777" w:rsidTr="00DF7C10">
        <w:trPr>
          <w:trHeight w:val="269"/>
        </w:trPr>
        <w:tc>
          <w:tcPr>
            <w:tcW w:w="1064" w:type="dxa"/>
            <w:vMerge/>
            <w:vAlign w:val="center"/>
          </w:tcPr>
          <w:p w14:paraId="5FBCE485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</w:pPr>
          </w:p>
        </w:tc>
        <w:tc>
          <w:tcPr>
            <w:tcW w:w="1341" w:type="dxa"/>
            <w:vMerge/>
            <w:vAlign w:val="center"/>
          </w:tcPr>
          <w:p w14:paraId="6C97B88D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</w:pPr>
          </w:p>
        </w:tc>
        <w:tc>
          <w:tcPr>
            <w:tcW w:w="1266" w:type="dxa"/>
          </w:tcPr>
          <w:p w14:paraId="138FEB31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Topic</w:t>
            </w:r>
          </w:p>
        </w:tc>
        <w:tc>
          <w:tcPr>
            <w:tcW w:w="5381" w:type="dxa"/>
          </w:tcPr>
          <w:p w14:paraId="133E74EB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-</w:t>
            </w:r>
          </w:p>
        </w:tc>
      </w:tr>
      <w:tr w:rsidR="00FD5A98" w:rsidRPr="004A0F74" w14:paraId="53AAAF1C" w14:textId="77777777" w:rsidTr="00DF7C10">
        <w:tc>
          <w:tcPr>
            <w:tcW w:w="1064" w:type="dxa"/>
            <w:vMerge/>
            <w:vAlign w:val="center"/>
          </w:tcPr>
          <w:p w14:paraId="5F542618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341" w:type="dxa"/>
            <w:vMerge w:val="restart"/>
            <w:vAlign w:val="center"/>
          </w:tcPr>
          <w:p w14:paraId="3A4643C8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4A0F7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Inducer</w:t>
            </w:r>
          </w:p>
        </w:tc>
        <w:tc>
          <w:tcPr>
            <w:tcW w:w="1266" w:type="dxa"/>
          </w:tcPr>
          <w:p w14:paraId="34A31A10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Total</w:t>
            </w:r>
          </w:p>
        </w:tc>
        <w:tc>
          <w:tcPr>
            <w:tcW w:w="5381" w:type="dxa"/>
          </w:tcPr>
          <w:p w14:paraId="702B9972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‘P01BF01’, ‘N03AF01’, ‘L01AA01’, ‘H02AB02’, ‘D07XB05’, ‘C05AA09’, ‘S01CA01’, ‘D07CB04’, ‘S01BA01’, ‘J05AR06’, ‘J05AG03’, ‘J02AC05’, ‘L01ED05’, ‘N02BB02’, ‘N06BA07’, ‘J05AG01’, ‘N03AA02’, ‘N03AB02’, ‘N03AA03’, ‘J04AM02’, ‘J04AB02’, ‘J04AM06’, ‘J04AM05’, ‘J05AR10’, ‘J05AE30’, ‘J05AE03’</w:t>
            </w:r>
          </w:p>
        </w:tc>
      </w:tr>
      <w:tr w:rsidR="00FD5A98" w:rsidRPr="004A0F74" w14:paraId="3BA47709" w14:textId="77777777" w:rsidTr="00DF7C10">
        <w:tc>
          <w:tcPr>
            <w:tcW w:w="1064" w:type="dxa"/>
            <w:vMerge/>
            <w:vAlign w:val="center"/>
          </w:tcPr>
          <w:p w14:paraId="560CB962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341" w:type="dxa"/>
            <w:vMerge/>
            <w:vAlign w:val="center"/>
          </w:tcPr>
          <w:p w14:paraId="4130DA3D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66" w:type="dxa"/>
          </w:tcPr>
          <w:p w14:paraId="0A3136BF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Strong</w:t>
            </w:r>
          </w:p>
        </w:tc>
        <w:tc>
          <w:tcPr>
            <w:tcW w:w="5381" w:type="dxa"/>
          </w:tcPr>
          <w:p w14:paraId="1D0DF609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‘N03AF01’, ‘N02BB02</w:t>
            </w:r>
            <w:proofErr w:type="gramStart"/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’, ‘</w:t>
            </w:r>
            <w:proofErr w:type="gramEnd"/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N03AA02’, ‘N03AA03’</w:t>
            </w:r>
          </w:p>
        </w:tc>
      </w:tr>
      <w:tr w:rsidR="00FD5A98" w:rsidRPr="004A0F74" w14:paraId="414BE87D" w14:textId="77777777" w:rsidTr="00DF7C10">
        <w:tc>
          <w:tcPr>
            <w:tcW w:w="1064" w:type="dxa"/>
            <w:vMerge/>
            <w:vAlign w:val="center"/>
          </w:tcPr>
          <w:p w14:paraId="2F775DDA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341" w:type="dxa"/>
            <w:vMerge/>
            <w:vAlign w:val="center"/>
          </w:tcPr>
          <w:p w14:paraId="115835E9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66" w:type="dxa"/>
          </w:tcPr>
          <w:p w14:paraId="0018EA97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5381" w:type="dxa"/>
          </w:tcPr>
          <w:p w14:paraId="56EC4625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‘P01BF01’, ‘L01AA01’, ‘H02AB02’, ‘D07XB05’, ‘C05AA09’, ‘S01CA01’, ‘D07CB04’, ‘S01BA01’, ‘J05AR06’, ‘J05AG03’, ‘N06BA07’, ‘J05AG01’, ‘J04AM02’, ‘J04AB02’, ‘J04AM06’, ‘J04AM05’, ‘J05AR10’, ‘J05AE30’, ‘J05AE03’</w:t>
            </w:r>
          </w:p>
        </w:tc>
      </w:tr>
      <w:tr w:rsidR="00FD5A98" w:rsidRPr="004A0F74" w14:paraId="220C8258" w14:textId="77777777" w:rsidTr="00DF7C10">
        <w:tc>
          <w:tcPr>
            <w:tcW w:w="1064" w:type="dxa"/>
            <w:vMerge/>
            <w:vAlign w:val="center"/>
          </w:tcPr>
          <w:p w14:paraId="1822CBDE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341" w:type="dxa"/>
            <w:vMerge/>
            <w:vAlign w:val="center"/>
          </w:tcPr>
          <w:p w14:paraId="09F3CFEE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66" w:type="dxa"/>
          </w:tcPr>
          <w:p w14:paraId="697C8D7D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Weak</w:t>
            </w:r>
          </w:p>
        </w:tc>
        <w:tc>
          <w:tcPr>
            <w:tcW w:w="5381" w:type="dxa"/>
          </w:tcPr>
          <w:p w14:paraId="6A4CDECE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‘J02AC05’, ‘L01ED05’</w:t>
            </w:r>
          </w:p>
        </w:tc>
      </w:tr>
      <w:tr w:rsidR="00FD5A98" w:rsidRPr="004A0F74" w14:paraId="5D110EB4" w14:textId="77777777" w:rsidTr="00DF7C10">
        <w:tc>
          <w:tcPr>
            <w:tcW w:w="1064" w:type="dxa"/>
            <w:vMerge/>
            <w:vAlign w:val="center"/>
          </w:tcPr>
          <w:p w14:paraId="54F126F6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341" w:type="dxa"/>
            <w:vMerge/>
            <w:vAlign w:val="center"/>
          </w:tcPr>
          <w:p w14:paraId="42707FA9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66" w:type="dxa"/>
          </w:tcPr>
          <w:p w14:paraId="70DE5D7E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No category</w:t>
            </w:r>
          </w:p>
        </w:tc>
        <w:tc>
          <w:tcPr>
            <w:tcW w:w="5381" w:type="dxa"/>
          </w:tcPr>
          <w:p w14:paraId="1DB5A895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‘N03AB02’</w:t>
            </w:r>
          </w:p>
        </w:tc>
      </w:tr>
      <w:tr w:rsidR="00FD5A98" w:rsidRPr="0094676B" w14:paraId="0D728E0E" w14:textId="77777777" w:rsidTr="00DF7C10">
        <w:tc>
          <w:tcPr>
            <w:tcW w:w="1064" w:type="dxa"/>
            <w:vMerge/>
            <w:vAlign w:val="center"/>
          </w:tcPr>
          <w:p w14:paraId="726E0088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341" w:type="dxa"/>
            <w:vMerge/>
            <w:vAlign w:val="center"/>
          </w:tcPr>
          <w:p w14:paraId="011745E4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66" w:type="dxa"/>
          </w:tcPr>
          <w:p w14:paraId="74E0DF44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Systemic</w:t>
            </w:r>
          </w:p>
        </w:tc>
        <w:tc>
          <w:tcPr>
            <w:tcW w:w="5381" w:type="dxa"/>
          </w:tcPr>
          <w:p w14:paraId="71E230AF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de-CH"/>
              </w:rPr>
            </w:pPr>
            <w:r w:rsidRPr="004A0F74">
              <w:rPr>
                <w:rFonts w:ascii="Arial" w:hAnsi="Arial" w:cs="Arial"/>
                <w:sz w:val="16"/>
                <w:szCs w:val="16"/>
                <w:lang w:val="de-CH"/>
              </w:rPr>
              <w:t>‘P01BF01’, ‘N03AF01’, ‘L01AA01’, ‘H02AB02’, ‘J05AR06’, ‘J05AG03’, ‘N02BB02’, ‘N06BA07’, ‘J05AG01’, ‘N03AA02’, ‘N03AB02’, ‘N03AA03’, ‘J04AM02’, ‘J04AB02’, ‘J04AM06’, ‘J04AM05’, ‘J05AR10’, ‘J05AE30’, ‘J05AE03’</w:t>
            </w:r>
          </w:p>
        </w:tc>
      </w:tr>
      <w:tr w:rsidR="00FD5A98" w:rsidRPr="004A0F74" w14:paraId="54476A38" w14:textId="77777777" w:rsidTr="00DF7C10">
        <w:tc>
          <w:tcPr>
            <w:tcW w:w="1064" w:type="dxa"/>
            <w:vMerge/>
            <w:vAlign w:val="center"/>
          </w:tcPr>
          <w:p w14:paraId="7EC078E3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341" w:type="dxa"/>
            <w:vMerge/>
            <w:vAlign w:val="center"/>
          </w:tcPr>
          <w:p w14:paraId="38EA9972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266" w:type="dxa"/>
          </w:tcPr>
          <w:p w14:paraId="1B0D835B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Topic</w:t>
            </w:r>
          </w:p>
        </w:tc>
        <w:tc>
          <w:tcPr>
            <w:tcW w:w="5381" w:type="dxa"/>
          </w:tcPr>
          <w:p w14:paraId="707504D6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‘D07XB05’, ‘C05AA09</w:t>
            </w:r>
            <w:proofErr w:type="gramStart"/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’, ‘</w:t>
            </w:r>
            <w:proofErr w:type="gramEnd"/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S01CA01’, ‘D07CB04’, ‘S01BA01’</w:t>
            </w:r>
          </w:p>
        </w:tc>
      </w:tr>
      <w:tr w:rsidR="00FD5A98" w:rsidRPr="004A0F74" w14:paraId="4940D208" w14:textId="77777777" w:rsidTr="00DF7C10">
        <w:tc>
          <w:tcPr>
            <w:tcW w:w="1064" w:type="dxa"/>
            <w:vMerge/>
            <w:vAlign w:val="center"/>
          </w:tcPr>
          <w:p w14:paraId="52C2D683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341" w:type="dxa"/>
            <w:vMerge/>
            <w:vAlign w:val="center"/>
          </w:tcPr>
          <w:p w14:paraId="17AC3636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66" w:type="dxa"/>
          </w:tcPr>
          <w:p w14:paraId="44A86832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 xml:space="preserve">Strong </w:t>
            </w:r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systemic</w:t>
            </w:r>
          </w:p>
        </w:tc>
        <w:tc>
          <w:tcPr>
            <w:tcW w:w="5381" w:type="dxa"/>
          </w:tcPr>
          <w:p w14:paraId="0BB210F2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‘N03AF01’, ‘N02BB02</w:t>
            </w:r>
            <w:proofErr w:type="gramStart"/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’, ‘</w:t>
            </w:r>
            <w:proofErr w:type="gramEnd"/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N03AA02’, ‘N03AA03’</w:t>
            </w:r>
          </w:p>
        </w:tc>
      </w:tr>
      <w:tr w:rsidR="00FD5A98" w:rsidRPr="004A0F74" w14:paraId="5373194C" w14:textId="77777777" w:rsidTr="00DF7C10">
        <w:tc>
          <w:tcPr>
            <w:tcW w:w="1064" w:type="dxa"/>
            <w:vMerge/>
            <w:vAlign w:val="center"/>
          </w:tcPr>
          <w:p w14:paraId="56C646A2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341" w:type="dxa"/>
            <w:vMerge/>
            <w:vAlign w:val="center"/>
          </w:tcPr>
          <w:p w14:paraId="0F90AADE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66" w:type="dxa"/>
          </w:tcPr>
          <w:p w14:paraId="3BF7BD59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Strong topic</w:t>
            </w:r>
          </w:p>
        </w:tc>
        <w:tc>
          <w:tcPr>
            <w:tcW w:w="5381" w:type="dxa"/>
          </w:tcPr>
          <w:p w14:paraId="2A27C9BD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-</w:t>
            </w:r>
          </w:p>
        </w:tc>
      </w:tr>
      <w:tr w:rsidR="00FD5A98" w:rsidRPr="0094676B" w14:paraId="050D99E0" w14:textId="77777777" w:rsidTr="00DF7C10">
        <w:tc>
          <w:tcPr>
            <w:tcW w:w="1064" w:type="dxa"/>
            <w:vMerge/>
            <w:vAlign w:val="center"/>
          </w:tcPr>
          <w:p w14:paraId="019E56F3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341" w:type="dxa"/>
            <w:vMerge/>
            <w:vAlign w:val="center"/>
          </w:tcPr>
          <w:p w14:paraId="327A4FB1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66" w:type="dxa"/>
          </w:tcPr>
          <w:p w14:paraId="1950019C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Moderate systemic</w:t>
            </w:r>
          </w:p>
        </w:tc>
        <w:tc>
          <w:tcPr>
            <w:tcW w:w="5381" w:type="dxa"/>
          </w:tcPr>
          <w:p w14:paraId="2D5A8784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de-CH"/>
              </w:rPr>
            </w:pPr>
            <w:r w:rsidRPr="004A0F74">
              <w:rPr>
                <w:rFonts w:ascii="Arial" w:hAnsi="Arial" w:cs="Arial"/>
                <w:sz w:val="16"/>
                <w:szCs w:val="16"/>
                <w:lang w:val="de-CH"/>
              </w:rPr>
              <w:t>‘P01BF01’, ‘L01AA01’, ‘H02AB02’, ‘J05AR06’, ‘J05AG03’, ‘N06BA07’, ‘J05AG01’, ‘J04AM02’, ‘J04AB02’, ‘J04AM06’, ‘J04AM05’, ‘J05AR10’, ‘J05AE30’, ‘J05AE03’</w:t>
            </w:r>
          </w:p>
        </w:tc>
      </w:tr>
      <w:tr w:rsidR="00FD5A98" w:rsidRPr="004A0F74" w14:paraId="4F70A1E6" w14:textId="77777777" w:rsidTr="00DF7C10">
        <w:tc>
          <w:tcPr>
            <w:tcW w:w="1064" w:type="dxa"/>
            <w:vMerge/>
            <w:vAlign w:val="center"/>
          </w:tcPr>
          <w:p w14:paraId="75D4EA12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341" w:type="dxa"/>
            <w:vMerge/>
            <w:vAlign w:val="center"/>
          </w:tcPr>
          <w:p w14:paraId="0424A5DF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266" w:type="dxa"/>
          </w:tcPr>
          <w:p w14:paraId="0CFC187B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Moderate topic</w:t>
            </w:r>
          </w:p>
        </w:tc>
        <w:tc>
          <w:tcPr>
            <w:tcW w:w="5381" w:type="dxa"/>
          </w:tcPr>
          <w:p w14:paraId="3E43F090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‘D07XB05’, ‘C05AA09</w:t>
            </w:r>
            <w:proofErr w:type="gramStart"/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’, ‘</w:t>
            </w:r>
            <w:proofErr w:type="gramEnd"/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S01CA01’, ‘D07CB04’, ‘S01BA01’</w:t>
            </w:r>
          </w:p>
        </w:tc>
      </w:tr>
      <w:tr w:rsidR="00FD5A98" w:rsidRPr="004A0F74" w14:paraId="263E146F" w14:textId="77777777" w:rsidTr="00DF7C10">
        <w:tc>
          <w:tcPr>
            <w:tcW w:w="1064" w:type="dxa"/>
            <w:vMerge/>
            <w:vAlign w:val="center"/>
          </w:tcPr>
          <w:p w14:paraId="2EFFC960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341" w:type="dxa"/>
            <w:vMerge/>
            <w:vAlign w:val="center"/>
          </w:tcPr>
          <w:p w14:paraId="25DD3308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66" w:type="dxa"/>
          </w:tcPr>
          <w:p w14:paraId="31FB7480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Weak systemic</w:t>
            </w:r>
          </w:p>
        </w:tc>
        <w:tc>
          <w:tcPr>
            <w:tcW w:w="5381" w:type="dxa"/>
          </w:tcPr>
          <w:p w14:paraId="16B12DFE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‘J02AC05’, ‘L01ED05’</w:t>
            </w:r>
          </w:p>
        </w:tc>
      </w:tr>
      <w:tr w:rsidR="00FD5A98" w:rsidRPr="004A0F74" w14:paraId="48229024" w14:textId="77777777" w:rsidTr="00DF7C10">
        <w:tc>
          <w:tcPr>
            <w:tcW w:w="1064" w:type="dxa"/>
            <w:vMerge/>
            <w:vAlign w:val="center"/>
          </w:tcPr>
          <w:p w14:paraId="36A2B1C7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341" w:type="dxa"/>
            <w:vMerge/>
            <w:vAlign w:val="center"/>
          </w:tcPr>
          <w:p w14:paraId="1A8AF5C3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66" w:type="dxa"/>
          </w:tcPr>
          <w:p w14:paraId="600304D7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Weak topic</w:t>
            </w:r>
          </w:p>
        </w:tc>
        <w:tc>
          <w:tcPr>
            <w:tcW w:w="5381" w:type="dxa"/>
          </w:tcPr>
          <w:p w14:paraId="6EDDA57D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-</w:t>
            </w:r>
          </w:p>
        </w:tc>
      </w:tr>
      <w:tr w:rsidR="00FD5A98" w:rsidRPr="004A0F74" w14:paraId="3751690F" w14:textId="77777777" w:rsidTr="00DF7C10">
        <w:tc>
          <w:tcPr>
            <w:tcW w:w="1064" w:type="dxa"/>
            <w:vMerge/>
            <w:vAlign w:val="center"/>
          </w:tcPr>
          <w:p w14:paraId="710085EC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341" w:type="dxa"/>
            <w:vMerge/>
            <w:vAlign w:val="center"/>
          </w:tcPr>
          <w:p w14:paraId="3C1EAE90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66" w:type="dxa"/>
          </w:tcPr>
          <w:p w14:paraId="001B9FA9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No category systemic</w:t>
            </w:r>
          </w:p>
        </w:tc>
        <w:tc>
          <w:tcPr>
            <w:tcW w:w="5381" w:type="dxa"/>
          </w:tcPr>
          <w:p w14:paraId="3EC8C59A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‘N03AB02’</w:t>
            </w:r>
          </w:p>
        </w:tc>
      </w:tr>
      <w:tr w:rsidR="00FD5A98" w:rsidRPr="004A0F74" w14:paraId="1751AD25" w14:textId="77777777" w:rsidTr="00DF7C10">
        <w:tc>
          <w:tcPr>
            <w:tcW w:w="1064" w:type="dxa"/>
            <w:vMerge/>
            <w:vAlign w:val="center"/>
          </w:tcPr>
          <w:p w14:paraId="49382A95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341" w:type="dxa"/>
            <w:vMerge/>
            <w:vAlign w:val="center"/>
          </w:tcPr>
          <w:p w14:paraId="0AC67092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66" w:type="dxa"/>
          </w:tcPr>
          <w:p w14:paraId="79D94DBA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No category topic</w:t>
            </w:r>
          </w:p>
        </w:tc>
        <w:tc>
          <w:tcPr>
            <w:tcW w:w="5381" w:type="dxa"/>
          </w:tcPr>
          <w:p w14:paraId="2087DDB8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-</w:t>
            </w:r>
          </w:p>
        </w:tc>
      </w:tr>
      <w:tr w:rsidR="00FD5A98" w:rsidRPr="004A0F74" w14:paraId="23D5E0AF" w14:textId="77777777" w:rsidTr="00DF7C10">
        <w:tc>
          <w:tcPr>
            <w:tcW w:w="1064" w:type="dxa"/>
            <w:vMerge w:val="restart"/>
            <w:vAlign w:val="center"/>
          </w:tcPr>
          <w:p w14:paraId="336C1AFE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4A0F7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CYP3A4/5</w:t>
            </w:r>
          </w:p>
        </w:tc>
        <w:tc>
          <w:tcPr>
            <w:tcW w:w="1341" w:type="dxa"/>
            <w:vMerge w:val="restart"/>
            <w:vAlign w:val="center"/>
          </w:tcPr>
          <w:p w14:paraId="55543EBD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4A0F7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PGx substrate</w:t>
            </w:r>
          </w:p>
        </w:tc>
        <w:tc>
          <w:tcPr>
            <w:tcW w:w="1266" w:type="dxa"/>
          </w:tcPr>
          <w:p w14:paraId="1BF7C8E8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Total</w:t>
            </w:r>
          </w:p>
        </w:tc>
        <w:tc>
          <w:tcPr>
            <w:tcW w:w="5381" w:type="dxa"/>
          </w:tcPr>
          <w:p w14:paraId="0BE32382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‘N05AH04’, ‘L04AD02</w:t>
            </w:r>
            <w:proofErr w:type="gramStart"/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’, ‘</w:t>
            </w:r>
            <w:proofErr w:type="gramEnd"/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D11AH01’</w:t>
            </w:r>
          </w:p>
        </w:tc>
      </w:tr>
      <w:tr w:rsidR="00FD5A98" w:rsidRPr="004A0F74" w14:paraId="00A929CA" w14:textId="77777777" w:rsidTr="00DF7C10">
        <w:tc>
          <w:tcPr>
            <w:tcW w:w="1064" w:type="dxa"/>
            <w:vMerge/>
            <w:vAlign w:val="center"/>
          </w:tcPr>
          <w:p w14:paraId="5F1964BA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341" w:type="dxa"/>
            <w:vMerge/>
            <w:vAlign w:val="center"/>
          </w:tcPr>
          <w:p w14:paraId="6C3A1486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66" w:type="dxa"/>
          </w:tcPr>
          <w:p w14:paraId="0B325A89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Systemic</w:t>
            </w:r>
          </w:p>
        </w:tc>
        <w:tc>
          <w:tcPr>
            <w:tcW w:w="5381" w:type="dxa"/>
          </w:tcPr>
          <w:p w14:paraId="25C7E501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‘N05AH04’, ‘L04AD02’</w:t>
            </w:r>
          </w:p>
        </w:tc>
      </w:tr>
      <w:tr w:rsidR="00FD5A98" w:rsidRPr="004A0F74" w14:paraId="36488592" w14:textId="77777777" w:rsidTr="00DF7C10">
        <w:tc>
          <w:tcPr>
            <w:tcW w:w="1064" w:type="dxa"/>
            <w:vMerge/>
            <w:vAlign w:val="center"/>
          </w:tcPr>
          <w:p w14:paraId="74B4D65D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341" w:type="dxa"/>
            <w:vMerge/>
            <w:vAlign w:val="center"/>
          </w:tcPr>
          <w:p w14:paraId="58909F87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66" w:type="dxa"/>
          </w:tcPr>
          <w:p w14:paraId="3F44D915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Topic</w:t>
            </w:r>
          </w:p>
        </w:tc>
        <w:tc>
          <w:tcPr>
            <w:tcW w:w="5381" w:type="dxa"/>
          </w:tcPr>
          <w:p w14:paraId="4F48C8B4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‘D11AH01’</w:t>
            </w:r>
          </w:p>
        </w:tc>
      </w:tr>
      <w:tr w:rsidR="00FD5A98" w:rsidRPr="004A0F74" w14:paraId="1D2F86B8" w14:textId="77777777" w:rsidTr="00DF7C10">
        <w:tc>
          <w:tcPr>
            <w:tcW w:w="1064" w:type="dxa"/>
            <w:vMerge/>
            <w:vAlign w:val="center"/>
          </w:tcPr>
          <w:p w14:paraId="17390643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341" w:type="dxa"/>
            <w:vMerge w:val="restart"/>
            <w:vAlign w:val="center"/>
          </w:tcPr>
          <w:p w14:paraId="01B1F21D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4A0F7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Inhibitor</w:t>
            </w:r>
          </w:p>
        </w:tc>
        <w:tc>
          <w:tcPr>
            <w:tcW w:w="1266" w:type="dxa"/>
          </w:tcPr>
          <w:p w14:paraId="22A1F7BD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Total</w:t>
            </w:r>
          </w:p>
        </w:tc>
        <w:tc>
          <w:tcPr>
            <w:tcW w:w="5381" w:type="dxa"/>
          </w:tcPr>
          <w:p w14:paraId="3AA9BFCA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‘C01BD01’, ‘C08CA01’, ‘C09BB04’, ‘C10BX03’, ‘C09DB07’, ‘C09BX01’, ‘C10BX11’, ‘C09DB02’, ‘C09DX01’, ‘C09DB01’, ‘C09DB04’, ‘C09DX03’,</w:t>
            </w:r>
            <w:r w:rsidRPr="004A0F7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‘A04AD12’, ‘J05AE08’, ‘B02BX05’, ‘N03AX24’, ‘L01ED02’, ‘L04AD01’, ‘S01XA18’, ‘J01MA02’, ‘S01AE03’, ‘J01FA09’, ‘N05BA09’, ‘L01ED01’, ‘J05AR18’, ‘J05AR09’, ‘J05AR22’, ‘V03AX03’, ‘J05AE10’, ‘L01EA02’, ‘G03AC09’, ‘G03AB05’, ‘G03AA09’, ‘C08DB01’, ‘J01AA02’, ‘C01BD07’, ‘J01FA01’, ‘D10AF02’, ‘G03AA15’, ‘G03AA16’, ‘G03AA10’, ‘G03AA13’, ‘G03AA07’, ‘G03AB05’, ‘G03AB06’, ‘J02AC01’, ‘N06AB03’, ‘N06AB08’, ‘J01CX01’, ‘S01AA13’, ‘D07CC01’, ‘D07CA01’, ‘D06AX01’, ‘G03AA10’, ‘L01EM01’, ‘L01EA01’, ‘J02AC05’, ‘J04AM02’, ‘J04AC01’, ‘J04AM06’, ‘J04AM05’, ‘J02AC02’, ‘R07AX02’, ‘R07AX30’, ‘R07AX31’, ‘R07AX32’, ‘J05AX18’, ‘D01AC08’, ‘J05AR10’, ‘D01AC52’, ‘A01AB09’, ‘D01AC02’, ‘D10AE51’, ‘G03XB01’, ‘C08CA05’, ‘A04AA05’, ‘L01EA03’, ‘A02BC01’, ‘J02AC04’, ‘N05AH04’, ‘L01EF02’, ‘J05AE03’, ‘J05AE30’, ‘A05BA03’, ‘L01XK03’, ‘L01EX02’, ‘C08DA01’, ‘C09BB10’, ‘J02AC03’</w:t>
            </w:r>
          </w:p>
        </w:tc>
      </w:tr>
      <w:tr w:rsidR="00FD5A98" w:rsidRPr="004A0F74" w14:paraId="39AF0E29" w14:textId="77777777" w:rsidTr="00DF7C10">
        <w:tc>
          <w:tcPr>
            <w:tcW w:w="1064" w:type="dxa"/>
            <w:vMerge/>
            <w:vAlign w:val="center"/>
          </w:tcPr>
          <w:p w14:paraId="43500E9F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341" w:type="dxa"/>
            <w:vMerge/>
            <w:vAlign w:val="center"/>
          </w:tcPr>
          <w:p w14:paraId="714DB211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66" w:type="dxa"/>
          </w:tcPr>
          <w:p w14:paraId="4CB51AE1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Strong</w:t>
            </w:r>
          </w:p>
        </w:tc>
        <w:tc>
          <w:tcPr>
            <w:tcW w:w="5381" w:type="dxa"/>
          </w:tcPr>
          <w:p w14:paraId="5AD5085F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‘J05AE08’, ‘B02BX05’, ‘N03AX24’, ‘L01ED02’, ‘L04AD01’, ‘S01XA18’, ‘J01FA09’, ‘J05AR18’, ‘J05AR09’, ‘J05AR22’, ‘V03AX03’, ‘J05AE10’, ‘J01CX01’, ‘S01AA13’, ‘D07CC01’, ‘D07CA01’, ‘D06AX01’, ‘L01EM01’, ‘J02AC02’, ‘D01AC08’, ‘D01AC52’, ‘A01AB09’, ‘D01AC02’, ‘D10AE51’, ‘J02AC04’, ‘L01EF02’, ‘J05AE03’, ‘J05AE30’, ‘A05BA03’, ‘J02AC03’</w:t>
            </w:r>
          </w:p>
        </w:tc>
      </w:tr>
      <w:tr w:rsidR="00FD5A98" w:rsidRPr="004A0F74" w14:paraId="2E9CAB96" w14:textId="77777777" w:rsidTr="00DF7C10">
        <w:trPr>
          <w:trHeight w:val="411"/>
        </w:trPr>
        <w:tc>
          <w:tcPr>
            <w:tcW w:w="1064" w:type="dxa"/>
            <w:vMerge/>
            <w:vAlign w:val="center"/>
          </w:tcPr>
          <w:p w14:paraId="0BBF1915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341" w:type="dxa"/>
            <w:vMerge/>
            <w:vAlign w:val="center"/>
          </w:tcPr>
          <w:p w14:paraId="3D31FA78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66" w:type="dxa"/>
          </w:tcPr>
          <w:p w14:paraId="41629E24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5381" w:type="dxa"/>
          </w:tcPr>
          <w:p w14:paraId="7F59AF07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 xml:space="preserve">‘C01BD01’, ‘C08CA01’, ‘C09BB04’, ‘C10BX03’, ‘C09DB07’, ‘C09BX01’, </w:t>
            </w:r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‘C10BX11’, ‘C09DB02’, ‘C09DX01’, ‘C09DB01’, ‘C09DB04’, ‘C09DX03’, ‘A04AD12’,  ‘J01MA02’, ‘S01AE03’, ‘N05BA09’, ‘L01ED01’, ‘L01EA02’, ‘G03AC09’, ‘G03AB05’, ‘G03AA09’, ‘C08DB01’, ‘J01AA02’, ‘C01BD07’, ‘J01FA01’, ‘D10AF02’, ‘G03AA15’, ‘G03AA16’, ‘G03AA10’, ‘G03AA13’, ‘G03AA07’, ‘G03AB05’, ‘G03AB06’, ‘J02AC01’, ‘N06AB03’, ‘N06AB08’, ‘G03AA10’, ‘L01EA01’, ‘J02AC05’, ‘J04AM02’, ‘J04AC01’, ‘J04AM06’, ‘J04AM05’, ‘J05AX18’, ‘J05AR10’, ‘C08CA05’, ‘A04AA05’, ‘L01EA03’, ‘N05AH04’, ‘L01EX02’, ‘C08DA01’, ‘C09BB10’</w:t>
            </w:r>
          </w:p>
        </w:tc>
      </w:tr>
      <w:tr w:rsidR="00FD5A98" w:rsidRPr="004A0F74" w14:paraId="523C3F6A" w14:textId="77777777" w:rsidTr="00DF7C10">
        <w:trPr>
          <w:trHeight w:val="411"/>
        </w:trPr>
        <w:tc>
          <w:tcPr>
            <w:tcW w:w="1064" w:type="dxa"/>
            <w:vMerge/>
            <w:vAlign w:val="center"/>
          </w:tcPr>
          <w:p w14:paraId="4B6F5FB3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341" w:type="dxa"/>
            <w:vMerge/>
            <w:vAlign w:val="center"/>
          </w:tcPr>
          <w:p w14:paraId="0AB73770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66" w:type="dxa"/>
          </w:tcPr>
          <w:p w14:paraId="31D67C42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Weak</w:t>
            </w:r>
          </w:p>
        </w:tc>
        <w:tc>
          <w:tcPr>
            <w:tcW w:w="5381" w:type="dxa"/>
          </w:tcPr>
          <w:p w14:paraId="0C69CF24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‘R07AX02’, ‘R07AX30</w:t>
            </w:r>
            <w:proofErr w:type="gramStart"/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’, ‘</w:t>
            </w:r>
            <w:proofErr w:type="gramEnd"/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R07AX31’, ‘R07AX32’, ‘G03XB01’, ‘A02BC01’, ‘L01XK03’</w:t>
            </w:r>
          </w:p>
        </w:tc>
      </w:tr>
      <w:tr w:rsidR="00FD5A98" w:rsidRPr="004A0F74" w14:paraId="4CBE4283" w14:textId="77777777" w:rsidTr="00DF7C10">
        <w:tc>
          <w:tcPr>
            <w:tcW w:w="1064" w:type="dxa"/>
            <w:vMerge/>
            <w:vAlign w:val="center"/>
          </w:tcPr>
          <w:p w14:paraId="6C59AD35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341" w:type="dxa"/>
            <w:vMerge/>
            <w:vAlign w:val="center"/>
          </w:tcPr>
          <w:p w14:paraId="4756B314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66" w:type="dxa"/>
          </w:tcPr>
          <w:p w14:paraId="6420E499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Systemic</w:t>
            </w:r>
          </w:p>
        </w:tc>
        <w:tc>
          <w:tcPr>
            <w:tcW w:w="5381" w:type="dxa"/>
          </w:tcPr>
          <w:p w14:paraId="5CEEB5B8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‘C01BD01’, ‘C08CA01’, ‘C09BB04’, ‘C10BX03’, ‘C09DB07’, ‘C09BX01’, ‘C10BX11’, ‘C09DB02’, ‘C09DX01’, ‘C09DB01’, ‘C09DB04’, ‘C09DX03’,</w:t>
            </w:r>
            <w:r w:rsidRPr="004A0F7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‘A04AD12’, ‘J05AE08’, ‘B02BX05’, ‘N03AX24’, ‘L01ED02’, L04AD01’, ‘J01MA02’, ‘J01FA09’, ‘N05BA09’, ‘L01ED01’, ‘J05AR18’, ‘J05AR09’, ‘J05AR22’, ‘V03AX03’, ‘J05AE10’, ‘L01EA02’, ‘G03AC09’, ‘G03AB05’, ‘G03AA09’, ‘C08DB01’, ‘J01AA02’, ‘C01BD07’, ‘J01FA01’, ‘G03AA15’, ‘G03AA16’, ‘G03AA10’, ‘G03AA13’, ‘G03AA07’, ‘G03AB05’, ‘G03AB06’, ‘J02AC01’, ‘N06AB03’, ‘N06AB08’, ‘J01CX01’, ‘G03AA10’, ‘L01EM01’, ‘L01EA01’, ‘J02AC05’, ‘J04AM02’, ‘J04AC01’, ‘J04AM06’, ‘J04AM05’, ‘J02AC02’, ‘R07AX02’, ‘R07AX30’, ‘R07AX31’, ‘R07AX32’, ‘J05AX18’, ‘J05AR10’, ‘G03XB01’, ‘C08CA05’, ‘A04AA05’, ‘L01EA03’, ‘A02BC01’, ‘J02AC04’, ‘N05AH04’, ‘L01EF02’, ‘J05AE03’, J05AE30’, ‘A05BA03’, ‘L01XK03’, ‘L01EX02’, ‘C08DA01’, ‘C09BB10’, ‘J02AC03’</w:t>
            </w:r>
          </w:p>
        </w:tc>
      </w:tr>
      <w:tr w:rsidR="00FD5A98" w:rsidRPr="004A0F74" w14:paraId="2DF76C02" w14:textId="77777777" w:rsidTr="00DF7C10">
        <w:trPr>
          <w:trHeight w:val="269"/>
        </w:trPr>
        <w:tc>
          <w:tcPr>
            <w:tcW w:w="1064" w:type="dxa"/>
            <w:vMerge/>
            <w:vAlign w:val="center"/>
          </w:tcPr>
          <w:p w14:paraId="3A0A804B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341" w:type="dxa"/>
            <w:vMerge/>
            <w:vAlign w:val="center"/>
          </w:tcPr>
          <w:p w14:paraId="3FE89BE1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66" w:type="dxa"/>
          </w:tcPr>
          <w:p w14:paraId="59B0F063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Topic</w:t>
            </w:r>
          </w:p>
        </w:tc>
        <w:tc>
          <w:tcPr>
            <w:tcW w:w="5381" w:type="dxa"/>
          </w:tcPr>
          <w:p w14:paraId="7402E426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‘S01XA18’, ‘S01AE03’, ‘D10AF02’, ‘S01AA13’, ‘D07CC01’, ‘D07CA01’, ‘D06AX01’, ‘D01AC08’, ‘D01AC52’, ‘A01AB09’, ‘D01AC02’, ‘D10AE51’</w:t>
            </w:r>
          </w:p>
        </w:tc>
      </w:tr>
      <w:tr w:rsidR="00FD5A98" w:rsidRPr="004A0F74" w14:paraId="26ABCC53" w14:textId="77777777" w:rsidTr="00DF7C10">
        <w:trPr>
          <w:trHeight w:val="269"/>
        </w:trPr>
        <w:tc>
          <w:tcPr>
            <w:tcW w:w="1064" w:type="dxa"/>
            <w:vMerge/>
            <w:vAlign w:val="center"/>
          </w:tcPr>
          <w:p w14:paraId="07F75947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341" w:type="dxa"/>
            <w:vMerge/>
            <w:vAlign w:val="center"/>
          </w:tcPr>
          <w:p w14:paraId="3728B663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66" w:type="dxa"/>
          </w:tcPr>
          <w:p w14:paraId="2FE9B348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Strong systemic</w:t>
            </w:r>
          </w:p>
        </w:tc>
        <w:tc>
          <w:tcPr>
            <w:tcW w:w="5381" w:type="dxa"/>
          </w:tcPr>
          <w:p w14:paraId="338F974A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‘J05AE08’, ‘B02BX05’, ‘N03AX24’, ‘L01ED02’, L04AD01’, ‘J01FA09’, ‘J05AR18’, ‘J05AR09’, ‘J05AR22’, ‘V03AX03’, ‘J05AE10’, ‘J01CX01’, ‘L01EM01’, ‘J02AC02’, ‘J02AC04’, ‘L01EF02’, ‘J05AE03’, J05AE30’, ‘A05BA03’, ‘J02AC03’</w:t>
            </w:r>
          </w:p>
        </w:tc>
      </w:tr>
      <w:tr w:rsidR="00FD5A98" w:rsidRPr="004A0F74" w14:paraId="07F3829B" w14:textId="77777777" w:rsidTr="00DF7C10">
        <w:trPr>
          <w:trHeight w:val="269"/>
        </w:trPr>
        <w:tc>
          <w:tcPr>
            <w:tcW w:w="1064" w:type="dxa"/>
            <w:vMerge/>
            <w:vAlign w:val="center"/>
          </w:tcPr>
          <w:p w14:paraId="27CA48D9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341" w:type="dxa"/>
            <w:vMerge/>
            <w:vAlign w:val="center"/>
          </w:tcPr>
          <w:p w14:paraId="16596542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66" w:type="dxa"/>
          </w:tcPr>
          <w:p w14:paraId="7E8E3FD5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Strong topic</w:t>
            </w:r>
          </w:p>
        </w:tc>
        <w:tc>
          <w:tcPr>
            <w:tcW w:w="5381" w:type="dxa"/>
          </w:tcPr>
          <w:p w14:paraId="3233CAB0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‘S01XA18’, ‘S01AA13</w:t>
            </w:r>
            <w:proofErr w:type="gramStart"/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’, ‘</w:t>
            </w:r>
            <w:proofErr w:type="gramEnd"/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D07CC01’, ‘D07CA01’, ‘D06AX01’, ‘D01AC08’, ‘D01AC52’, ‘A01AB09’, ‘D01AC02’, ‘D10AE51’</w:t>
            </w:r>
          </w:p>
        </w:tc>
      </w:tr>
      <w:tr w:rsidR="00FD5A98" w:rsidRPr="004A0F74" w14:paraId="02537FAD" w14:textId="77777777" w:rsidTr="00DF7C10">
        <w:trPr>
          <w:trHeight w:val="269"/>
        </w:trPr>
        <w:tc>
          <w:tcPr>
            <w:tcW w:w="1064" w:type="dxa"/>
            <w:vMerge/>
            <w:vAlign w:val="center"/>
          </w:tcPr>
          <w:p w14:paraId="23E61E6C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341" w:type="dxa"/>
            <w:vMerge/>
            <w:vAlign w:val="center"/>
          </w:tcPr>
          <w:p w14:paraId="4E29CBDB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66" w:type="dxa"/>
          </w:tcPr>
          <w:p w14:paraId="347E7A5C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Moderate systemic</w:t>
            </w:r>
          </w:p>
        </w:tc>
        <w:tc>
          <w:tcPr>
            <w:tcW w:w="5381" w:type="dxa"/>
          </w:tcPr>
          <w:p w14:paraId="7328E12D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‘C01BD01’, ‘C08CA01’, ‘C09BB04’, ‘C10BX03’, ‘C09DB07’, ‘C09BX01’, ‘C10BX11’, ‘C09DB02’, ‘C09DX01’, ‘C09DB01’, ‘C09DB04’, ‘C09DX03’,</w:t>
            </w:r>
            <w:r w:rsidRPr="004A0F7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 xml:space="preserve">‘A04AD12’, ‘J01MA02’, ‘N05BA09’, ‘L01ED01’, ‘L01EA02’, ‘G03AC09’, ‘G03AB05’, ‘G03AA09’, ‘C08DB01’, ‘J01AA02’, ‘C01BD07’, ‘J01FA01’, ‘G03AA15’, ‘G03AA16’, ‘G03AA10’, ‘G03AA13’, ‘G03AA07’, ‘G03AB05’, ‘G03AB06, ‘J02AC01’, ‘N06AB03’, ‘N06AB08’, ‘G03AA10’, ‘L01EA01’, ‘J02AC05’, ‘J04AM02’, ‘J04AC01’, ‘J04AM06’, ‘J04AM05’, ‘J05AX18’, </w:t>
            </w:r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‘J05AR10’, ‘C08CA05’, ‘A04AA05’, ‘L01EA03’, ‘N05AH04’, ‘L01EX02’, ‘C08DA01’, ‘C09BB10’</w:t>
            </w:r>
          </w:p>
        </w:tc>
      </w:tr>
      <w:tr w:rsidR="00FD5A98" w:rsidRPr="004A0F74" w14:paraId="73E1ED90" w14:textId="77777777" w:rsidTr="00DF7C10">
        <w:trPr>
          <w:trHeight w:val="269"/>
        </w:trPr>
        <w:tc>
          <w:tcPr>
            <w:tcW w:w="1064" w:type="dxa"/>
            <w:vMerge/>
            <w:vAlign w:val="center"/>
          </w:tcPr>
          <w:p w14:paraId="5855BAEE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341" w:type="dxa"/>
            <w:vMerge/>
            <w:vAlign w:val="center"/>
          </w:tcPr>
          <w:p w14:paraId="6BF1274F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66" w:type="dxa"/>
          </w:tcPr>
          <w:p w14:paraId="1D7DF34B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Moderate topic</w:t>
            </w:r>
          </w:p>
        </w:tc>
        <w:tc>
          <w:tcPr>
            <w:tcW w:w="5381" w:type="dxa"/>
          </w:tcPr>
          <w:p w14:paraId="03EB45D0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‘S01AE03’, ‘D10AF02’</w:t>
            </w:r>
          </w:p>
        </w:tc>
      </w:tr>
      <w:tr w:rsidR="00FD5A98" w:rsidRPr="004A0F74" w14:paraId="70B8368D" w14:textId="77777777" w:rsidTr="00DF7C10">
        <w:trPr>
          <w:trHeight w:val="269"/>
        </w:trPr>
        <w:tc>
          <w:tcPr>
            <w:tcW w:w="1064" w:type="dxa"/>
            <w:vMerge/>
            <w:vAlign w:val="center"/>
          </w:tcPr>
          <w:p w14:paraId="3D63A593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341" w:type="dxa"/>
            <w:vMerge/>
            <w:vAlign w:val="center"/>
          </w:tcPr>
          <w:p w14:paraId="32D3C069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66" w:type="dxa"/>
          </w:tcPr>
          <w:p w14:paraId="008944FB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Weak systemic</w:t>
            </w:r>
          </w:p>
        </w:tc>
        <w:tc>
          <w:tcPr>
            <w:tcW w:w="5381" w:type="dxa"/>
          </w:tcPr>
          <w:p w14:paraId="2D27F394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‘R07AX02’, ‘R07AX30</w:t>
            </w:r>
            <w:proofErr w:type="gramStart"/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’, ‘</w:t>
            </w:r>
            <w:proofErr w:type="gramEnd"/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R07AX31’, ‘R07AX32’, ‘G03XB01’, ‘A02BC01’, ‘L01XK03’</w:t>
            </w:r>
          </w:p>
        </w:tc>
      </w:tr>
      <w:tr w:rsidR="00FD5A98" w:rsidRPr="004A0F74" w14:paraId="503A44FA" w14:textId="77777777" w:rsidTr="00DF7C10">
        <w:trPr>
          <w:trHeight w:val="269"/>
        </w:trPr>
        <w:tc>
          <w:tcPr>
            <w:tcW w:w="1064" w:type="dxa"/>
            <w:vMerge/>
            <w:vAlign w:val="center"/>
          </w:tcPr>
          <w:p w14:paraId="6611B6FE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341" w:type="dxa"/>
            <w:vMerge/>
            <w:vAlign w:val="center"/>
          </w:tcPr>
          <w:p w14:paraId="50A628EE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66" w:type="dxa"/>
          </w:tcPr>
          <w:p w14:paraId="117D1991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Weak topic</w:t>
            </w:r>
          </w:p>
        </w:tc>
        <w:tc>
          <w:tcPr>
            <w:tcW w:w="5381" w:type="dxa"/>
          </w:tcPr>
          <w:p w14:paraId="074A80C2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-</w:t>
            </w:r>
          </w:p>
        </w:tc>
      </w:tr>
      <w:tr w:rsidR="00FD5A98" w:rsidRPr="004A0F74" w14:paraId="4154821D" w14:textId="77777777" w:rsidTr="00DF7C10">
        <w:tc>
          <w:tcPr>
            <w:tcW w:w="1064" w:type="dxa"/>
            <w:vMerge/>
            <w:vAlign w:val="center"/>
          </w:tcPr>
          <w:p w14:paraId="667514FE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341" w:type="dxa"/>
            <w:vMerge w:val="restart"/>
            <w:vAlign w:val="center"/>
          </w:tcPr>
          <w:p w14:paraId="34B33CE0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4A0F7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Inducer</w:t>
            </w:r>
          </w:p>
        </w:tc>
        <w:tc>
          <w:tcPr>
            <w:tcW w:w="1266" w:type="dxa"/>
          </w:tcPr>
          <w:p w14:paraId="5B3326BA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Total</w:t>
            </w:r>
          </w:p>
        </w:tc>
        <w:tc>
          <w:tcPr>
            <w:tcW w:w="5381" w:type="dxa"/>
          </w:tcPr>
          <w:p w14:paraId="5461A71A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‘L02BB05’, ‘H02AB01’, ‘D07XC01’, ‘D07AC01’, ‘D07CC01’, ‘C02KX01’, ‘L01ED04’, ‘N03AF01’, ‘N03AX25’, ‘L01AA01’, ‘L01EC02’, ‘H02AB02’, ‘D07XB05’, ‘C05AA09’, ‘S01CA01’, ‘D07CB04’, ‘S01BA01’, ‘J05AG03’, ‘J05AR06’, ‘J05AR18’, ‘J05AR09’, ‘L02BB04’, ‘J05AG04’, ‘N06AX25’, ‘N03AX10’, ‘L01AA06’, ‘L01XM02’, ‘L01ED05’, ‘R07AX30’, ‘N02BB02’, ‘H02BX01’, ‘H02AB04’, ‘D07AC14’, ‘L01XX23’, ‘N06BA07’, ‘J05AG01’, ‘N03AF02’, ‘N03AX22’, ‘N03AA02’, ‘N03AB02’, ‘A10BG03’, ‘A10BD05’, ‘N03AA03’, ‘D07XA02’, ‘D01AC20’, ‘S01BA04’, ‘C05AA04’, ‘H02AB06’, ‘H02AB07’, ‘J04AB04’, ‘J04AB02’, ‘J04AM05’, ‘J04AM02’, ‘J04AM06’, ‘N03AF03’, ‘L01EC01’, ‘L01CA01’, ‘L01EL03’</w:t>
            </w:r>
          </w:p>
        </w:tc>
      </w:tr>
      <w:tr w:rsidR="00FD5A98" w:rsidRPr="004A0F74" w14:paraId="0C3512D7" w14:textId="77777777" w:rsidTr="00DF7C10">
        <w:tc>
          <w:tcPr>
            <w:tcW w:w="1064" w:type="dxa"/>
            <w:vMerge/>
            <w:vAlign w:val="center"/>
          </w:tcPr>
          <w:p w14:paraId="62105B10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341" w:type="dxa"/>
            <w:vMerge/>
            <w:vAlign w:val="center"/>
          </w:tcPr>
          <w:p w14:paraId="28826E6C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66" w:type="dxa"/>
          </w:tcPr>
          <w:p w14:paraId="2ED2F782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Strong</w:t>
            </w:r>
          </w:p>
        </w:tc>
        <w:tc>
          <w:tcPr>
            <w:tcW w:w="5381" w:type="dxa"/>
          </w:tcPr>
          <w:p w14:paraId="6E6DFAA2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‘L02BB05’, ‘N03AF01</w:t>
            </w:r>
            <w:proofErr w:type="gramStart"/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’, ‘</w:t>
            </w:r>
            <w:proofErr w:type="gramEnd"/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L02BB04’, ‘N06AX25’, ‘N03AX10’, ‘L01XM02’, ‘R07AX30’, ‘N02BB02’, ‘L01XX23’, ‘J04AB02’, ‘J04AM05’, ‘J04AM02’, ‘J04AM06’</w:t>
            </w:r>
          </w:p>
        </w:tc>
      </w:tr>
      <w:tr w:rsidR="00FD5A98" w:rsidRPr="004A0F74" w14:paraId="21D39184" w14:textId="77777777" w:rsidTr="00DF7C10">
        <w:tc>
          <w:tcPr>
            <w:tcW w:w="1064" w:type="dxa"/>
            <w:vMerge/>
            <w:vAlign w:val="center"/>
          </w:tcPr>
          <w:p w14:paraId="6B206A7D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341" w:type="dxa"/>
            <w:vMerge/>
            <w:vAlign w:val="center"/>
          </w:tcPr>
          <w:p w14:paraId="55A239F1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66" w:type="dxa"/>
          </w:tcPr>
          <w:p w14:paraId="4B95A832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5381" w:type="dxa"/>
          </w:tcPr>
          <w:p w14:paraId="4762513E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‘C02KX01’, ‘N03AX25’, ‘L01AA01’, ‘L01EC02’, ‘H02AB02’, ‘D07XB05’, ‘C05AA09’, ‘S01CA01’, ‘D07CB04’, ‘S01BA01’, ‘J05AG03’, ‘J05AR06’, ‘J05AR18’, ‘J05AR09’, ‘J05AG04’, ‘L01AA06’, ‘L01ED05’, ‘J05AG01’, ‘N03AF02’, ‘N03AX22’, ‘N03AA02’, ‘N03AB02’, ‘N03AA03’, ‘L01CA01’</w:t>
            </w:r>
          </w:p>
        </w:tc>
      </w:tr>
      <w:tr w:rsidR="00FD5A98" w:rsidRPr="004A0F74" w14:paraId="07FC59FE" w14:textId="77777777" w:rsidTr="00DF7C10">
        <w:trPr>
          <w:trHeight w:val="663"/>
        </w:trPr>
        <w:tc>
          <w:tcPr>
            <w:tcW w:w="1064" w:type="dxa"/>
            <w:vMerge/>
            <w:vAlign w:val="center"/>
          </w:tcPr>
          <w:p w14:paraId="4C822E33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341" w:type="dxa"/>
            <w:vMerge/>
            <w:vAlign w:val="center"/>
          </w:tcPr>
          <w:p w14:paraId="39332BAD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66" w:type="dxa"/>
          </w:tcPr>
          <w:p w14:paraId="7B1F5AD2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Weak</w:t>
            </w:r>
          </w:p>
        </w:tc>
        <w:tc>
          <w:tcPr>
            <w:tcW w:w="5381" w:type="dxa"/>
          </w:tcPr>
          <w:p w14:paraId="7CEC155C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‘H02AB01’, ‘D07XC01</w:t>
            </w:r>
            <w:proofErr w:type="gramStart"/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’, ‘</w:t>
            </w:r>
            <w:proofErr w:type="gramEnd"/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D07AC01’, ‘D07CC01’, ‘L01ED04’, ‘H02BX01’, ‘H02AB04’, ‘D07AC14’, ‘N06BA07’, ‘A10BG03’, ‘A10BD05’, ‘D07XA02’, ‘D01AC20’, ‘S01BA04’, ‘C05AA04’, ‘H02AB06’, ‘H02AB07’, ‘J04AB04’, ‘N03AF03’, ‘L01EC01’, ‘L01EL03’</w:t>
            </w:r>
          </w:p>
        </w:tc>
      </w:tr>
      <w:tr w:rsidR="00FD5A98" w:rsidRPr="004A0F74" w14:paraId="770B1445" w14:textId="77777777" w:rsidTr="00DF7C10">
        <w:tc>
          <w:tcPr>
            <w:tcW w:w="1064" w:type="dxa"/>
            <w:vMerge/>
            <w:vAlign w:val="center"/>
          </w:tcPr>
          <w:p w14:paraId="77152A94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341" w:type="dxa"/>
            <w:vMerge/>
            <w:vAlign w:val="center"/>
          </w:tcPr>
          <w:p w14:paraId="020F70A5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66" w:type="dxa"/>
          </w:tcPr>
          <w:p w14:paraId="25612D9B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Systemic</w:t>
            </w:r>
          </w:p>
        </w:tc>
        <w:tc>
          <w:tcPr>
            <w:tcW w:w="5381" w:type="dxa"/>
          </w:tcPr>
          <w:p w14:paraId="1C1F479D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‘L02BB05’, ‘H02AB01’, ‘C02KX01’, ‘L01ED04’, ‘N03AF01’, ‘N03AX25’, ‘L01AA01’, ‘L01EC02’, ‘H02AB02’, ‘J05AG03’, ‘J05AR06’, ‘J05AR18’, ‘J05AR09’, ‘L02BB04’, ‘J05AG04’, ‘N06AX25’, ‘N03AX10’, ‘L01AA06’, ‘L01XM02’, ‘L01ED05’, ‘R07AX30’, ‘N02BB02’, ‘H02BX01’, ‘H02AB04’, ‘L01XX23’, ‘N06BA07’, ‘J05AG01’, ‘N03AF02’, ‘N03AX22’, ‘N03AA02’, ‘N03AB02’, ‘A10BG03’, ‘A10BD05’, ‘N03AA03’, ‘H02AB06’, ‘H02AB07’,  ‘J04AB04’, ‘J04AB02’, ‘J04AM05’, ‘J04AM02’, ‘J04AM06’, ‘N03AF03’, ‘L01EC01’, ‘L01CA01’, L01EL03’</w:t>
            </w:r>
          </w:p>
        </w:tc>
      </w:tr>
      <w:tr w:rsidR="00FD5A98" w:rsidRPr="004A0F74" w14:paraId="54ED59E4" w14:textId="77777777" w:rsidTr="00DF7C10">
        <w:tc>
          <w:tcPr>
            <w:tcW w:w="1064" w:type="dxa"/>
            <w:vMerge/>
            <w:vAlign w:val="center"/>
          </w:tcPr>
          <w:p w14:paraId="7F158AC8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341" w:type="dxa"/>
            <w:vMerge/>
            <w:vAlign w:val="center"/>
          </w:tcPr>
          <w:p w14:paraId="787A1443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66" w:type="dxa"/>
          </w:tcPr>
          <w:p w14:paraId="7E68470C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Topic</w:t>
            </w:r>
          </w:p>
        </w:tc>
        <w:tc>
          <w:tcPr>
            <w:tcW w:w="5381" w:type="dxa"/>
          </w:tcPr>
          <w:p w14:paraId="017A892E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‘D07XC01’, ‘D07AC01</w:t>
            </w:r>
            <w:proofErr w:type="gramStart"/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’, ‘</w:t>
            </w:r>
            <w:proofErr w:type="gramEnd"/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 xml:space="preserve">D07CC01’, ‘D07XB05’, ‘C05AA09’, ‘S01CA01’, ‘D07CB04’, ‘S01BA01’, ‘D07AC14’, ‘D07XA02’, ‘D01AC20’, ‘S01BA04’, </w:t>
            </w:r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‘C05AA04’</w:t>
            </w:r>
          </w:p>
        </w:tc>
      </w:tr>
      <w:tr w:rsidR="00FD5A98" w:rsidRPr="004A0F74" w14:paraId="5B32E995" w14:textId="77777777" w:rsidTr="00DF7C10">
        <w:tc>
          <w:tcPr>
            <w:tcW w:w="1064" w:type="dxa"/>
            <w:vMerge/>
            <w:vAlign w:val="center"/>
          </w:tcPr>
          <w:p w14:paraId="309E51CD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341" w:type="dxa"/>
            <w:vMerge/>
            <w:vAlign w:val="center"/>
          </w:tcPr>
          <w:p w14:paraId="44B4FFD6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66" w:type="dxa"/>
          </w:tcPr>
          <w:p w14:paraId="6EC790D4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Strong systemic</w:t>
            </w:r>
          </w:p>
        </w:tc>
        <w:tc>
          <w:tcPr>
            <w:tcW w:w="5381" w:type="dxa"/>
          </w:tcPr>
          <w:p w14:paraId="790BF7EB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‘L02BB05’, ‘N03AF01</w:t>
            </w:r>
            <w:proofErr w:type="gramStart"/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’, ‘</w:t>
            </w:r>
            <w:proofErr w:type="gramEnd"/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L02BB04’, ‘N06AX25’, ‘N03AX10’, ‘L01XM02’, ‘R07AX30’, ‘N02BB02’, ‘L01XX23’, ‘J04AB02’, ‘J04AM05’, ‘J04AM02’, ‘J04AM06’</w:t>
            </w:r>
          </w:p>
        </w:tc>
      </w:tr>
      <w:tr w:rsidR="00FD5A98" w:rsidRPr="004A0F74" w14:paraId="7F45F5B0" w14:textId="77777777" w:rsidTr="00DF7C10">
        <w:tc>
          <w:tcPr>
            <w:tcW w:w="1064" w:type="dxa"/>
            <w:vMerge/>
            <w:vAlign w:val="center"/>
          </w:tcPr>
          <w:p w14:paraId="4B37D2AB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341" w:type="dxa"/>
            <w:vMerge/>
            <w:vAlign w:val="center"/>
          </w:tcPr>
          <w:p w14:paraId="3799C649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66" w:type="dxa"/>
          </w:tcPr>
          <w:p w14:paraId="2158A208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Strong topic</w:t>
            </w:r>
          </w:p>
        </w:tc>
        <w:tc>
          <w:tcPr>
            <w:tcW w:w="5381" w:type="dxa"/>
          </w:tcPr>
          <w:p w14:paraId="604CD9A2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FD5A98" w:rsidRPr="004A0F74" w14:paraId="07750647" w14:textId="77777777" w:rsidTr="00DF7C10">
        <w:tc>
          <w:tcPr>
            <w:tcW w:w="1064" w:type="dxa"/>
            <w:vMerge/>
            <w:vAlign w:val="center"/>
          </w:tcPr>
          <w:p w14:paraId="39EF58F9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341" w:type="dxa"/>
            <w:vMerge/>
            <w:vAlign w:val="center"/>
          </w:tcPr>
          <w:p w14:paraId="2E3521FF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66" w:type="dxa"/>
          </w:tcPr>
          <w:p w14:paraId="47660FCC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Moderate systemic</w:t>
            </w:r>
          </w:p>
        </w:tc>
        <w:tc>
          <w:tcPr>
            <w:tcW w:w="5381" w:type="dxa"/>
          </w:tcPr>
          <w:p w14:paraId="3178EEFC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‘C02KX01’, ‘N03AX25’, ‘L01AA01’, ‘L01EC02’, ‘H02AB02’, ‘J05AG03’, ‘J05AR06’, ‘J05AR18’, ‘J05AR09’, ‘J05AG04’, ‘L01AA06’, ‘L01ED05’, ‘J05AG01’, ‘N03AF02’, ‘N03AX22’, ‘N03AA02’, ‘N03AB02’, ‘N03AA03’, ‘L01CA01’</w:t>
            </w:r>
          </w:p>
        </w:tc>
      </w:tr>
      <w:tr w:rsidR="00FD5A98" w:rsidRPr="004A0F74" w14:paraId="115DDF08" w14:textId="77777777" w:rsidTr="00DF7C10">
        <w:tc>
          <w:tcPr>
            <w:tcW w:w="1064" w:type="dxa"/>
            <w:vMerge/>
            <w:vAlign w:val="center"/>
          </w:tcPr>
          <w:p w14:paraId="2F7E8545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341" w:type="dxa"/>
            <w:vMerge/>
            <w:vAlign w:val="center"/>
          </w:tcPr>
          <w:p w14:paraId="23CB79BE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66" w:type="dxa"/>
          </w:tcPr>
          <w:p w14:paraId="500A210D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Moderate topic</w:t>
            </w:r>
          </w:p>
        </w:tc>
        <w:tc>
          <w:tcPr>
            <w:tcW w:w="5381" w:type="dxa"/>
          </w:tcPr>
          <w:p w14:paraId="2FA2BDF3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‘D07XB05’, ‘C05AA09</w:t>
            </w:r>
            <w:proofErr w:type="gramStart"/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’, ‘</w:t>
            </w:r>
            <w:proofErr w:type="gramEnd"/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S01CA01’, ‘D07CB04’, ‘S01BA01’</w:t>
            </w:r>
          </w:p>
        </w:tc>
      </w:tr>
      <w:tr w:rsidR="00FD5A98" w:rsidRPr="0094676B" w14:paraId="08BD5F72" w14:textId="77777777" w:rsidTr="00DF7C10">
        <w:tc>
          <w:tcPr>
            <w:tcW w:w="1064" w:type="dxa"/>
            <w:vMerge/>
            <w:vAlign w:val="center"/>
          </w:tcPr>
          <w:p w14:paraId="594201E2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341" w:type="dxa"/>
            <w:vMerge/>
            <w:vAlign w:val="center"/>
          </w:tcPr>
          <w:p w14:paraId="544F1BFC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66" w:type="dxa"/>
          </w:tcPr>
          <w:p w14:paraId="79F16710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Weak systemic</w:t>
            </w:r>
          </w:p>
        </w:tc>
        <w:tc>
          <w:tcPr>
            <w:tcW w:w="5381" w:type="dxa"/>
          </w:tcPr>
          <w:p w14:paraId="3D0BCCD2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de-CH"/>
              </w:rPr>
            </w:pPr>
            <w:r w:rsidRPr="004A0F74">
              <w:rPr>
                <w:rFonts w:ascii="Arial" w:hAnsi="Arial" w:cs="Arial"/>
                <w:sz w:val="16"/>
                <w:szCs w:val="16"/>
                <w:lang w:val="de-CH"/>
              </w:rPr>
              <w:t>‘H02AB01’, ‘L01ED04’, ‘H02BX01’, ‘H02AB04’, ‘N06BA07’, ‘A10BG03’, ‘A10BD05’, ‘H02AB06’, ‘H02AB07’, ‘J04AB04’, ‘N03AF03’, ‘L01EC01’, L01EL03’</w:t>
            </w:r>
          </w:p>
        </w:tc>
      </w:tr>
      <w:tr w:rsidR="00FD5A98" w:rsidRPr="004A0F74" w14:paraId="5EBDEBE4" w14:textId="77777777" w:rsidTr="00DF7C10">
        <w:trPr>
          <w:trHeight w:val="355"/>
        </w:trPr>
        <w:tc>
          <w:tcPr>
            <w:tcW w:w="1064" w:type="dxa"/>
            <w:vMerge/>
            <w:vAlign w:val="center"/>
          </w:tcPr>
          <w:p w14:paraId="64035302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341" w:type="dxa"/>
            <w:vMerge/>
            <w:vAlign w:val="center"/>
          </w:tcPr>
          <w:p w14:paraId="6E944F36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266" w:type="dxa"/>
          </w:tcPr>
          <w:p w14:paraId="4AAFC281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Weak topic</w:t>
            </w:r>
          </w:p>
        </w:tc>
        <w:tc>
          <w:tcPr>
            <w:tcW w:w="5381" w:type="dxa"/>
          </w:tcPr>
          <w:p w14:paraId="53C59A51" w14:textId="77777777" w:rsidR="00FD5A98" w:rsidRPr="004A0F74" w:rsidRDefault="00FD5A98" w:rsidP="00DF7C1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‘D07XC01’, ‘D07AC01</w:t>
            </w:r>
            <w:proofErr w:type="gramStart"/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’, ‘</w:t>
            </w:r>
            <w:proofErr w:type="gramEnd"/>
            <w:r w:rsidRPr="004A0F74">
              <w:rPr>
                <w:rFonts w:ascii="Arial" w:hAnsi="Arial" w:cs="Arial"/>
                <w:sz w:val="16"/>
                <w:szCs w:val="16"/>
                <w:lang w:val="en-US"/>
              </w:rPr>
              <w:t>D07CC01’, ‘D07AC14’, ‘D07XA02’, ‘D01AC20’, ‘S01BA04’, ‘C05AA04’</w:t>
            </w:r>
          </w:p>
        </w:tc>
      </w:tr>
    </w:tbl>
    <w:p w14:paraId="370F7B32" w14:textId="77777777" w:rsidR="00FD5A98" w:rsidRPr="00D410D5" w:rsidRDefault="00FD5A98" w:rsidP="00FD5A98">
      <w:pPr>
        <w:pStyle w:val="NotesandAbbreviations"/>
        <w:spacing w:before="0" w:after="0" w:line="480" w:lineRule="auto"/>
        <w:jc w:val="left"/>
        <w:rPr>
          <w:rFonts w:ascii="Arial" w:hAnsi="Arial" w:cs="Arial"/>
          <w:i w:val="0"/>
          <w:iCs/>
          <w:color w:val="auto"/>
          <w:sz w:val="20"/>
          <w:szCs w:val="20"/>
        </w:rPr>
      </w:pPr>
      <w:r w:rsidRPr="00D410D5">
        <w:rPr>
          <w:rFonts w:ascii="Arial" w:hAnsi="Arial" w:cs="Arial"/>
          <w:i w:val="0"/>
          <w:iCs/>
          <w:color w:val="auto"/>
          <w:sz w:val="20"/>
          <w:szCs w:val="20"/>
        </w:rPr>
        <w:t>Abbreviations: PGx, pharmacogenetics; OATP1B1, organic anion transporting polypeptide 1B1; BCRP, breast cancer resistance protein; ATC, Anatomical Therapeutic Chemical.</w:t>
      </w:r>
    </w:p>
    <w:bookmarkEnd w:id="1"/>
    <w:p w14:paraId="67F6002F" w14:textId="77777777" w:rsidR="00FD5A98" w:rsidRPr="004A0F74" w:rsidRDefault="00FD5A98" w:rsidP="00FD5A98">
      <w:pPr>
        <w:spacing w:line="480" w:lineRule="auto"/>
        <w:rPr>
          <w:rFonts w:ascii="Arial" w:hAnsi="Arial" w:cs="Arial"/>
          <w:sz w:val="20"/>
          <w:szCs w:val="20"/>
          <w:lang w:val="en-US"/>
        </w:rPr>
      </w:pPr>
    </w:p>
    <w:p w14:paraId="507DCD0F" w14:textId="77777777" w:rsidR="00F03905" w:rsidRPr="00FD5A98" w:rsidRDefault="00F03905">
      <w:pPr>
        <w:rPr>
          <w:lang w:val="en-US"/>
        </w:rPr>
      </w:pPr>
    </w:p>
    <w:sectPr w:rsidR="00F03905" w:rsidRPr="00FD5A98" w:rsidSect="00FD5A98">
      <w:pgSz w:w="11906" w:h="16838"/>
      <w:pgMar w:top="1417" w:right="1134" w:bottom="1134" w:left="1134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A98"/>
    <w:rsid w:val="001F5185"/>
    <w:rsid w:val="006227C7"/>
    <w:rsid w:val="0080572D"/>
    <w:rsid w:val="00991B4F"/>
    <w:rsid w:val="00E36059"/>
    <w:rsid w:val="00F03905"/>
    <w:rsid w:val="00FD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E5714E"/>
  <w15:chartTrackingRefBased/>
  <w15:docId w15:val="{D978532F-2D9E-4999-962E-176D5BE4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D5A98"/>
    <w:pPr>
      <w:spacing w:after="0" w:line="240" w:lineRule="auto"/>
    </w:pPr>
    <w:rPr>
      <w:sz w:val="24"/>
      <w:szCs w:val="24"/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D5A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D5A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D5A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D5A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D5A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D5A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D5A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D5A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D5A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D5A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D5A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D5A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D5A9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D5A9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D5A9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D5A9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D5A9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D5A9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D5A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D5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D5A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D5A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D5A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D5A9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D5A9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D5A9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D5A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D5A9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D5A98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FD5A98"/>
    <w:pPr>
      <w:spacing w:after="0" w:line="240" w:lineRule="auto"/>
    </w:pPr>
    <w:rPr>
      <w:rFonts w:ascii="Times New Roman" w:hAnsi="Times New Roman" w:cs="Calibr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unhideWhenUsed/>
    <w:qFormat/>
    <w:rsid w:val="00FD5A98"/>
    <w:pPr>
      <w:spacing w:before="120" w:after="120"/>
      <w:jc w:val="both"/>
    </w:pPr>
    <w:rPr>
      <w:rFonts w:ascii="Times New Roman" w:hAnsi="Times New Roman" w:cs="Calibri"/>
      <w:i/>
      <w:iCs/>
      <w:color w:val="0E2841" w:themeColor="text2"/>
      <w:kern w:val="0"/>
      <w:sz w:val="20"/>
      <w:szCs w:val="18"/>
      <w:lang w:val="de-CH"/>
    </w:rPr>
  </w:style>
  <w:style w:type="paragraph" w:customStyle="1" w:styleId="NotesandAbbreviations">
    <w:name w:val="Notes and Abbreviations"/>
    <w:basedOn w:val="KeinLeerraum"/>
    <w:qFormat/>
    <w:rsid w:val="00FD5A98"/>
    <w:pPr>
      <w:spacing w:before="120" w:after="120"/>
      <w:jc w:val="both"/>
    </w:pPr>
    <w:rPr>
      <w:rFonts w:ascii="Times New Roman" w:hAnsi="Times New Roman" w:cs="Calibri"/>
      <w:i/>
      <w:color w:val="0E2841" w:themeColor="text2"/>
      <w:kern w:val="0"/>
      <w:sz w:val="16"/>
      <w:szCs w:val="22"/>
      <w:lang w:val="en-US"/>
    </w:rPr>
  </w:style>
  <w:style w:type="paragraph" w:styleId="KeinLeerraum">
    <w:name w:val="No Spacing"/>
    <w:uiPriority w:val="1"/>
    <w:qFormat/>
    <w:rsid w:val="00FD5A98"/>
    <w:pPr>
      <w:spacing w:after="0" w:line="240" w:lineRule="auto"/>
    </w:pPr>
    <w:rPr>
      <w:sz w:val="24"/>
      <w:szCs w:val="24"/>
      <w:lang w:val="en-GB"/>
    </w:rPr>
  </w:style>
  <w:style w:type="character" w:styleId="Zeilennummer">
    <w:name w:val="line number"/>
    <w:basedOn w:val="Absatz-Standardschriftart"/>
    <w:uiPriority w:val="99"/>
    <w:semiHidden/>
    <w:unhideWhenUsed/>
    <w:rsid w:val="00FD5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1481</Words>
  <Characters>9331</Characters>
  <Application>Microsoft Office Word</Application>
  <DocSecurity>0</DocSecurity>
  <Lines>77</Lines>
  <Paragraphs>21</Paragraphs>
  <ScaleCrop>false</ScaleCrop>
  <Company>Universitaetsspital Basel</Company>
  <LinksUpToDate>false</LinksUpToDate>
  <CharactersWithSpaces>10791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Roth Marietta Manuela</dc:creator>
  <cp:keywords/>
  <dc:description/>
  <cp:lastModifiedBy>Roth Marietta Manuela</cp:lastModifiedBy>
  <cp:revision>1</cp:revision>
  <dcterms:created xsi:type="dcterms:W3CDTF">2026-02-17T10:36:00Z</dcterms:created>
  <dcterms:modified xsi:type="dcterms:W3CDTF">2026-02-17T10:36:00Z</dcterms:modified>
</cp:coreProperties>
</file>