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324F" w14:textId="789DAC79" w:rsidR="00D250E5" w:rsidRPr="00450878" w:rsidRDefault="004A1721" w:rsidP="00D250E5">
      <w:pPr>
        <w:pStyle w:val="Heading2"/>
        <w:rPr>
          <w:rFonts w:ascii="Arial" w:hAnsi="Arial" w:cs="Arial"/>
          <w:b/>
          <w:bCs/>
          <w:i/>
          <w:iCs/>
          <w:color w:val="auto"/>
          <w:sz w:val="28"/>
          <w:szCs w:val="28"/>
        </w:rPr>
      </w:pPr>
      <w:r>
        <w:rPr>
          <w:rFonts w:ascii="Arial" w:hAnsi="Arial" w:cs="Arial"/>
          <w:b/>
          <w:bCs/>
          <w:i/>
          <w:iCs/>
          <w:color w:val="auto"/>
          <w:sz w:val="28"/>
          <w:szCs w:val="28"/>
        </w:rPr>
        <w:t xml:space="preserve">Supplementary Material 1: </w:t>
      </w:r>
      <w:r w:rsidR="00D250E5" w:rsidRPr="00450878">
        <w:rPr>
          <w:rFonts w:ascii="Arial" w:hAnsi="Arial" w:cs="Arial"/>
          <w:b/>
          <w:bCs/>
          <w:i/>
          <w:iCs/>
          <w:color w:val="auto"/>
          <w:sz w:val="28"/>
          <w:szCs w:val="28"/>
        </w:rPr>
        <w:t xml:space="preserve">Supplementary </w:t>
      </w:r>
      <w:r w:rsidR="009B3F85" w:rsidRPr="00450878">
        <w:rPr>
          <w:rFonts w:ascii="Arial" w:hAnsi="Arial" w:cs="Arial"/>
          <w:b/>
          <w:bCs/>
          <w:i/>
          <w:iCs/>
          <w:color w:val="auto"/>
          <w:sz w:val="28"/>
          <w:szCs w:val="28"/>
        </w:rPr>
        <w:t>m</w:t>
      </w:r>
      <w:r w:rsidR="00D250E5" w:rsidRPr="00450878">
        <w:rPr>
          <w:rFonts w:ascii="Arial" w:hAnsi="Arial" w:cs="Arial"/>
          <w:b/>
          <w:bCs/>
          <w:i/>
          <w:iCs/>
          <w:color w:val="auto"/>
          <w:sz w:val="28"/>
          <w:szCs w:val="28"/>
        </w:rPr>
        <w:t>ethods</w:t>
      </w:r>
    </w:p>
    <w:p w14:paraId="6E32A736" w14:textId="77777777" w:rsidR="00D250E5" w:rsidRPr="00D250E5" w:rsidRDefault="00D250E5" w:rsidP="00D250E5">
      <w:pPr>
        <w:pStyle w:val="Heading3"/>
        <w:rPr>
          <w:rFonts w:cs="Arial"/>
          <w:b/>
          <w:bCs/>
          <w:color w:val="auto"/>
          <w:sz w:val="20"/>
          <w:szCs w:val="20"/>
        </w:rPr>
      </w:pPr>
      <w:r w:rsidRPr="00D250E5">
        <w:rPr>
          <w:rFonts w:cs="Arial"/>
          <w:b/>
          <w:bCs/>
          <w:color w:val="auto"/>
          <w:sz w:val="20"/>
          <w:szCs w:val="20"/>
        </w:rPr>
        <w:t>Alternative definitions of type 2 inflammation for the sensitivity analyses</w:t>
      </w:r>
    </w:p>
    <w:p w14:paraId="2845AA65" w14:textId="77777777" w:rsidR="00D250E5" w:rsidRPr="00737A30" w:rsidRDefault="00D250E5" w:rsidP="00D250E5">
      <w:pPr>
        <w:rPr>
          <w:rFonts w:cs="Arial"/>
        </w:rPr>
      </w:pPr>
      <w:r w:rsidRPr="00737A30">
        <w:rPr>
          <w:rFonts w:cs="Arial"/>
        </w:rPr>
        <w:t>The first approach classified patients as type 2 inflammation-positive if they had ≥2 eosinophil measurements that were &gt;300 cells/</w:t>
      </w:r>
      <w:proofErr w:type="spellStart"/>
      <w:r w:rsidRPr="00737A30">
        <w:rPr>
          <w:rFonts w:cs="Arial"/>
        </w:rPr>
        <w:t>μL</w:t>
      </w:r>
      <w:proofErr w:type="spellEnd"/>
      <w:r w:rsidRPr="00737A30">
        <w:rPr>
          <w:rFonts w:cs="Arial"/>
        </w:rPr>
        <w:t xml:space="preserve"> during the period from day −365 to day 1</w:t>
      </w:r>
      <w:r>
        <w:rPr>
          <w:rFonts w:cs="Arial"/>
        </w:rPr>
        <w:t>,</w:t>
      </w:r>
      <w:r w:rsidRPr="00737A30">
        <w:rPr>
          <w:rFonts w:cs="Arial"/>
        </w:rPr>
        <w:t xml:space="preserve">095, while those who did not meet this criterion were categorized as type 2 inflammation-negative. The second approach determined type 2 inflammation status using a </w:t>
      </w:r>
      <w:r>
        <w:rPr>
          <w:rFonts w:cs="Arial"/>
        </w:rPr>
        <w:t>beta</w:t>
      </w:r>
      <w:r w:rsidRPr="00737A30">
        <w:rPr>
          <w:rFonts w:cs="Arial"/>
        </w:rPr>
        <w:t xml:space="preserve"> distribution model applied to eosinophil measurements recorded from day −365 to day 0. In this model, patients were </w:t>
      </w:r>
      <w:r w:rsidRPr="00552926">
        <w:rPr>
          <w:rFonts w:cs="Arial"/>
        </w:rPr>
        <w:t xml:space="preserve">classified as having persistently high eosinophil levels if the probability </w:t>
      </w:r>
      <w:r w:rsidRPr="00552926">
        <w:rPr>
          <w:rFonts w:cs="Arial" w:hint="eastAsia"/>
          <w:lang w:eastAsia="ja-JP"/>
        </w:rPr>
        <w:t xml:space="preserve">that the proportion of </w:t>
      </w:r>
      <w:r w:rsidRPr="00552926">
        <w:rPr>
          <w:rFonts w:cs="Arial"/>
        </w:rPr>
        <w:t xml:space="preserve">eosinophil counts </w:t>
      </w:r>
      <w:r w:rsidRPr="00552926">
        <w:rPr>
          <w:rFonts w:cs="Arial"/>
          <w:sz w:val="18"/>
          <w:szCs w:val="18"/>
          <w:lang w:eastAsia="ja-JP"/>
        </w:rPr>
        <w:t>&gt;</w:t>
      </w:r>
      <w:r w:rsidRPr="00552926">
        <w:rPr>
          <w:rFonts w:cs="Arial"/>
        </w:rPr>
        <w:t>300 cells/</w:t>
      </w:r>
      <w:proofErr w:type="spellStart"/>
      <w:r w:rsidRPr="00552926">
        <w:rPr>
          <w:rFonts w:cs="Arial"/>
        </w:rPr>
        <w:t>μL</w:t>
      </w:r>
      <w:proofErr w:type="spellEnd"/>
      <w:r w:rsidRPr="00552926">
        <w:rPr>
          <w:rFonts w:cs="Arial"/>
          <w:lang w:eastAsia="ja-JP"/>
        </w:rPr>
        <w:t xml:space="preserve"> exceeding 0.75</w:t>
      </w:r>
      <w:r w:rsidRPr="00552926">
        <w:rPr>
          <w:rFonts w:cs="Arial"/>
        </w:rPr>
        <w:t xml:space="preserve"> was &gt;0.7, and as having persistently low eosinophil levels if the probability </w:t>
      </w:r>
      <w:r w:rsidRPr="00552926">
        <w:rPr>
          <w:rFonts w:cs="Arial"/>
          <w:lang w:eastAsia="ja-JP"/>
        </w:rPr>
        <w:t xml:space="preserve">that the proportion </w:t>
      </w:r>
      <w:r w:rsidRPr="00552926">
        <w:rPr>
          <w:rFonts w:cs="Arial"/>
        </w:rPr>
        <w:t>of eosinophil counts ≤300 cells/</w:t>
      </w:r>
      <w:proofErr w:type="spellStart"/>
      <w:r w:rsidRPr="00552926">
        <w:rPr>
          <w:rFonts w:cs="Arial"/>
        </w:rPr>
        <w:t>μL</w:t>
      </w:r>
      <w:proofErr w:type="spellEnd"/>
      <w:r w:rsidRPr="00552926">
        <w:rPr>
          <w:rFonts w:cs="Arial"/>
        </w:rPr>
        <w:t xml:space="preserve"> </w:t>
      </w:r>
      <w:r w:rsidRPr="00552926">
        <w:rPr>
          <w:rFonts w:cs="Arial"/>
          <w:lang w:eastAsia="ja-JP"/>
        </w:rPr>
        <w:t xml:space="preserve">exceeding 0.75 </w:t>
      </w:r>
      <w:r w:rsidRPr="00552926">
        <w:rPr>
          <w:rFonts w:cs="Arial"/>
        </w:rPr>
        <w:t>was &gt;0.7. Patients</w:t>
      </w:r>
      <w:r w:rsidRPr="00737A30">
        <w:rPr>
          <w:rFonts w:cs="Arial"/>
        </w:rPr>
        <w:t xml:space="preserve"> who did not meet either criterion were classified as having an intermediate level of type 2 inflammation. A third sensitivity analysis classified type 2 inflammation status based on the mean eosinophil count from day −365 to day 0, applying the same categories and thresholds as in the main analysis. Lastly, an alternative threshold for the maximum recorded eosinophil count was used in the fourth analysis, in which patients with a maximum eosinophil count of &gt;150 cells/</w:t>
      </w:r>
      <w:proofErr w:type="spellStart"/>
      <w:r w:rsidRPr="00737A30">
        <w:rPr>
          <w:rFonts w:cs="Arial"/>
        </w:rPr>
        <w:t>μL</w:t>
      </w:r>
      <w:proofErr w:type="spellEnd"/>
      <w:r w:rsidRPr="00737A30">
        <w:rPr>
          <w:rFonts w:cs="Arial"/>
        </w:rPr>
        <w:t xml:space="preserve"> during the period from day −365 to day 0 were classified as type 2 inflammation-positive, while those with an eosinophil count of ≤150 cells/</w:t>
      </w:r>
      <w:proofErr w:type="spellStart"/>
      <w:r w:rsidRPr="00737A30">
        <w:rPr>
          <w:rFonts w:cs="Arial"/>
        </w:rPr>
        <w:t>μL</w:t>
      </w:r>
      <w:proofErr w:type="spellEnd"/>
      <w:r w:rsidRPr="00737A30">
        <w:rPr>
          <w:rFonts w:cs="Arial"/>
        </w:rPr>
        <w:t xml:space="preserve"> were classified as type 2 inflammation-negative.</w:t>
      </w:r>
    </w:p>
    <w:p w14:paraId="13A6AE33" w14:textId="77777777" w:rsidR="00D250E5" w:rsidRPr="00737A30" w:rsidRDefault="00D250E5" w:rsidP="00D250E5">
      <w:pPr>
        <w:pStyle w:val="Heading2"/>
        <w:spacing w:line="240" w:lineRule="auto"/>
        <w:sectPr w:rsidR="00D250E5" w:rsidRPr="00737A30" w:rsidSect="00D250E5">
          <w:footerReference w:type="even" r:id="rId10"/>
          <w:footerReference w:type="default" r:id="rId11"/>
          <w:footerReference w:type="first" r:id="rId12"/>
          <w:endnotePr>
            <w:numFmt w:val="decimal"/>
          </w:endnotePr>
          <w:pgSz w:w="11907" w:h="16840" w:code="9"/>
          <w:pgMar w:top="1440" w:right="1701" w:bottom="1440" w:left="1701" w:header="567" w:footer="567" w:gutter="0"/>
          <w:cols w:space="720"/>
          <w:docGrid w:linePitch="299"/>
        </w:sectPr>
      </w:pPr>
    </w:p>
    <w:p w14:paraId="7C759545" w14:textId="77777777" w:rsidR="00D250E5" w:rsidRPr="00450878" w:rsidRDefault="00D250E5" w:rsidP="00D250E5">
      <w:pPr>
        <w:pStyle w:val="Heading2"/>
        <w:rPr>
          <w:rFonts w:ascii="Arial" w:hAnsi="Arial" w:cs="Arial"/>
          <w:b/>
          <w:bCs/>
          <w:i/>
          <w:iCs/>
          <w:color w:val="000000" w:themeColor="text1"/>
          <w:sz w:val="28"/>
          <w:szCs w:val="28"/>
        </w:rPr>
      </w:pPr>
      <w:r w:rsidRPr="00450878">
        <w:rPr>
          <w:rFonts w:ascii="Arial" w:hAnsi="Arial" w:cs="Arial"/>
          <w:b/>
          <w:bCs/>
          <w:i/>
          <w:iCs/>
          <w:color w:val="000000" w:themeColor="text1"/>
          <w:sz w:val="28"/>
          <w:szCs w:val="28"/>
        </w:rPr>
        <w:lastRenderedPageBreak/>
        <w:t>Supplementary Tables</w:t>
      </w:r>
    </w:p>
    <w:p w14:paraId="1864E822" w14:textId="4DA017A6" w:rsidR="00D250E5" w:rsidRPr="00737A30" w:rsidRDefault="00D250E5" w:rsidP="005C6D88">
      <w:pPr>
        <w:pStyle w:val="Heading3"/>
        <w:rPr>
          <w:lang w:eastAsia="ja-JP"/>
        </w:rPr>
      </w:pPr>
      <w:r w:rsidRPr="00D250E5">
        <w:rPr>
          <w:rFonts w:cs="Arial"/>
          <w:b/>
          <w:bCs/>
          <w:color w:val="000000" w:themeColor="text1"/>
          <w:sz w:val="20"/>
          <w:szCs w:val="20"/>
          <w:lang w:eastAsia="ja-JP"/>
        </w:rPr>
        <w:t>Supplementary Table 1</w:t>
      </w:r>
      <w:r w:rsidR="005C6D88">
        <w:rPr>
          <w:rFonts w:cs="Arial"/>
          <w:b/>
          <w:bCs/>
          <w:color w:val="000000" w:themeColor="text1"/>
          <w:sz w:val="20"/>
          <w:szCs w:val="20"/>
          <w:lang w:eastAsia="ja-JP"/>
        </w:rPr>
        <w:t xml:space="preserve"> </w:t>
      </w:r>
      <w:r w:rsidRPr="005C6D88">
        <w:rPr>
          <w:rFonts w:cs="Arial"/>
          <w:b/>
          <w:bCs/>
          <w:color w:val="000000" w:themeColor="text1"/>
          <w:sz w:val="20"/>
          <w:szCs w:val="20"/>
          <w:lang w:eastAsia="ja-JP"/>
        </w:rPr>
        <w:t>Diseases and medical procedures by ICD-10 codes</w:t>
      </w:r>
    </w:p>
    <w:tbl>
      <w:tblPr>
        <w:tblW w:w="14884" w:type="dxa"/>
        <w:tblLayout w:type="fixed"/>
        <w:tblCellMar>
          <w:left w:w="99" w:type="dxa"/>
          <w:right w:w="99" w:type="dxa"/>
        </w:tblCellMar>
        <w:tblLook w:val="04A0" w:firstRow="1" w:lastRow="0" w:firstColumn="1" w:lastColumn="0" w:noHBand="0" w:noVBand="1"/>
      </w:tblPr>
      <w:tblGrid>
        <w:gridCol w:w="5812"/>
        <w:gridCol w:w="9072"/>
      </w:tblGrid>
      <w:tr w:rsidR="00D250E5" w:rsidRPr="00A054F7" w14:paraId="2232D223" w14:textId="77777777" w:rsidTr="002D2677">
        <w:trPr>
          <w:trHeight w:val="23"/>
        </w:trPr>
        <w:tc>
          <w:tcPr>
            <w:tcW w:w="5812" w:type="dxa"/>
            <w:tcBorders>
              <w:top w:val="single" w:sz="4" w:space="0" w:color="auto"/>
              <w:bottom w:val="single" w:sz="4" w:space="0" w:color="auto"/>
            </w:tcBorders>
            <w:noWrap/>
          </w:tcPr>
          <w:p w14:paraId="722A0D28"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072" w:type="dxa"/>
            <w:tcBorders>
              <w:top w:val="single" w:sz="4" w:space="0" w:color="auto"/>
              <w:bottom w:val="single" w:sz="4" w:space="0" w:color="auto"/>
            </w:tcBorders>
            <w:noWrap/>
            <w:hideMark/>
          </w:tcPr>
          <w:p w14:paraId="5247A932"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Yu Gothic" w:cs="Arial"/>
                <w:color w:val="000000"/>
                <w:sz w:val="18"/>
                <w:szCs w:val="18"/>
                <w:lang w:eastAsia="ja-JP"/>
              </w:rPr>
              <w:t>ICD-10 code</w:t>
            </w:r>
          </w:p>
        </w:tc>
      </w:tr>
      <w:tr w:rsidR="00D250E5" w:rsidRPr="00A054F7" w14:paraId="1AB70DCD" w14:textId="77777777" w:rsidTr="002D2677">
        <w:trPr>
          <w:trHeight w:val="23"/>
        </w:trPr>
        <w:tc>
          <w:tcPr>
            <w:tcW w:w="5812" w:type="dxa"/>
            <w:tcBorders>
              <w:top w:val="single" w:sz="4" w:space="0" w:color="auto"/>
            </w:tcBorders>
            <w:noWrap/>
          </w:tcPr>
          <w:p w14:paraId="12B43C91"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Diseases</w:t>
            </w:r>
          </w:p>
        </w:tc>
        <w:tc>
          <w:tcPr>
            <w:tcW w:w="9072" w:type="dxa"/>
            <w:tcBorders>
              <w:top w:val="single" w:sz="4" w:space="0" w:color="auto"/>
            </w:tcBorders>
            <w:noWrap/>
          </w:tcPr>
          <w:p w14:paraId="278454D4"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A054F7" w14:paraId="4EB8F8E6" w14:textId="77777777" w:rsidTr="002D2677">
        <w:trPr>
          <w:trHeight w:val="23"/>
        </w:trPr>
        <w:tc>
          <w:tcPr>
            <w:tcW w:w="5812" w:type="dxa"/>
            <w:noWrap/>
          </w:tcPr>
          <w:p w14:paraId="7B994191"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COPD and COPD subtypes</w:t>
            </w:r>
          </w:p>
        </w:tc>
        <w:tc>
          <w:tcPr>
            <w:tcW w:w="9072" w:type="dxa"/>
            <w:noWrap/>
          </w:tcPr>
          <w:p w14:paraId="41755E8C"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A054F7" w14:paraId="1A07743C" w14:textId="77777777" w:rsidTr="002D2677">
        <w:trPr>
          <w:trHeight w:val="23"/>
        </w:trPr>
        <w:tc>
          <w:tcPr>
            <w:tcW w:w="5812" w:type="dxa"/>
            <w:noWrap/>
          </w:tcPr>
          <w:p w14:paraId="293179CE"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COPD</w:t>
            </w:r>
          </w:p>
        </w:tc>
        <w:tc>
          <w:tcPr>
            <w:tcW w:w="9072" w:type="dxa"/>
            <w:noWrap/>
          </w:tcPr>
          <w:p w14:paraId="6A1A9D0A"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J41–J44</w:t>
            </w:r>
          </w:p>
        </w:tc>
      </w:tr>
      <w:tr w:rsidR="00D250E5" w:rsidRPr="00A054F7" w14:paraId="00A1F006" w14:textId="77777777" w:rsidTr="002D2677">
        <w:trPr>
          <w:trHeight w:val="23"/>
        </w:trPr>
        <w:tc>
          <w:tcPr>
            <w:tcW w:w="5812" w:type="dxa"/>
            <w:noWrap/>
          </w:tcPr>
          <w:p w14:paraId="2B02CEFB"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Bronchial asthma</w:t>
            </w:r>
          </w:p>
        </w:tc>
        <w:tc>
          <w:tcPr>
            <w:tcW w:w="9072" w:type="dxa"/>
            <w:noWrap/>
          </w:tcPr>
          <w:p w14:paraId="25CB3AF8"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J45</w:t>
            </w:r>
          </w:p>
        </w:tc>
      </w:tr>
      <w:tr w:rsidR="00D250E5" w:rsidRPr="00A054F7" w14:paraId="3DA0E622" w14:textId="77777777" w:rsidTr="002D2677">
        <w:trPr>
          <w:trHeight w:val="23"/>
        </w:trPr>
        <w:tc>
          <w:tcPr>
            <w:tcW w:w="5812" w:type="dxa"/>
            <w:noWrap/>
          </w:tcPr>
          <w:p w14:paraId="5F81C4EF"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Chronic bronchitis</w:t>
            </w:r>
          </w:p>
        </w:tc>
        <w:tc>
          <w:tcPr>
            <w:tcW w:w="9072" w:type="dxa"/>
            <w:noWrap/>
          </w:tcPr>
          <w:p w14:paraId="106CEBDB"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J42</w:t>
            </w:r>
          </w:p>
        </w:tc>
      </w:tr>
      <w:tr w:rsidR="00D250E5" w:rsidRPr="00A054F7" w14:paraId="783C7D73" w14:textId="77777777" w:rsidTr="002D2677">
        <w:trPr>
          <w:trHeight w:val="23"/>
        </w:trPr>
        <w:tc>
          <w:tcPr>
            <w:tcW w:w="5812" w:type="dxa"/>
            <w:noWrap/>
          </w:tcPr>
          <w:p w14:paraId="60A97B52"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Emphysema</w:t>
            </w:r>
          </w:p>
        </w:tc>
        <w:tc>
          <w:tcPr>
            <w:tcW w:w="9072" w:type="dxa"/>
            <w:noWrap/>
          </w:tcPr>
          <w:p w14:paraId="60ECD1E1"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J43</w:t>
            </w:r>
          </w:p>
        </w:tc>
      </w:tr>
      <w:tr w:rsidR="00D250E5" w:rsidRPr="00A054F7" w14:paraId="04C58153" w14:textId="77777777" w:rsidTr="002D2677">
        <w:trPr>
          <w:trHeight w:val="23"/>
        </w:trPr>
        <w:tc>
          <w:tcPr>
            <w:tcW w:w="5812" w:type="dxa"/>
            <w:noWrap/>
          </w:tcPr>
          <w:p w14:paraId="43A5A761"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Other COPD</w:t>
            </w:r>
          </w:p>
        </w:tc>
        <w:tc>
          <w:tcPr>
            <w:tcW w:w="9072" w:type="dxa"/>
            <w:noWrap/>
          </w:tcPr>
          <w:p w14:paraId="4512FECB"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J41, J44</w:t>
            </w:r>
          </w:p>
        </w:tc>
      </w:tr>
      <w:tr w:rsidR="00D250E5" w:rsidRPr="00A054F7" w14:paraId="13E139C1" w14:textId="77777777" w:rsidTr="002D2677">
        <w:trPr>
          <w:trHeight w:val="23"/>
        </w:trPr>
        <w:tc>
          <w:tcPr>
            <w:tcW w:w="5812" w:type="dxa"/>
            <w:noWrap/>
            <w:vAlign w:val="bottom"/>
          </w:tcPr>
          <w:p w14:paraId="27FEFCE2"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Infectious codes for COPD exacerbation</w:t>
            </w:r>
          </w:p>
        </w:tc>
        <w:tc>
          <w:tcPr>
            <w:tcW w:w="9072" w:type="dxa"/>
            <w:noWrap/>
            <w:vAlign w:val="bottom"/>
          </w:tcPr>
          <w:p w14:paraId="7C3838A0"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A054F7" w14:paraId="41A11EA0" w14:textId="77777777" w:rsidTr="002D2677">
        <w:trPr>
          <w:trHeight w:val="23"/>
        </w:trPr>
        <w:tc>
          <w:tcPr>
            <w:tcW w:w="5812" w:type="dxa"/>
            <w:noWrap/>
          </w:tcPr>
          <w:p w14:paraId="42715CAE"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Influenza</w:t>
            </w:r>
          </w:p>
        </w:tc>
        <w:tc>
          <w:tcPr>
            <w:tcW w:w="9072" w:type="dxa"/>
            <w:noWrap/>
          </w:tcPr>
          <w:p w14:paraId="11FD6890"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J09–J11</w:t>
            </w:r>
          </w:p>
        </w:tc>
      </w:tr>
      <w:tr w:rsidR="00D250E5" w:rsidRPr="00A054F7" w14:paraId="7B2C62B1" w14:textId="77777777" w:rsidTr="002D2677">
        <w:trPr>
          <w:trHeight w:val="23"/>
        </w:trPr>
        <w:tc>
          <w:tcPr>
            <w:tcW w:w="5812" w:type="dxa"/>
            <w:noWrap/>
          </w:tcPr>
          <w:p w14:paraId="5D20B072"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Viral pneumonia</w:t>
            </w:r>
          </w:p>
        </w:tc>
        <w:tc>
          <w:tcPr>
            <w:tcW w:w="9072" w:type="dxa"/>
            <w:noWrap/>
          </w:tcPr>
          <w:p w14:paraId="4A1DFAD4"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J12</w:t>
            </w:r>
          </w:p>
        </w:tc>
      </w:tr>
      <w:tr w:rsidR="00D250E5" w:rsidRPr="00A054F7" w14:paraId="4F633180" w14:textId="77777777" w:rsidTr="002D2677">
        <w:trPr>
          <w:trHeight w:val="23"/>
        </w:trPr>
        <w:tc>
          <w:tcPr>
            <w:tcW w:w="5812" w:type="dxa"/>
            <w:noWrap/>
          </w:tcPr>
          <w:p w14:paraId="70D30BAC"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Bacterial pneumonia</w:t>
            </w:r>
          </w:p>
        </w:tc>
        <w:tc>
          <w:tcPr>
            <w:tcW w:w="9072" w:type="dxa"/>
            <w:noWrap/>
          </w:tcPr>
          <w:p w14:paraId="6B73AA8F"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J13–J16</w:t>
            </w:r>
          </w:p>
        </w:tc>
      </w:tr>
      <w:tr w:rsidR="00D250E5" w:rsidRPr="00A054F7" w14:paraId="0E84B1E8" w14:textId="77777777" w:rsidTr="002D2677">
        <w:trPr>
          <w:trHeight w:val="23"/>
        </w:trPr>
        <w:tc>
          <w:tcPr>
            <w:tcW w:w="5812" w:type="dxa"/>
            <w:noWrap/>
          </w:tcPr>
          <w:p w14:paraId="2B6ED797"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Pneumonia, organism unspecified</w:t>
            </w:r>
          </w:p>
        </w:tc>
        <w:tc>
          <w:tcPr>
            <w:tcW w:w="9072" w:type="dxa"/>
            <w:noWrap/>
          </w:tcPr>
          <w:p w14:paraId="56517866"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J18</w:t>
            </w:r>
          </w:p>
        </w:tc>
      </w:tr>
      <w:tr w:rsidR="00D250E5" w:rsidRPr="00A054F7" w14:paraId="0BC131BF" w14:textId="77777777" w:rsidTr="002D2677">
        <w:trPr>
          <w:trHeight w:val="23"/>
        </w:trPr>
        <w:tc>
          <w:tcPr>
            <w:tcW w:w="5812" w:type="dxa"/>
            <w:noWrap/>
          </w:tcPr>
          <w:p w14:paraId="13A9C463"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Acute bronchitis</w:t>
            </w:r>
          </w:p>
        </w:tc>
        <w:tc>
          <w:tcPr>
            <w:tcW w:w="9072" w:type="dxa"/>
            <w:noWrap/>
          </w:tcPr>
          <w:p w14:paraId="72DFB8CB"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J20</w:t>
            </w:r>
          </w:p>
        </w:tc>
      </w:tr>
      <w:tr w:rsidR="00D250E5" w:rsidRPr="00A054F7" w14:paraId="51E24613" w14:textId="77777777" w:rsidTr="002D2677">
        <w:trPr>
          <w:trHeight w:val="23"/>
        </w:trPr>
        <w:tc>
          <w:tcPr>
            <w:tcW w:w="5812" w:type="dxa"/>
            <w:noWrap/>
          </w:tcPr>
          <w:p w14:paraId="0D9E1261"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Acute bronchiolitis</w:t>
            </w:r>
          </w:p>
        </w:tc>
        <w:tc>
          <w:tcPr>
            <w:tcW w:w="9072" w:type="dxa"/>
            <w:noWrap/>
          </w:tcPr>
          <w:p w14:paraId="0433CA3D"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J21</w:t>
            </w:r>
          </w:p>
        </w:tc>
      </w:tr>
      <w:tr w:rsidR="00D250E5" w:rsidRPr="00A054F7" w14:paraId="7574B584" w14:textId="77777777" w:rsidTr="002D2677">
        <w:trPr>
          <w:trHeight w:val="23"/>
        </w:trPr>
        <w:tc>
          <w:tcPr>
            <w:tcW w:w="5812" w:type="dxa"/>
            <w:noWrap/>
          </w:tcPr>
          <w:p w14:paraId="70A71E6A"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Unspecified acute lower respiratory infection</w:t>
            </w:r>
          </w:p>
        </w:tc>
        <w:tc>
          <w:tcPr>
            <w:tcW w:w="9072" w:type="dxa"/>
            <w:noWrap/>
          </w:tcPr>
          <w:p w14:paraId="5646CEB4"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J22</w:t>
            </w:r>
          </w:p>
        </w:tc>
      </w:tr>
      <w:tr w:rsidR="00D250E5" w:rsidRPr="00A054F7" w14:paraId="2234C2C0" w14:textId="77777777" w:rsidTr="002D2677">
        <w:trPr>
          <w:trHeight w:val="23"/>
        </w:trPr>
        <w:tc>
          <w:tcPr>
            <w:tcW w:w="5812" w:type="dxa"/>
            <w:noWrap/>
          </w:tcPr>
          <w:p w14:paraId="196478E6"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COPD acute exacerbation</w:t>
            </w:r>
          </w:p>
        </w:tc>
        <w:tc>
          <w:tcPr>
            <w:tcW w:w="9072" w:type="dxa"/>
            <w:noWrap/>
          </w:tcPr>
          <w:p w14:paraId="3E7ED16B"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J440, J441</w:t>
            </w:r>
          </w:p>
        </w:tc>
      </w:tr>
      <w:tr w:rsidR="00D250E5" w:rsidRPr="00A054F7" w14:paraId="43EB4714" w14:textId="77777777" w:rsidTr="002D2677">
        <w:trPr>
          <w:trHeight w:val="23"/>
        </w:trPr>
        <w:tc>
          <w:tcPr>
            <w:tcW w:w="5812" w:type="dxa"/>
            <w:noWrap/>
          </w:tcPr>
          <w:p w14:paraId="5D200129"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Chemical pneumonitis</w:t>
            </w:r>
          </w:p>
        </w:tc>
        <w:tc>
          <w:tcPr>
            <w:tcW w:w="9072" w:type="dxa"/>
            <w:noWrap/>
          </w:tcPr>
          <w:p w14:paraId="2FD971B0"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J680</w:t>
            </w:r>
          </w:p>
        </w:tc>
      </w:tr>
      <w:tr w:rsidR="00D250E5" w:rsidRPr="00A054F7" w14:paraId="3047564D" w14:textId="77777777" w:rsidTr="002D2677">
        <w:trPr>
          <w:trHeight w:val="23"/>
        </w:trPr>
        <w:tc>
          <w:tcPr>
            <w:tcW w:w="5812" w:type="dxa"/>
            <w:noWrap/>
          </w:tcPr>
          <w:p w14:paraId="34129173"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Abscess of lung with pneumonia</w:t>
            </w:r>
          </w:p>
        </w:tc>
        <w:tc>
          <w:tcPr>
            <w:tcW w:w="9072" w:type="dxa"/>
            <w:noWrap/>
          </w:tcPr>
          <w:p w14:paraId="4762B1AF"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J851</w:t>
            </w:r>
          </w:p>
        </w:tc>
      </w:tr>
      <w:tr w:rsidR="00D250E5" w:rsidRPr="00A054F7" w14:paraId="3D04A24C" w14:textId="77777777" w:rsidTr="002D2677">
        <w:trPr>
          <w:trHeight w:val="23"/>
        </w:trPr>
        <w:tc>
          <w:tcPr>
            <w:tcW w:w="5812" w:type="dxa"/>
            <w:noWrap/>
          </w:tcPr>
          <w:p w14:paraId="3BC685A4"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Legionnaires disease</w:t>
            </w:r>
          </w:p>
        </w:tc>
        <w:tc>
          <w:tcPr>
            <w:tcW w:w="9072" w:type="dxa"/>
            <w:noWrap/>
          </w:tcPr>
          <w:p w14:paraId="4A01AADC"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A481</w:t>
            </w:r>
          </w:p>
        </w:tc>
      </w:tr>
      <w:tr w:rsidR="00D250E5" w:rsidRPr="00A054F7" w14:paraId="08423DD3" w14:textId="77777777" w:rsidTr="002D2677">
        <w:trPr>
          <w:trHeight w:val="23"/>
        </w:trPr>
        <w:tc>
          <w:tcPr>
            <w:tcW w:w="5812" w:type="dxa"/>
            <w:noWrap/>
          </w:tcPr>
          <w:p w14:paraId="75D3186B"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Pneumonia in diseases classified elsewhere</w:t>
            </w:r>
          </w:p>
        </w:tc>
        <w:tc>
          <w:tcPr>
            <w:tcW w:w="9072" w:type="dxa"/>
            <w:noWrap/>
          </w:tcPr>
          <w:p w14:paraId="3E5CC6C5"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J17</w:t>
            </w:r>
          </w:p>
        </w:tc>
      </w:tr>
      <w:tr w:rsidR="00D250E5" w:rsidRPr="00A054F7" w14:paraId="4AA8D488" w14:textId="77777777" w:rsidTr="002D2677">
        <w:trPr>
          <w:trHeight w:val="23"/>
        </w:trPr>
        <w:tc>
          <w:tcPr>
            <w:tcW w:w="5812" w:type="dxa"/>
            <w:noWrap/>
            <w:vAlign w:val="bottom"/>
          </w:tcPr>
          <w:p w14:paraId="704A7B5A"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Codes associated with respiratory failure for COPD exacerbation</w:t>
            </w:r>
          </w:p>
        </w:tc>
        <w:tc>
          <w:tcPr>
            <w:tcW w:w="9072" w:type="dxa"/>
            <w:noWrap/>
            <w:vAlign w:val="bottom"/>
          </w:tcPr>
          <w:p w14:paraId="746B1245"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A054F7" w14:paraId="60EFB15E" w14:textId="77777777" w:rsidTr="002D2677">
        <w:trPr>
          <w:trHeight w:val="23"/>
        </w:trPr>
        <w:tc>
          <w:tcPr>
            <w:tcW w:w="5812" w:type="dxa"/>
            <w:noWrap/>
          </w:tcPr>
          <w:p w14:paraId="49EE3BCC"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Acute respiratory distress syndrome</w:t>
            </w:r>
          </w:p>
        </w:tc>
        <w:tc>
          <w:tcPr>
            <w:tcW w:w="9072" w:type="dxa"/>
            <w:noWrap/>
          </w:tcPr>
          <w:p w14:paraId="5378EB82"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J80</w:t>
            </w:r>
          </w:p>
        </w:tc>
      </w:tr>
      <w:tr w:rsidR="00D250E5" w:rsidRPr="00A054F7" w14:paraId="3ED0C0A2" w14:textId="77777777" w:rsidTr="002D2677">
        <w:trPr>
          <w:trHeight w:val="23"/>
        </w:trPr>
        <w:tc>
          <w:tcPr>
            <w:tcW w:w="5812" w:type="dxa"/>
            <w:noWrap/>
          </w:tcPr>
          <w:p w14:paraId="66744680"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Respiratory failure</w:t>
            </w:r>
          </w:p>
        </w:tc>
        <w:tc>
          <w:tcPr>
            <w:tcW w:w="9072" w:type="dxa"/>
            <w:noWrap/>
          </w:tcPr>
          <w:p w14:paraId="15C19729"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J96</w:t>
            </w:r>
          </w:p>
        </w:tc>
      </w:tr>
      <w:tr w:rsidR="00D250E5" w:rsidRPr="00A054F7" w14:paraId="2F736859" w14:textId="77777777" w:rsidTr="002D2677">
        <w:trPr>
          <w:trHeight w:val="23"/>
        </w:trPr>
        <w:tc>
          <w:tcPr>
            <w:tcW w:w="5812" w:type="dxa"/>
            <w:noWrap/>
          </w:tcPr>
          <w:p w14:paraId="697ADE4A"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Respiratory arrest</w:t>
            </w:r>
          </w:p>
        </w:tc>
        <w:tc>
          <w:tcPr>
            <w:tcW w:w="9072" w:type="dxa"/>
            <w:noWrap/>
          </w:tcPr>
          <w:p w14:paraId="29AEBC1D"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R092</w:t>
            </w:r>
          </w:p>
        </w:tc>
      </w:tr>
      <w:tr w:rsidR="00D250E5" w:rsidRPr="00A054F7" w14:paraId="5DA597EF" w14:textId="77777777" w:rsidTr="002D2677">
        <w:trPr>
          <w:trHeight w:val="23"/>
        </w:trPr>
        <w:tc>
          <w:tcPr>
            <w:tcW w:w="5812" w:type="dxa"/>
            <w:noWrap/>
            <w:vAlign w:val="bottom"/>
          </w:tcPr>
          <w:p w14:paraId="7976E091"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Major cardiovascular adverse events</w:t>
            </w:r>
          </w:p>
        </w:tc>
        <w:tc>
          <w:tcPr>
            <w:tcW w:w="9072" w:type="dxa"/>
            <w:noWrap/>
            <w:vAlign w:val="bottom"/>
          </w:tcPr>
          <w:p w14:paraId="60920A64"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A054F7" w14:paraId="76200269" w14:textId="77777777" w:rsidTr="002D2677">
        <w:trPr>
          <w:trHeight w:val="23"/>
        </w:trPr>
        <w:tc>
          <w:tcPr>
            <w:tcW w:w="5812" w:type="dxa"/>
            <w:noWrap/>
          </w:tcPr>
          <w:p w14:paraId="34C2A476"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Acute coronary syndrome</w:t>
            </w:r>
          </w:p>
        </w:tc>
        <w:tc>
          <w:tcPr>
            <w:tcW w:w="9072" w:type="dxa"/>
            <w:noWrap/>
          </w:tcPr>
          <w:p w14:paraId="2A2C0747"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I21-I24</w:t>
            </w:r>
          </w:p>
        </w:tc>
      </w:tr>
      <w:tr w:rsidR="00D250E5" w:rsidRPr="00A054F7" w14:paraId="4F56D5CE" w14:textId="77777777" w:rsidTr="002D2677">
        <w:trPr>
          <w:trHeight w:val="23"/>
        </w:trPr>
        <w:tc>
          <w:tcPr>
            <w:tcW w:w="5812" w:type="dxa"/>
            <w:noWrap/>
          </w:tcPr>
          <w:p w14:paraId="45096B42"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Stroke</w:t>
            </w:r>
          </w:p>
        </w:tc>
        <w:tc>
          <w:tcPr>
            <w:tcW w:w="9072" w:type="dxa"/>
            <w:noWrap/>
          </w:tcPr>
          <w:p w14:paraId="15649939"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I60-I64</w:t>
            </w:r>
          </w:p>
        </w:tc>
      </w:tr>
      <w:tr w:rsidR="00D250E5" w:rsidRPr="00A054F7" w14:paraId="6F080A9D" w14:textId="77777777" w:rsidTr="002D2677">
        <w:trPr>
          <w:trHeight w:val="23"/>
        </w:trPr>
        <w:tc>
          <w:tcPr>
            <w:tcW w:w="5812" w:type="dxa"/>
            <w:noWrap/>
          </w:tcPr>
          <w:p w14:paraId="51551F38"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lastRenderedPageBreak/>
              <w:t>Heart failure</w:t>
            </w:r>
          </w:p>
        </w:tc>
        <w:tc>
          <w:tcPr>
            <w:tcW w:w="9072" w:type="dxa"/>
            <w:noWrap/>
          </w:tcPr>
          <w:p w14:paraId="499B89F3"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I50</w:t>
            </w:r>
          </w:p>
        </w:tc>
      </w:tr>
      <w:tr w:rsidR="00D250E5" w:rsidRPr="00A054F7" w14:paraId="762ADCFB" w14:textId="77777777" w:rsidTr="002D2677">
        <w:trPr>
          <w:trHeight w:val="23"/>
        </w:trPr>
        <w:tc>
          <w:tcPr>
            <w:tcW w:w="5812" w:type="dxa"/>
            <w:noWrap/>
          </w:tcPr>
          <w:p w14:paraId="228C12FC"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Other comorbidities</w:t>
            </w:r>
          </w:p>
        </w:tc>
        <w:tc>
          <w:tcPr>
            <w:tcW w:w="9072" w:type="dxa"/>
            <w:noWrap/>
          </w:tcPr>
          <w:p w14:paraId="72C12164"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A054F7" w14:paraId="370AB1A8" w14:textId="77777777" w:rsidTr="002D2677">
        <w:trPr>
          <w:trHeight w:val="23"/>
        </w:trPr>
        <w:tc>
          <w:tcPr>
            <w:tcW w:w="5812" w:type="dxa"/>
            <w:noWrap/>
          </w:tcPr>
          <w:p w14:paraId="656C7980"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Allergic comorbidities</w:t>
            </w:r>
          </w:p>
        </w:tc>
        <w:tc>
          <w:tcPr>
            <w:tcW w:w="9072" w:type="dxa"/>
            <w:noWrap/>
          </w:tcPr>
          <w:p w14:paraId="0D7E0822"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J30, H101, L20, J328</w:t>
            </w:r>
          </w:p>
        </w:tc>
      </w:tr>
      <w:tr w:rsidR="00D250E5" w:rsidRPr="00A054F7" w14:paraId="0DF748DD" w14:textId="77777777" w:rsidTr="002D2677">
        <w:trPr>
          <w:trHeight w:val="23"/>
        </w:trPr>
        <w:tc>
          <w:tcPr>
            <w:tcW w:w="5812" w:type="dxa"/>
            <w:noWrap/>
          </w:tcPr>
          <w:p w14:paraId="304E4170"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Allergic conjunctivitis</w:t>
            </w:r>
          </w:p>
        </w:tc>
        <w:tc>
          <w:tcPr>
            <w:tcW w:w="9072" w:type="dxa"/>
            <w:noWrap/>
          </w:tcPr>
          <w:p w14:paraId="4531437F"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H101</w:t>
            </w:r>
          </w:p>
        </w:tc>
      </w:tr>
      <w:tr w:rsidR="00D250E5" w:rsidRPr="00A054F7" w14:paraId="29C51379" w14:textId="77777777" w:rsidTr="002D2677">
        <w:trPr>
          <w:trHeight w:val="23"/>
        </w:trPr>
        <w:tc>
          <w:tcPr>
            <w:tcW w:w="5812" w:type="dxa"/>
            <w:noWrap/>
          </w:tcPr>
          <w:p w14:paraId="62B30513"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Allergic rhinitis</w:t>
            </w:r>
          </w:p>
        </w:tc>
        <w:tc>
          <w:tcPr>
            <w:tcW w:w="9072" w:type="dxa"/>
            <w:noWrap/>
          </w:tcPr>
          <w:p w14:paraId="08D68BFD"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J30</w:t>
            </w:r>
          </w:p>
        </w:tc>
      </w:tr>
      <w:tr w:rsidR="00D250E5" w:rsidRPr="00A054F7" w14:paraId="2653D968" w14:textId="77777777" w:rsidTr="002D2677">
        <w:trPr>
          <w:trHeight w:val="23"/>
        </w:trPr>
        <w:tc>
          <w:tcPr>
            <w:tcW w:w="5812" w:type="dxa"/>
            <w:noWrap/>
          </w:tcPr>
          <w:p w14:paraId="0888C308"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Anxiety disorder</w:t>
            </w:r>
          </w:p>
        </w:tc>
        <w:tc>
          <w:tcPr>
            <w:tcW w:w="9072" w:type="dxa"/>
            <w:noWrap/>
          </w:tcPr>
          <w:p w14:paraId="01AEB49F"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F40–F48</w:t>
            </w:r>
          </w:p>
        </w:tc>
      </w:tr>
      <w:tr w:rsidR="00D250E5" w:rsidRPr="00A054F7" w14:paraId="575F63FB" w14:textId="77777777" w:rsidTr="002D2677">
        <w:trPr>
          <w:trHeight w:val="23"/>
        </w:trPr>
        <w:tc>
          <w:tcPr>
            <w:tcW w:w="5812" w:type="dxa"/>
            <w:noWrap/>
          </w:tcPr>
          <w:p w14:paraId="79C8339C"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Atrial fibrillation</w:t>
            </w:r>
          </w:p>
        </w:tc>
        <w:tc>
          <w:tcPr>
            <w:tcW w:w="9072" w:type="dxa"/>
            <w:noWrap/>
          </w:tcPr>
          <w:p w14:paraId="1070EDCC"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I48</w:t>
            </w:r>
          </w:p>
        </w:tc>
      </w:tr>
      <w:tr w:rsidR="00D250E5" w:rsidRPr="00A054F7" w14:paraId="7807D321" w14:textId="77777777" w:rsidTr="002D2677">
        <w:trPr>
          <w:trHeight w:val="23"/>
        </w:trPr>
        <w:tc>
          <w:tcPr>
            <w:tcW w:w="5812" w:type="dxa"/>
            <w:noWrap/>
          </w:tcPr>
          <w:p w14:paraId="018B68DB"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Aspergillus infection</w:t>
            </w:r>
          </w:p>
        </w:tc>
        <w:tc>
          <w:tcPr>
            <w:tcW w:w="9072" w:type="dxa"/>
            <w:noWrap/>
          </w:tcPr>
          <w:p w14:paraId="5C4256C6"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B44</w:t>
            </w:r>
          </w:p>
        </w:tc>
      </w:tr>
      <w:tr w:rsidR="00D250E5" w:rsidRPr="00A054F7" w14:paraId="62D67949" w14:textId="77777777" w:rsidTr="002D2677">
        <w:trPr>
          <w:trHeight w:val="23"/>
        </w:trPr>
        <w:tc>
          <w:tcPr>
            <w:tcW w:w="5812" w:type="dxa"/>
            <w:noWrap/>
          </w:tcPr>
          <w:p w14:paraId="5F3B7F30"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Atopic dermatitis</w:t>
            </w:r>
          </w:p>
        </w:tc>
        <w:tc>
          <w:tcPr>
            <w:tcW w:w="9072" w:type="dxa"/>
            <w:noWrap/>
          </w:tcPr>
          <w:p w14:paraId="088B4B5A"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L20</w:t>
            </w:r>
          </w:p>
        </w:tc>
      </w:tr>
      <w:tr w:rsidR="00D250E5" w:rsidRPr="00A054F7" w14:paraId="39BA12D5" w14:textId="77777777" w:rsidTr="002D2677">
        <w:trPr>
          <w:trHeight w:val="23"/>
        </w:trPr>
        <w:tc>
          <w:tcPr>
            <w:tcW w:w="5812" w:type="dxa"/>
            <w:noWrap/>
          </w:tcPr>
          <w:p w14:paraId="58F7CB32"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Bronchiectasis</w:t>
            </w:r>
          </w:p>
        </w:tc>
        <w:tc>
          <w:tcPr>
            <w:tcW w:w="9072" w:type="dxa"/>
            <w:noWrap/>
          </w:tcPr>
          <w:p w14:paraId="353B29A9"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J47</w:t>
            </w:r>
          </w:p>
        </w:tc>
      </w:tr>
      <w:tr w:rsidR="00D250E5" w:rsidRPr="00A054F7" w14:paraId="46E4F865" w14:textId="77777777" w:rsidTr="002D2677">
        <w:trPr>
          <w:trHeight w:val="23"/>
        </w:trPr>
        <w:tc>
          <w:tcPr>
            <w:tcW w:w="5812" w:type="dxa"/>
            <w:noWrap/>
          </w:tcPr>
          <w:p w14:paraId="3271586F"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Chronic sinusitis</w:t>
            </w:r>
          </w:p>
        </w:tc>
        <w:tc>
          <w:tcPr>
            <w:tcW w:w="9072" w:type="dxa"/>
            <w:noWrap/>
          </w:tcPr>
          <w:p w14:paraId="415A791C"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J32</w:t>
            </w:r>
          </w:p>
        </w:tc>
      </w:tr>
      <w:tr w:rsidR="00D250E5" w:rsidRPr="00A054F7" w14:paraId="1FA19158" w14:textId="77777777" w:rsidTr="002D2677">
        <w:trPr>
          <w:trHeight w:val="23"/>
        </w:trPr>
        <w:tc>
          <w:tcPr>
            <w:tcW w:w="5812" w:type="dxa"/>
            <w:noWrap/>
          </w:tcPr>
          <w:p w14:paraId="591A10A2"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Depression</w:t>
            </w:r>
          </w:p>
        </w:tc>
        <w:tc>
          <w:tcPr>
            <w:tcW w:w="9072" w:type="dxa"/>
            <w:noWrap/>
          </w:tcPr>
          <w:p w14:paraId="57FCFDCD"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F30–F39</w:t>
            </w:r>
          </w:p>
        </w:tc>
      </w:tr>
      <w:tr w:rsidR="00D250E5" w:rsidRPr="00A054F7" w14:paraId="493F3FC7" w14:textId="77777777" w:rsidTr="002D2677">
        <w:trPr>
          <w:trHeight w:val="23"/>
        </w:trPr>
        <w:tc>
          <w:tcPr>
            <w:tcW w:w="5812" w:type="dxa"/>
            <w:noWrap/>
          </w:tcPr>
          <w:p w14:paraId="145197B7"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Diabetes mellitus</w:t>
            </w:r>
          </w:p>
        </w:tc>
        <w:tc>
          <w:tcPr>
            <w:tcW w:w="9072" w:type="dxa"/>
            <w:noWrap/>
          </w:tcPr>
          <w:p w14:paraId="19360A8B"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E10–E14</w:t>
            </w:r>
          </w:p>
        </w:tc>
      </w:tr>
      <w:tr w:rsidR="00D250E5" w:rsidRPr="00A054F7" w14:paraId="212DC078" w14:textId="77777777" w:rsidTr="002D2677">
        <w:trPr>
          <w:trHeight w:val="23"/>
        </w:trPr>
        <w:tc>
          <w:tcPr>
            <w:tcW w:w="5812" w:type="dxa"/>
            <w:noWrap/>
          </w:tcPr>
          <w:p w14:paraId="1A7E817F"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Disuse syndrome</w:t>
            </w:r>
          </w:p>
        </w:tc>
        <w:tc>
          <w:tcPr>
            <w:tcW w:w="9072" w:type="dxa"/>
            <w:noWrap/>
          </w:tcPr>
          <w:p w14:paraId="023AB491"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M6259</w:t>
            </w:r>
          </w:p>
        </w:tc>
      </w:tr>
      <w:tr w:rsidR="00D250E5" w:rsidRPr="00A054F7" w14:paraId="4B7E56CE" w14:textId="77777777" w:rsidTr="002D2677">
        <w:trPr>
          <w:trHeight w:val="23"/>
        </w:trPr>
        <w:tc>
          <w:tcPr>
            <w:tcW w:w="5812" w:type="dxa"/>
            <w:noWrap/>
          </w:tcPr>
          <w:p w14:paraId="733D925C"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Eosinophilic sinusitis</w:t>
            </w:r>
          </w:p>
        </w:tc>
        <w:tc>
          <w:tcPr>
            <w:tcW w:w="9072" w:type="dxa"/>
            <w:noWrap/>
          </w:tcPr>
          <w:p w14:paraId="1C24D14E"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J328</w:t>
            </w:r>
          </w:p>
        </w:tc>
      </w:tr>
      <w:tr w:rsidR="00D250E5" w:rsidRPr="00A054F7" w14:paraId="62105FE2" w14:textId="77777777" w:rsidTr="002D2677">
        <w:trPr>
          <w:trHeight w:val="23"/>
        </w:trPr>
        <w:tc>
          <w:tcPr>
            <w:tcW w:w="5812" w:type="dxa"/>
            <w:noWrap/>
          </w:tcPr>
          <w:p w14:paraId="48D502E3"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Gastroesophageal reflux disease</w:t>
            </w:r>
          </w:p>
        </w:tc>
        <w:tc>
          <w:tcPr>
            <w:tcW w:w="9072" w:type="dxa"/>
            <w:noWrap/>
          </w:tcPr>
          <w:p w14:paraId="2EDCA771"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K21</w:t>
            </w:r>
          </w:p>
        </w:tc>
      </w:tr>
      <w:tr w:rsidR="00D250E5" w:rsidRPr="00A054F7" w14:paraId="5F5DF8EA" w14:textId="77777777" w:rsidTr="002D2677">
        <w:trPr>
          <w:trHeight w:val="23"/>
        </w:trPr>
        <w:tc>
          <w:tcPr>
            <w:tcW w:w="5812" w:type="dxa"/>
            <w:noWrap/>
          </w:tcPr>
          <w:p w14:paraId="293B4608"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Hypercapnia</w:t>
            </w:r>
          </w:p>
        </w:tc>
        <w:tc>
          <w:tcPr>
            <w:tcW w:w="9072" w:type="dxa"/>
            <w:noWrap/>
          </w:tcPr>
          <w:p w14:paraId="61FA6E15"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J9601, J9611, J9691, R068 (7860015, 8830068)</w:t>
            </w:r>
          </w:p>
        </w:tc>
      </w:tr>
      <w:tr w:rsidR="00D250E5" w:rsidRPr="00A054F7" w14:paraId="24673046" w14:textId="77777777" w:rsidTr="002D2677">
        <w:trPr>
          <w:trHeight w:val="23"/>
        </w:trPr>
        <w:tc>
          <w:tcPr>
            <w:tcW w:w="5812" w:type="dxa"/>
            <w:noWrap/>
          </w:tcPr>
          <w:p w14:paraId="33230851"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Hyperlipidemia</w:t>
            </w:r>
          </w:p>
        </w:tc>
        <w:tc>
          <w:tcPr>
            <w:tcW w:w="9072" w:type="dxa"/>
            <w:noWrap/>
          </w:tcPr>
          <w:p w14:paraId="6202E710"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E78</w:t>
            </w:r>
          </w:p>
        </w:tc>
      </w:tr>
      <w:tr w:rsidR="00D250E5" w:rsidRPr="00A054F7" w14:paraId="18840812" w14:textId="77777777" w:rsidTr="002D2677">
        <w:trPr>
          <w:trHeight w:val="23"/>
        </w:trPr>
        <w:tc>
          <w:tcPr>
            <w:tcW w:w="5812" w:type="dxa"/>
            <w:noWrap/>
          </w:tcPr>
          <w:p w14:paraId="25B3B0A4"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Hypertension</w:t>
            </w:r>
          </w:p>
        </w:tc>
        <w:tc>
          <w:tcPr>
            <w:tcW w:w="9072" w:type="dxa"/>
            <w:noWrap/>
          </w:tcPr>
          <w:p w14:paraId="798C5ACB"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I10–I15</w:t>
            </w:r>
          </w:p>
        </w:tc>
      </w:tr>
      <w:tr w:rsidR="00D250E5" w:rsidRPr="00A054F7" w14:paraId="46AB9807" w14:textId="77777777" w:rsidTr="002D2677">
        <w:trPr>
          <w:trHeight w:val="23"/>
        </w:trPr>
        <w:tc>
          <w:tcPr>
            <w:tcW w:w="5812" w:type="dxa"/>
            <w:noWrap/>
          </w:tcPr>
          <w:p w14:paraId="1C366ACA"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Interstitial pneumonia</w:t>
            </w:r>
          </w:p>
        </w:tc>
        <w:tc>
          <w:tcPr>
            <w:tcW w:w="9072" w:type="dxa"/>
            <w:noWrap/>
          </w:tcPr>
          <w:p w14:paraId="6EAB8F76"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J841, J849, J991 (8847737, 8840935, 8848278, 8848267, 8848302, 8848283, 8848245)</w:t>
            </w:r>
          </w:p>
        </w:tc>
      </w:tr>
      <w:tr w:rsidR="00D250E5" w:rsidRPr="00A054F7" w14:paraId="6F4FE4AB" w14:textId="77777777" w:rsidTr="002D2677">
        <w:trPr>
          <w:trHeight w:val="23"/>
        </w:trPr>
        <w:tc>
          <w:tcPr>
            <w:tcW w:w="5812" w:type="dxa"/>
            <w:noWrap/>
          </w:tcPr>
          <w:p w14:paraId="3FF42F9E"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Lung cancer</w:t>
            </w:r>
          </w:p>
        </w:tc>
        <w:tc>
          <w:tcPr>
            <w:tcW w:w="9072" w:type="dxa"/>
            <w:noWrap/>
          </w:tcPr>
          <w:p w14:paraId="15D38988"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C34</w:t>
            </w:r>
          </w:p>
        </w:tc>
      </w:tr>
      <w:tr w:rsidR="00D250E5" w:rsidRPr="00A054F7" w14:paraId="6D2DE9F4" w14:textId="77777777" w:rsidTr="002D2677">
        <w:trPr>
          <w:trHeight w:val="23"/>
        </w:trPr>
        <w:tc>
          <w:tcPr>
            <w:tcW w:w="5812" w:type="dxa"/>
            <w:noWrap/>
          </w:tcPr>
          <w:p w14:paraId="67047226"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Malignancy, excluding lung cancer, non-melanoma skin cancer, and hematological malignancy</w:t>
            </w:r>
          </w:p>
        </w:tc>
        <w:tc>
          <w:tcPr>
            <w:tcW w:w="9072" w:type="dxa"/>
            <w:noWrap/>
          </w:tcPr>
          <w:p w14:paraId="309C09BA"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C00-C29, C30-C33, C37-C39, C40-C43, C45-C49, C50-79, C80</w:t>
            </w:r>
          </w:p>
        </w:tc>
      </w:tr>
      <w:tr w:rsidR="00D250E5" w:rsidRPr="00A054F7" w14:paraId="7F01942A" w14:textId="77777777" w:rsidTr="002D2677">
        <w:trPr>
          <w:trHeight w:val="23"/>
        </w:trPr>
        <w:tc>
          <w:tcPr>
            <w:tcW w:w="5812" w:type="dxa"/>
            <w:noWrap/>
          </w:tcPr>
          <w:p w14:paraId="15751720"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Pulmonary hypertension</w:t>
            </w:r>
          </w:p>
        </w:tc>
        <w:tc>
          <w:tcPr>
            <w:tcW w:w="9072" w:type="dxa"/>
            <w:noWrap/>
          </w:tcPr>
          <w:p w14:paraId="4804E63D"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I27</w:t>
            </w:r>
          </w:p>
        </w:tc>
      </w:tr>
      <w:tr w:rsidR="00D250E5" w:rsidRPr="00A054F7" w14:paraId="5215FDA6" w14:textId="77777777" w:rsidTr="002D2677">
        <w:trPr>
          <w:trHeight w:val="23"/>
        </w:trPr>
        <w:tc>
          <w:tcPr>
            <w:tcW w:w="5812" w:type="dxa"/>
            <w:noWrap/>
          </w:tcPr>
          <w:p w14:paraId="7A9DFF92"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Pulmonary embolism</w:t>
            </w:r>
          </w:p>
        </w:tc>
        <w:tc>
          <w:tcPr>
            <w:tcW w:w="9072" w:type="dxa"/>
            <w:noWrap/>
          </w:tcPr>
          <w:p w14:paraId="1A628F09"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I26</w:t>
            </w:r>
          </w:p>
        </w:tc>
      </w:tr>
      <w:tr w:rsidR="00D250E5" w:rsidRPr="00A054F7" w14:paraId="027CACA8" w14:textId="77777777" w:rsidTr="002D2677">
        <w:trPr>
          <w:trHeight w:val="23"/>
        </w:trPr>
        <w:tc>
          <w:tcPr>
            <w:tcW w:w="5812" w:type="dxa"/>
            <w:noWrap/>
          </w:tcPr>
          <w:p w14:paraId="30B097AE"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Charlson comorbidity index (CCI)</w:t>
            </w:r>
          </w:p>
        </w:tc>
        <w:tc>
          <w:tcPr>
            <w:tcW w:w="9072" w:type="dxa"/>
            <w:noWrap/>
          </w:tcPr>
          <w:p w14:paraId="01B7C7E7" w14:textId="77777777" w:rsidR="00D250E5" w:rsidRPr="00A054F7" w:rsidRDefault="00D250E5" w:rsidP="002D2677">
            <w:pPr>
              <w:widowControl/>
              <w:spacing w:before="0" w:beforeAutospacing="0" w:after="0" w:afterAutospacing="0" w:line="276" w:lineRule="auto"/>
              <w:rPr>
                <w:rFonts w:eastAsia="Times New Roman" w:cs="Arial"/>
                <w:sz w:val="18"/>
                <w:szCs w:val="18"/>
              </w:rPr>
            </w:pPr>
          </w:p>
        </w:tc>
      </w:tr>
      <w:tr w:rsidR="00D250E5" w:rsidRPr="00A054F7" w14:paraId="2F2C77E1" w14:textId="77777777" w:rsidTr="002D2677">
        <w:trPr>
          <w:trHeight w:val="23"/>
        </w:trPr>
        <w:tc>
          <w:tcPr>
            <w:tcW w:w="5812" w:type="dxa"/>
            <w:noWrap/>
          </w:tcPr>
          <w:p w14:paraId="03F8644E"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Myocardial infarction</w:t>
            </w:r>
          </w:p>
        </w:tc>
        <w:tc>
          <w:tcPr>
            <w:tcW w:w="9072" w:type="dxa"/>
            <w:noWrap/>
          </w:tcPr>
          <w:p w14:paraId="6B2CC272"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I21, I22, I25.2</w:t>
            </w:r>
          </w:p>
        </w:tc>
      </w:tr>
      <w:tr w:rsidR="00D250E5" w:rsidRPr="00965602" w14:paraId="3AA01403" w14:textId="77777777" w:rsidTr="002D2677">
        <w:trPr>
          <w:trHeight w:val="23"/>
        </w:trPr>
        <w:tc>
          <w:tcPr>
            <w:tcW w:w="5812" w:type="dxa"/>
            <w:noWrap/>
          </w:tcPr>
          <w:p w14:paraId="57FFC515"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Congestive heart failure</w:t>
            </w:r>
          </w:p>
        </w:tc>
        <w:tc>
          <w:tcPr>
            <w:tcW w:w="9072" w:type="dxa"/>
            <w:noWrap/>
          </w:tcPr>
          <w:p w14:paraId="0A38A860" w14:textId="77777777" w:rsidR="00D250E5" w:rsidRPr="00A054F7" w:rsidRDefault="00D250E5" w:rsidP="002D2677">
            <w:pPr>
              <w:widowControl/>
              <w:spacing w:before="0" w:beforeAutospacing="0" w:after="0" w:afterAutospacing="0" w:line="276" w:lineRule="auto"/>
              <w:rPr>
                <w:rFonts w:eastAsia="Times New Roman" w:cs="Arial"/>
                <w:sz w:val="18"/>
                <w:szCs w:val="18"/>
                <w:lang w:val="pt-BR"/>
              </w:rPr>
            </w:pPr>
            <w:r w:rsidRPr="00A054F7">
              <w:rPr>
                <w:rFonts w:eastAsia="Times New Roman" w:cs="Arial"/>
                <w:sz w:val="18"/>
                <w:szCs w:val="18"/>
                <w:lang w:val="pt-BR"/>
              </w:rPr>
              <w:t>I099, I110, I130, I132, I255, I420, I425–I429, I43, I50, P290</w:t>
            </w:r>
          </w:p>
        </w:tc>
      </w:tr>
      <w:tr w:rsidR="00D250E5" w:rsidRPr="00965602" w14:paraId="080EE761" w14:textId="77777777" w:rsidTr="002D2677">
        <w:trPr>
          <w:trHeight w:val="23"/>
        </w:trPr>
        <w:tc>
          <w:tcPr>
            <w:tcW w:w="5812" w:type="dxa"/>
            <w:noWrap/>
          </w:tcPr>
          <w:p w14:paraId="2A2C8637"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Peripheral vascular disease</w:t>
            </w:r>
          </w:p>
        </w:tc>
        <w:tc>
          <w:tcPr>
            <w:tcW w:w="9072" w:type="dxa"/>
            <w:noWrap/>
          </w:tcPr>
          <w:p w14:paraId="0925BEA1" w14:textId="77777777" w:rsidR="00D250E5" w:rsidRPr="00A054F7" w:rsidRDefault="00D250E5" w:rsidP="002D2677">
            <w:pPr>
              <w:widowControl/>
              <w:spacing w:before="0" w:beforeAutospacing="0" w:after="0" w:afterAutospacing="0" w:line="276" w:lineRule="auto"/>
              <w:rPr>
                <w:rFonts w:eastAsia="Times New Roman" w:cs="Arial"/>
                <w:sz w:val="18"/>
                <w:szCs w:val="18"/>
                <w:lang w:val="pt-BR"/>
              </w:rPr>
            </w:pPr>
            <w:r w:rsidRPr="00A054F7">
              <w:rPr>
                <w:rFonts w:eastAsia="Times New Roman" w:cs="Arial"/>
                <w:sz w:val="18"/>
                <w:szCs w:val="18"/>
                <w:lang w:val="pt-BR"/>
              </w:rPr>
              <w:t>I70, I71, I731, I738, I739, I771, I790, I792, K551, K558, K559, Z958, Z959</w:t>
            </w:r>
          </w:p>
        </w:tc>
      </w:tr>
      <w:tr w:rsidR="00D250E5" w:rsidRPr="00A054F7" w14:paraId="21B189B9" w14:textId="77777777" w:rsidTr="002D2677">
        <w:trPr>
          <w:trHeight w:val="23"/>
        </w:trPr>
        <w:tc>
          <w:tcPr>
            <w:tcW w:w="5812" w:type="dxa"/>
            <w:noWrap/>
          </w:tcPr>
          <w:p w14:paraId="3ECF3341"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Cerebrovascular disease</w:t>
            </w:r>
          </w:p>
        </w:tc>
        <w:tc>
          <w:tcPr>
            <w:tcW w:w="9072" w:type="dxa"/>
            <w:noWrap/>
          </w:tcPr>
          <w:p w14:paraId="2DEE153D"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G45, G46, H340, I60-I69</w:t>
            </w:r>
          </w:p>
        </w:tc>
      </w:tr>
      <w:tr w:rsidR="00D250E5" w:rsidRPr="00A054F7" w14:paraId="27345D04" w14:textId="77777777" w:rsidTr="002D2677">
        <w:trPr>
          <w:trHeight w:val="23"/>
        </w:trPr>
        <w:tc>
          <w:tcPr>
            <w:tcW w:w="5812" w:type="dxa"/>
            <w:noWrap/>
          </w:tcPr>
          <w:p w14:paraId="32FD3967"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Dementia</w:t>
            </w:r>
          </w:p>
        </w:tc>
        <w:tc>
          <w:tcPr>
            <w:tcW w:w="9072" w:type="dxa"/>
            <w:noWrap/>
          </w:tcPr>
          <w:p w14:paraId="378FEAED"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F00–03, F051, G30, G311</w:t>
            </w:r>
          </w:p>
        </w:tc>
      </w:tr>
      <w:tr w:rsidR="00D250E5" w:rsidRPr="00A054F7" w14:paraId="57566361" w14:textId="77777777" w:rsidTr="002D2677">
        <w:trPr>
          <w:trHeight w:val="23"/>
        </w:trPr>
        <w:tc>
          <w:tcPr>
            <w:tcW w:w="5812" w:type="dxa"/>
            <w:noWrap/>
          </w:tcPr>
          <w:p w14:paraId="1EE130E8"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Chronic pulmonary disease</w:t>
            </w:r>
          </w:p>
        </w:tc>
        <w:tc>
          <w:tcPr>
            <w:tcW w:w="9072" w:type="dxa"/>
            <w:noWrap/>
          </w:tcPr>
          <w:p w14:paraId="401DEE93"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I278, I279, J40–J47, J60–J67, J684, J701, J703</w:t>
            </w:r>
          </w:p>
        </w:tc>
      </w:tr>
      <w:tr w:rsidR="00D250E5" w:rsidRPr="00A054F7" w14:paraId="656A20A8" w14:textId="77777777" w:rsidTr="002D2677">
        <w:trPr>
          <w:trHeight w:val="23"/>
        </w:trPr>
        <w:tc>
          <w:tcPr>
            <w:tcW w:w="5812" w:type="dxa"/>
            <w:noWrap/>
          </w:tcPr>
          <w:p w14:paraId="282F623F"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Rheumatic disease</w:t>
            </w:r>
          </w:p>
        </w:tc>
        <w:tc>
          <w:tcPr>
            <w:tcW w:w="9072" w:type="dxa"/>
            <w:noWrap/>
          </w:tcPr>
          <w:p w14:paraId="3CD8D4D7"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M05, M06, M315, M32–M34, M351, M353, M360</w:t>
            </w:r>
          </w:p>
        </w:tc>
      </w:tr>
      <w:tr w:rsidR="00D250E5" w:rsidRPr="00A054F7" w14:paraId="787B8652" w14:textId="77777777" w:rsidTr="002D2677">
        <w:trPr>
          <w:trHeight w:val="23"/>
        </w:trPr>
        <w:tc>
          <w:tcPr>
            <w:tcW w:w="5812" w:type="dxa"/>
            <w:noWrap/>
          </w:tcPr>
          <w:p w14:paraId="3373C418"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Peptic ulcer disease</w:t>
            </w:r>
          </w:p>
        </w:tc>
        <w:tc>
          <w:tcPr>
            <w:tcW w:w="9072" w:type="dxa"/>
            <w:noWrap/>
          </w:tcPr>
          <w:p w14:paraId="7B36983E"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K25–K28</w:t>
            </w:r>
          </w:p>
        </w:tc>
      </w:tr>
      <w:tr w:rsidR="00D250E5" w:rsidRPr="00A054F7" w14:paraId="329E6CBA" w14:textId="77777777" w:rsidTr="002D2677">
        <w:trPr>
          <w:trHeight w:val="23"/>
        </w:trPr>
        <w:tc>
          <w:tcPr>
            <w:tcW w:w="5812" w:type="dxa"/>
            <w:noWrap/>
          </w:tcPr>
          <w:p w14:paraId="35DCE51C"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Mild liver disease</w:t>
            </w:r>
          </w:p>
        </w:tc>
        <w:tc>
          <w:tcPr>
            <w:tcW w:w="9072" w:type="dxa"/>
            <w:noWrap/>
          </w:tcPr>
          <w:p w14:paraId="764E3D9B"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B18, K700–K703, K709, K713–K715, K717, K73, K74, K760, K762–K764, K768, K769, Z944</w:t>
            </w:r>
          </w:p>
        </w:tc>
      </w:tr>
      <w:tr w:rsidR="00D250E5" w:rsidRPr="00965602" w14:paraId="2C33E1E2" w14:textId="77777777" w:rsidTr="002D2677">
        <w:trPr>
          <w:trHeight w:val="23"/>
        </w:trPr>
        <w:tc>
          <w:tcPr>
            <w:tcW w:w="5812" w:type="dxa"/>
            <w:noWrap/>
          </w:tcPr>
          <w:p w14:paraId="02BDFA82"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lastRenderedPageBreak/>
              <w:t xml:space="preserve">Diabetes without chronic complication </w:t>
            </w:r>
          </w:p>
        </w:tc>
        <w:tc>
          <w:tcPr>
            <w:tcW w:w="9072" w:type="dxa"/>
            <w:noWrap/>
          </w:tcPr>
          <w:p w14:paraId="4D400606" w14:textId="77777777" w:rsidR="00D250E5" w:rsidRPr="00A054F7" w:rsidRDefault="00D250E5" w:rsidP="002D2677">
            <w:pPr>
              <w:widowControl/>
              <w:spacing w:before="0" w:beforeAutospacing="0" w:after="0" w:afterAutospacing="0" w:line="276" w:lineRule="auto"/>
              <w:rPr>
                <w:rFonts w:eastAsia="Times New Roman" w:cs="Arial"/>
                <w:sz w:val="18"/>
                <w:szCs w:val="18"/>
                <w:lang w:val="de-DE"/>
              </w:rPr>
            </w:pPr>
            <w:r w:rsidRPr="00A054F7">
              <w:rPr>
                <w:rFonts w:eastAsia="Times New Roman" w:cs="Arial"/>
                <w:sz w:val="18"/>
                <w:szCs w:val="18"/>
                <w:lang w:val="de-DE"/>
              </w:rPr>
              <w:t>E100, E101, E106, E108, E109, E110, E111, E116, E118, E119, E120, E121, E126, E128, E129, E130, E131, E136, E138, E139, E140, E141, E146, E148, E149</w:t>
            </w:r>
          </w:p>
        </w:tc>
      </w:tr>
      <w:tr w:rsidR="00D250E5" w:rsidRPr="00965602" w14:paraId="576A0548" w14:textId="77777777" w:rsidTr="002D2677">
        <w:trPr>
          <w:trHeight w:val="23"/>
        </w:trPr>
        <w:tc>
          <w:tcPr>
            <w:tcW w:w="5812" w:type="dxa"/>
            <w:noWrap/>
          </w:tcPr>
          <w:p w14:paraId="5D6D7371"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Diabetes with chronic complication</w:t>
            </w:r>
          </w:p>
        </w:tc>
        <w:tc>
          <w:tcPr>
            <w:tcW w:w="9072" w:type="dxa"/>
            <w:noWrap/>
          </w:tcPr>
          <w:p w14:paraId="4AF295CF" w14:textId="77777777" w:rsidR="00D250E5" w:rsidRPr="00A054F7" w:rsidRDefault="00D250E5" w:rsidP="002D2677">
            <w:pPr>
              <w:widowControl/>
              <w:spacing w:before="0" w:beforeAutospacing="0" w:after="0" w:afterAutospacing="0" w:line="276" w:lineRule="auto"/>
              <w:rPr>
                <w:rFonts w:eastAsia="Times New Roman" w:cs="Arial"/>
                <w:sz w:val="18"/>
                <w:szCs w:val="18"/>
                <w:lang w:val="de-DE"/>
              </w:rPr>
            </w:pPr>
            <w:r w:rsidRPr="00A054F7">
              <w:rPr>
                <w:rFonts w:eastAsia="Times New Roman" w:cs="Arial"/>
                <w:sz w:val="18"/>
                <w:szCs w:val="18"/>
                <w:lang w:val="de-DE"/>
              </w:rPr>
              <w:t>E102–E105, E107, E112–E115, E117, E122–E125, E127, E132– E135, E137, E142–E145, E147</w:t>
            </w:r>
          </w:p>
        </w:tc>
      </w:tr>
      <w:tr w:rsidR="00D250E5" w:rsidRPr="00A054F7" w14:paraId="4262F9FD" w14:textId="77777777" w:rsidTr="002D2677">
        <w:trPr>
          <w:trHeight w:val="23"/>
        </w:trPr>
        <w:tc>
          <w:tcPr>
            <w:tcW w:w="5812" w:type="dxa"/>
            <w:noWrap/>
          </w:tcPr>
          <w:p w14:paraId="19598841"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Hemiplegia or paraplegia</w:t>
            </w:r>
          </w:p>
        </w:tc>
        <w:tc>
          <w:tcPr>
            <w:tcW w:w="9072" w:type="dxa"/>
            <w:noWrap/>
          </w:tcPr>
          <w:p w14:paraId="1ACCEB13"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G041, G114, G801, G802, G81, G82, G830–G834, G839</w:t>
            </w:r>
          </w:p>
        </w:tc>
      </w:tr>
      <w:tr w:rsidR="00D250E5" w:rsidRPr="00965602" w14:paraId="7A13B408" w14:textId="77777777" w:rsidTr="002D2677">
        <w:trPr>
          <w:trHeight w:val="23"/>
        </w:trPr>
        <w:tc>
          <w:tcPr>
            <w:tcW w:w="5812" w:type="dxa"/>
            <w:noWrap/>
          </w:tcPr>
          <w:p w14:paraId="6A1D40B0"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Renal disease</w:t>
            </w:r>
          </w:p>
        </w:tc>
        <w:tc>
          <w:tcPr>
            <w:tcW w:w="9072" w:type="dxa"/>
            <w:noWrap/>
          </w:tcPr>
          <w:p w14:paraId="7F47A1B6" w14:textId="77777777" w:rsidR="00D250E5" w:rsidRPr="00A054F7" w:rsidRDefault="00D250E5" w:rsidP="002D2677">
            <w:pPr>
              <w:widowControl/>
              <w:spacing w:before="0" w:beforeAutospacing="0" w:after="0" w:afterAutospacing="0" w:line="276" w:lineRule="auto"/>
              <w:rPr>
                <w:rFonts w:eastAsia="Times New Roman" w:cs="Arial"/>
                <w:sz w:val="18"/>
                <w:szCs w:val="18"/>
                <w:lang w:val="pt-BR"/>
              </w:rPr>
            </w:pPr>
            <w:r w:rsidRPr="00A054F7">
              <w:rPr>
                <w:rFonts w:eastAsia="Times New Roman" w:cs="Arial"/>
                <w:sz w:val="18"/>
                <w:szCs w:val="18"/>
                <w:lang w:val="pt-BR"/>
              </w:rPr>
              <w:t>I120, I131, N032–N037, N052–N057, N18, N19, N250, Z490, Z491, Z492, Z940, Z992</w:t>
            </w:r>
          </w:p>
        </w:tc>
      </w:tr>
      <w:tr w:rsidR="00D250E5" w:rsidRPr="00A054F7" w14:paraId="4B377C99" w14:textId="77777777" w:rsidTr="002D2677">
        <w:trPr>
          <w:trHeight w:val="23"/>
        </w:trPr>
        <w:tc>
          <w:tcPr>
            <w:tcW w:w="5812" w:type="dxa"/>
            <w:noWrap/>
          </w:tcPr>
          <w:p w14:paraId="60EE8CEB"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Any malignancy</w:t>
            </w:r>
          </w:p>
        </w:tc>
        <w:tc>
          <w:tcPr>
            <w:tcW w:w="9072" w:type="dxa"/>
            <w:noWrap/>
          </w:tcPr>
          <w:p w14:paraId="3AA0F082"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C00–C26, C30–C34, C37–C41, C43, C45–C58, C60–C76, C81–C85, C88, C90–C97</w:t>
            </w:r>
          </w:p>
        </w:tc>
      </w:tr>
      <w:tr w:rsidR="00D250E5" w:rsidRPr="00965602" w14:paraId="328BB605" w14:textId="77777777" w:rsidTr="002D2677">
        <w:trPr>
          <w:trHeight w:val="23"/>
        </w:trPr>
        <w:tc>
          <w:tcPr>
            <w:tcW w:w="5812" w:type="dxa"/>
            <w:noWrap/>
          </w:tcPr>
          <w:p w14:paraId="2AB3DD77"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Moderate or severe liver disease</w:t>
            </w:r>
          </w:p>
        </w:tc>
        <w:tc>
          <w:tcPr>
            <w:tcW w:w="9072" w:type="dxa"/>
            <w:noWrap/>
          </w:tcPr>
          <w:p w14:paraId="5143D693" w14:textId="77777777" w:rsidR="00D250E5" w:rsidRPr="00895784" w:rsidRDefault="00D250E5" w:rsidP="002D2677">
            <w:pPr>
              <w:widowControl/>
              <w:spacing w:before="0" w:beforeAutospacing="0" w:after="0" w:afterAutospacing="0" w:line="276" w:lineRule="auto"/>
              <w:rPr>
                <w:rFonts w:eastAsia="Times New Roman" w:cs="Arial"/>
                <w:sz w:val="18"/>
                <w:szCs w:val="18"/>
                <w:lang w:val="it-IT"/>
              </w:rPr>
            </w:pPr>
            <w:r w:rsidRPr="00895784">
              <w:rPr>
                <w:rFonts w:eastAsia="Times New Roman" w:cs="Arial"/>
                <w:sz w:val="18"/>
                <w:szCs w:val="18"/>
                <w:lang w:val="it-IT"/>
              </w:rPr>
              <w:t>I850, I859, I864, I982, K704, K711, K721, K729, K765, K766, K767</w:t>
            </w:r>
          </w:p>
        </w:tc>
      </w:tr>
      <w:tr w:rsidR="00D250E5" w:rsidRPr="00A054F7" w14:paraId="7A090573" w14:textId="77777777" w:rsidTr="002D2677">
        <w:trPr>
          <w:trHeight w:val="23"/>
        </w:trPr>
        <w:tc>
          <w:tcPr>
            <w:tcW w:w="5812" w:type="dxa"/>
            <w:noWrap/>
          </w:tcPr>
          <w:p w14:paraId="34D2B7E2"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Metastatic solid tumor</w:t>
            </w:r>
          </w:p>
        </w:tc>
        <w:tc>
          <w:tcPr>
            <w:tcW w:w="9072" w:type="dxa"/>
            <w:noWrap/>
          </w:tcPr>
          <w:p w14:paraId="12E51951"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C77–C80</w:t>
            </w:r>
          </w:p>
        </w:tc>
      </w:tr>
      <w:tr w:rsidR="00D250E5" w:rsidRPr="00A054F7" w14:paraId="58B50420" w14:textId="77777777" w:rsidTr="002D2677">
        <w:trPr>
          <w:trHeight w:val="23"/>
        </w:trPr>
        <w:tc>
          <w:tcPr>
            <w:tcW w:w="5812" w:type="dxa"/>
            <w:tcBorders>
              <w:bottom w:val="single" w:sz="4" w:space="0" w:color="auto"/>
            </w:tcBorders>
            <w:noWrap/>
          </w:tcPr>
          <w:p w14:paraId="4723027D"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AIDS/HIV</w:t>
            </w:r>
          </w:p>
        </w:tc>
        <w:tc>
          <w:tcPr>
            <w:tcW w:w="9072" w:type="dxa"/>
            <w:tcBorders>
              <w:bottom w:val="single" w:sz="4" w:space="0" w:color="auto"/>
            </w:tcBorders>
            <w:noWrap/>
          </w:tcPr>
          <w:p w14:paraId="25235D0A"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B20–B22, B24</w:t>
            </w:r>
          </w:p>
        </w:tc>
      </w:tr>
      <w:tr w:rsidR="00D250E5" w:rsidRPr="00A054F7" w14:paraId="72A58DD7" w14:textId="77777777" w:rsidTr="002D2677">
        <w:trPr>
          <w:trHeight w:val="23"/>
        </w:trPr>
        <w:tc>
          <w:tcPr>
            <w:tcW w:w="5812" w:type="dxa"/>
            <w:tcBorders>
              <w:top w:val="single" w:sz="4" w:space="0" w:color="auto"/>
            </w:tcBorders>
            <w:noWrap/>
          </w:tcPr>
          <w:p w14:paraId="336C2202"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Diseases associated with increased eosinophil counts</w:t>
            </w:r>
          </w:p>
        </w:tc>
        <w:tc>
          <w:tcPr>
            <w:tcW w:w="9072" w:type="dxa"/>
            <w:tcBorders>
              <w:top w:val="single" w:sz="4" w:space="0" w:color="auto"/>
            </w:tcBorders>
            <w:noWrap/>
            <w:hideMark/>
          </w:tcPr>
          <w:p w14:paraId="56616D28"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A054F7" w14:paraId="1E947740" w14:textId="77777777" w:rsidTr="002D2677">
        <w:trPr>
          <w:trHeight w:val="23"/>
        </w:trPr>
        <w:tc>
          <w:tcPr>
            <w:tcW w:w="5812" w:type="dxa"/>
            <w:noWrap/>
          </w:tcPr>
          <w:p w14:paraId="543F6A0A"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Allergic bronchopulmonary aspergillosis</w:t>
            </w:r>
          </w:p>
        </w:tc>
        <w:tc>
          <w:tcPr>
            <w:tcW w:w="9072" w:type="dxa"/>
            <w:noWrap/>
            <w:hideMark/>
          </w:tcPr>
          <w:p w14:paraId="1FD3E211"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B441 (8841312)</w:t>
            </w:r>
          </w:p>
        </w:tc>
      </w:tr>
      <w:tr w:rsidR="00D250E5" w:rsidRPr="00A054F7" w14:paraId="248233F5" w14:textId="77777777" w:rsidTr="002D2677">
        <w:trPr>
          <w:trHeight w:val="23"/>
        </w:trPr>
        <w:tc>
          <w:tcPr>
            <w:tcW w:w="5812" w:type="dxa"/>
            <w:noWrap/>
          </w:tcPr>
          <w:p w14:paraId="40AF9A42" w14:textId="77777777" w:rsidR="00D250E5" w:rsidRPr="00A054F7" w:rsidRDefault="00D250E5" w:rsidP="002D2677">
            <w:pPr>
              <w:widowControl/>
              <w:spacing w:before="0" w:beforeAutospacing="0" w:after="0" w:afterAutospacing="0" w:line="276" w:lineRule="auto"/>
              <w:ind w:left="720"/>
              <w:rPr>
                <w:rFonts w:cs="Arial"/>
                <w:sz w:val="18"/>
                <w:szCs w:val="18"/>
              </w:rPr>
            </w:pPr>
            <w:proofErr w:type="spellStart"/>
            <w:r w:rsidRPr="00A054F7">
              <w:rPr>
                <w:rFonts w:eastAsia="Times New Roman" w:cs="Arial"/>
                <w:sz w:val="18"/>
                <w:szCs w:val="18"/>
              </w:rPr>
              <w:t>Angiolymphoid</w:t>
            </w:r>
            <w:proofErr w:type="spellEnd"/>
            <w:r w:rsidRPr="00A054F7">
              <w:rPr>
                <w:rFonts w:eastAsia="Times New Roman" w:cs="Arial"/>
                <w:sz w:val="18"/>
                <w:szCs w:val="18"/>
              </w:rPr>
              <w:t xml:space="preserve"> hyperplasia with eosinophilia</w:t>
            </w:r>
          </w:p>
        </w:tc>
        <w:tc>
          <w:tcPr>
            <w:tcW w:w="9072" w:type="dxa"/>
            <w:noWrap/>
            <w:hideMark/>
          </w:tcPr>
          <w:p w14:paraId="2BBD9ECF"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D180 (8848708)</w:t>
            </w:r>
          </w:p>
        </w:tc>
      </w:tr>
      <w:tr w:rsidR="00D250E5" w:rsidRPr="00A054F7" w14:paraId="41EEF691" w14:textId="77777777" w:rsidTr="002D2677">
        <w:trPr>
          <w:trHeight w:val="23"/>
        </w:trPr>
        <w:tc>
          <w:tcPr>
            <w:tcW w:w="5812" w:type="dxa"/>
            <w:noWrap/>
          </w:tcPr>
          <w:p w14:paraId="320FFFCB" w14:textId="77777777" w:rsidR="00D250E5" w:rsidRPr="00A054F7" w:rsidRDefault="00D250E5" w:rsidP="002D2677">
            <w:pPr>
              <w:widowControl/>
              <w:spacing w:before="0" w:beforeAutospacing="0" w:after="0" w:afterAutospacing="0" w:line="276" w:lineRule="auto"/>
              <w:ind w:left="720"/>
              <w:rPr>
                <w:rFonts w:eastAsia="Yu Gothic" w:cs="Arial"/>
                <w:color w:val="000000"/>
                <w:sz w:val="18"/>
                <w:szCs w:val="18"/>
                <w:lang w:eastAsia="ja-JP"/>
              </w:rPr>
            </w:pPr>
            <w:r w:rsidRPr="00A054F7">
              <w:rPr>
                <w:rFonts w:eastAsia="Times New Roman" w:cs="Arial"/>
                <w:sz w:val="18"/>
                <w:szCs w:val="18"/>
              </w:rPr>
              <w:t>Chronic eosinophilic leukemia/</w:t>
            </w:r>
            <w:proofErr w:type="spellStart"/>
            <w:r w:rsidRPr="00A054F7">
              <w:rPr>
                <w:rFonts w:eastAsia="Times New Roman" w:cs="Arial"/>
                <w:sz w:val="18"/>
                <w:szCs w:val="18"/>
              </w:rPr>
              <w:t>hypereosinophilic</w:t>
            </w:r>
            <w:proofErr w:type="spellEnd"/>
            <w:r w:rsidRPr="00A054F7">
              <w:rPr>
                <w:rFonts w:eastAsia="Times New Roman" w:cs="Arial"/>
                <w:sz w:val="18"/>
                <w:szCs w:val="18"/>
              </w:rPr>
              <w:t xml:space="preserve"> syndrome</w:t>
            </w:r>
          </w:p>
        </w:tc>
        <w:tc>
          <w:tcPr>
            <w:tcW w:w="9072" w:type="dxa"/>
            <w:noWrap/>
            <w:hideMark/>
          </w:tcPr>
          <w:p w14:paraId="2AD4D4A8"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D475, D721 (8841672)</w:t>
            </w:r>
          </w:p>
        </w:tc>
      </w:tr>
      <w:tr w:rsidR="00D250E5" w:rsidRPr="00A054F7" w14:paraId="4C5AC301" w14:textId="77777777" w:rsidTr="002D2677">
        <w:trPr>
          <w:trHeight w:val="23"/>
        </w:trPr>
        <w:tc>
          <w:tcPr>
            <w:tcW w:w="5812" w:type="dxa"/>
            <w:noWrap/>
          </w:tcPr>
          <w:p w14:paraId="0775E1BC"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Drug-induced hypersensitivity syndrome</w:t>
            </w:r>
          </w:p>
        </w:tc>
        <w:tc>
          <w:tcPr>
            <w:tcW w:w="9072" w:type="dxa"/>
            <w:noWrap/>
            <w:hideMark/>
          </w:tcPr>
          <w:p w14:paraId="5061A098"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L270 (8845614)</w:t>
            </w:r>
          </w:p>
        </w:tc>
      </w:tr>
      <w:tr w:rsidR="00D250E5" w:rsidRPr="00A054F7" w14:paraId="63E3DE2A" w14:textId="77777777" w:rsidTr="002D2677">
        <w:trPr>
          <w:trHeight w:val="23"/>
        </w:trPr>
        <w:tc>
          <w:tcPr>
            <w:tcW w:w="5812" w:type="dxa"/>
            <w:noWrap/>
          </w:tcPr>
          <w:p w14:paraId="50F7EAC2"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Ectoparasites</w:t>
            </w:r>
          </w:p>
        </w:tc>
        <w:tc>
          <w:tcPr>
            <w:tcW w:w="9072" w:type="dxa"/>
            <w:noWrap/>
            <w:hideMark/>
          </w:tcPr>
          <w:p w14:paraId="51F5F5CF"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B85-B89</w:t>
            </w:r>
          </w:p>
        </w:tc>
      </w:tr>
      <w:tr w:rsidR="00D250E5" w:rsidRPr="00A054F7" w14:paraId="1E7296BB" w14:textId="77777777" w:rsidTr="002D2677">
        <w:trPr>
          <w:trHeight w:val="23"/>
        </w:trPr>
        <w:tc>
          <w:tcPr>
            <w:tcW w:w="5812" w:type="dxa"/>
            <w:noWrap/>
          </w:tcPr>
          <w:p w14:paraId="37CED48A"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Eosinophilia</w:t>
            </w:r>
          </w:p>
        </w:tc>
        <w:tc>
          <w:tcPr>
            <w:tcW w:w="9072" w:type="dxa"/>
            <w:noWrap/>
            <w:hideMark/>
          </w:tcPr>
          <w:p w14:paraId="14BC7F76"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D721</w:t>
            </w:r>
          </w:p>
        </w:tc>
      </w:tr>
      <w:tr w:rsidR="00D250E5" w:rsidRPr="00A054F7" w14:paraId="6B47455C" w14:textId="77777777" w:rsidTr="002D2677">
        <w:trPr>
          <w:trHeight w:val="23"/>
        </w:trPr>
        <w:tc>
          <w:tcPr>
            <w:tcW w:w="5812" w:type="dxa"/>
            <w:noWrap/>
          </w:tcPr>
          <w:p w14:paraId="2D0D34A3"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Eosinophilia-myalgia syndrome</w:t>
            </w:r>
          </w:p>
        </w:tc>
        <w:tc>
          <w:tcPr>
            <w:tcW w:w="9072" w:type="dxa"/>
            <w:noWrap/>
          </w:tcPr>
          <w:p w14:paraId="6EA92D99"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M358</w:t>
            </w:r>
          </w:p>
        </w:tc>
      </w:tr>
      <w:tr w:rsidR="00D250E5" w:rsidRPr="00A054F7" w14:paraId="22E2918C" w14:textId="77777777" w:rsidTr="002D2677">
        <w:trPr>
          <w:trHeight w:val="23"/>
        </w:trPr>
        <w:tc>
          <w:tcPr>
            <w:tcW w:w="5812" w:type="dxa"/>
            <w:noWrap/>
          </w:tcPr>
          <w:p w14:paraId="283CC126" w14:textId="77777777" w:rsidR="00D250E5" w:rsidRPr="00A054F7" w:rsidRDefault="00D250E5" w:rsidP="002D2677">
            <w:pPr>
              <w:widowControl/>
              <w:spacing w:before="0" w:beforeAutospacing="0" w:after="0" w:afterAutospacing="0" w:line="276" w:lineRule="auto"/>
              <w:ind w:left="720"/>
              <w:rPr>
                <w:rFonts w:eastAsia="Yu Gothic" w:cs="Arial"/>
                <w:color w:val="000000"/>
                <w:sz w:val="18"/>
                <w:szCs w:val="18"/>
                <w:lang w:eastAsia="ja-JP"/>
              </w:rPr>
            </w:pPr>
            <w:r w:rsidRPr="00A054F7">
              <w:rPr>
                <w:rFonts w:eastAsia="Times New Roman" w:cs="Arial"/>
                <w:sz w:val="18"/>
                <w:szCs w:val="18"/>
              </w:rPr>
              <w:t>Eosinophilic cellulitis</w:t>
            </w:r>
          </w:p>
        </w:tc>
        <w:tc>
          <w:tcPr>
            <w:tcW w:w="9072" w:type="dxa"/>
            <w:noWrap/>
            <w:hideMark/>
          </w:tcPr>
          <w:p w14:paraId="3DCAA9D8"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r w:rsidRPr="00A054F7">
              <w:rPr>
                <w:rFonts w:eastAsia="Times New Roman" w:cs="Arial"/>
                <w:sz w:val="18"/>
                <w:szCs w:val="18"/>
              </w:rPr>
              <w:t>L983 (8833453)</w:t>
            </w:r>
          </w:p>
        </w:tc>
      </w:tr>
      <w:tr w:rsidR="00D250E5" w:rsidRPr="00A054F7" w14:paraId="65CFD64F" w14:textId="77777777" w:rsidTr="002D2677">
        <w:trPr>
          <w:trHeight w:val="23"/>
        </w:trPr>
        <w:tc>
          <w:tcPr>
            <w:tcW w:w="5812" w:type="dxa"/>
            <w:noWrap/>
          </w:tcPr>
          <w:p w14:paraId="68F665AC"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Eosinophilic esophagitis</w:t>
            </w:r>
          </w:p>
        </w:tc>
        <w:tc>
          <w:tcPr>
            <w:tcW w:w="9072" w:type="dxa"/>
            <w:noWrap/>
            <w:hideMark/>
          </w:tcPr>
          <w:p w14:paraId="4FA77211"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K20 (8847750)</w:t>
            </w:r>
          </w:p>
        </w:tc>
      </w:tr>
      <w:tr w:rsidR="00D250E5" w:rsidRPr="00A054F7" w14:paraId="6615BCC9" w14:textId="77777777" w:rsidTr="002D2677">
        <w:trPr>
          <w:trHeight w:val="23"/>
        </w:trPr>
        <w:tc>
          <w:tcPr>
            <w:tcW w:w="5812" w:type="dxa"/>
            <w:noWrap/>
          </w:tcPr>
          <w:p w14:paraId="715D7042"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Eosinophilic fasciitis</w:t>
            </w:r>
          </w:p>
        </w:tc>
        <w:tc>
          <w:tcPr>
            <w:tcW w:w="9072" w:type="dxa"/>
            <w:noWrap/>
            <w:hideMark/>
          </w:tcPr>
          <w:p w14:paraId="28A892D5"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M354</w:t>
            </w:r>
          </w:p>
        </w:tc>
      </w:tr>
      <w:tr w:rsidR="00D250E5" w:rsidRPr="00A054F7" w14:paraId="1E50F5E4" w14:textId="77777777" w:rsidTr="002D2677">
        <w:trPr>
          <w:trHeight w:val="23"/>
        </w:trPr>
        <w:tc>
          <w:tcPr>
            <w:tcW w:w="5812" w:type="dxa"/>
            <w:noWrap/>
          </w:tcPr>
          <w:p w14:paraId="6AF848D4"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Eosinophilic gastroenteritis</w:t>
            </w:r>
          </w:p>
        </w:tc>
        <w:tc>
          <w:tcPr>
            <w:tcW w:w="9072" w:type="dxa"/>
            <w:noWrap/>
            <w:hideMark/>
          </w:tcPr>
          <w:p w14:paraId="520ED6BD"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K528 (8833448)</w:t>
            </w:r>
          </w:p>
        </w:tc>
      </w:tr>
      <w:tr w:rsidR="00D250E5" w:rsidRPr="00A054F7" w14:paraId="61C56EEB" w14:textId="77777777" w:rsidTr="002D2677">
        <w:trPr>
          <w:trHeight w:val="23"/>
        </w:trPr>
        <w:tc>
          <w:tcPr>
            <w:tcW w:w="5812" w:type="dxa"/>
            <w:noWrap/>
          </w:tcPr>
          <w:p w14:paraId="22F5EE84"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Eosinophilic gastrointestinal diseases</w:t>
            </w:r>
          </w:p>
        </w:tc>
        <w:tc>
          <w:tcPr>
            <w:tcW w:w="9072" w:type="dxa"/>
            <w:noWrap/>
          </w:tcPr>
          <w:p w14:paraId="4FCC0AC1"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K928 (8850983)</w:t>
            </w:r>
          </w:p>
        </w:tc>
      </w:tr>
      <w:tr w:rsidR="00D250E5" w:rsidRPr="00A054F7" w14:paraId="4914065F" w14:textId="77777777" w:rsidTr="002D2677">
        <w:trPr>
          <w:trHeight w:val="23"/>
        </w:trPr>
        <w:tc>
          <w:tcPr>
            <w:tcW w:w="5812" w:type="dxa"/>
            <w:noWrap/>
          </w:tcPr>
          <w:p w14:paraId="6E3D2148"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Eosinophilic granulomatosis with polyangiitis</w:t>
            </w:r>
          </w:p>
        </w:tc>
        <w:tc>
          <w:tcPr>
            <w:tcW w:w="9072" w:type="dxa"/>
            <w:noWrap/>
          </w:tcPr>
          <w:p w14:paraId="3A32C749"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M301</w:t>
            </w:r>
          </w:p>
        </w:tc>
      </w:tr>
      <w:tr w:rsidR="00D250E5" w:rsidRPr="00A054F7" w14:paraId="4B76DDD8" w14:textId="77777777" w:rsidTr="002D2677">
        <w:trPr>
          <w:trHeight w:val="23"/>
        </w:trPr>
        <w:tc>
          <w:tcPr>
            <w:tcW w:w="5812" w:type="dxa"/>
            <w:noWrap/>
          </w:tcPr>
          <w:p w14:paraId="204555F6"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Eosinophilic myocarditis</w:t>
            </w:r>
          </w:p>
        </w:tc>
        <w:tc>
          <w:tcPr>
            <w:tcW w:w="9072" w:type="dxa"/>
            <w:noWrap/>
          </w:tcPr>
          <w:p w14:paraId="1EFF83FA"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I408 (8850183)</w:t>
            </w:r>
          </w:p>
        </w:tc>
      </w:tr>
      <w:tr w:rsidR="00D250E5" w:rsidRPr="00A054F7" w14:paraId="60B9BF56" w14:textId="77777777" w:rsidTr="002D2677">
        <w:trPr>
          <w:trHeight w:val="23"/>
        </w:trPr>
        <w:tc>
          <w:tcPr>
            <w:tcW w:w="5812" w:type="dxa"/>
            <w:noWrap/>
          </w:tcPr>
          <w:p w14:paraId="2A298102"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Eosinophilic pustular folliculitis</w:t>
            </w:r>
          </w:p>
        </w:tc>
        <w:tc>
          <w:tcPr>
            <w:tcW w:w="9072" w:type="dxa"/>
            <w:noWrap/>
          </w:tcPr>
          <w:p w14:paraId="154705E4"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L010 (8842088)</w:t>
            </w:r>
          </w:p>
        </w:tc>
      </w:tr>
      <w:tr w:rsidR="00D250E5" w:rsidRPr="00A054F7" w14:paraId="31D7A384" w14:textId="77777777" w:rsidTr="002D2677">
        <w:trPr>
          <w:trHeight w:val="23"/>
        </w:trPr>
        <w:tc>
          <w:tcPr>
            <w:tcW w:w="5812" w:type="dxa"/>
            <w:noWrap/>
          </w:tcPr>
          <w:p w14:paraId="50EE3955"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Helminth infection</w:t>
            </w:r>
          </w:p>
        </w:tc>
        <w:tc>
          <w:tcPr>
            <w:tcW w:w="9072" w:type="dxa"/>
            <w:noWrap/>
          </w:tcPr>
          <w:p w14:paraId="5E1A4BB7"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B50-B58, B60-B83</w:t>
            </w:r>
          </w:p>
        </w:tc>
      </w:tr>
      <w:tr w:rsidR="00D250E5" w:rsidRPr="00A054F7" w14:paraId="1B4327EB" w14:textId="77777777" w:rsidTr="002D2677">
        <w:trPr>
          <w:trHeight w:val="23"/>
        </w:trPr>
        <w:tc>
          <w:tcPr>
            <w:tcW w:w="5812" w:type="dxa"/>
            <w:noWrap/>
          </w:tcPr>
          <w:p w14:paraId="38A8D858"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Hematological malignancies</w:t>
            </w:r>
          </w:p>
        </w:tc>
        <w:tc>
          <w:tcPr>
            <w:tcW w:w="9072" w:type="dxa"/>
            <w:noWrap/>
          </w:tcPr>
          <w:p w14:paraId="40807632"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C81-C96</w:t>
            </w:r>
          </w:p>
        </w:tc>
      </w:tr>
      <w:tr w:rsidR="00D250E5" w:rsidRPr="00A054F7" w14:paraId="03762B94" w14:textId="77777777" w:rsidTr="002D2677">
        <w:trPr>
          <w:trHeight w:val="23"/>
        </w:trPr>
        <w:tc>
          <w:tcPr>
            <w:tcW w:w="5812" w:type="dxa"/>
            <w:noWrap/>
          </w:tcPr>
          <w:p w14:paraId="7A5F2E58"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 xml:space="preserve">Hypopituitarism </w:t>
            </w:r>
          </w:p>
        </w:tc>
        <w:tc>
          <w:tcPr>
            <w:tcW w:w="9072" w:type="dxa"/>
            <w:noWrap/>
          </w:tcPr>
          <w:p w14:paraId="3081ED37"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E23</w:t>
            </w:r>
          </w:p>
        </w:tc>
      </w:tr>
      <w:tr w:rsidR="00D250E5" w:rsidRPr="00A054F7" w14:paraId="6BD85181" w14:textId="77777777" w:rsidTr="002D2677">
        <w:trPr>
          <w:trHeight w:val="23"/>
        </w:trPr>
        <w:tc>
          <w:tcPr>
            <w:tcW w:w="5812" w:type="dxa"/>
            <w:noWrap/>
          </w:tcPr>
          <w:p w14:paraId="67728303"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Immune deficiency (excluding unspecific disease codes)</w:t>
            </w:r>
          </w:p>
        </w:tc>
        <w:tc>
          <w:tcPr>
            <w:tcW w:w="9072" w:type="dxa"/>
            <w:noWrap/>
          </w:tcPr>
          <w:p w14:paraId="2F18F769"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D80-D84 (excluding 8833982, 2793002, 8849748, 8840563, 2790015, 2790006, 2790010, 8836861)</w:t>
            </w:r>
          </w:p>
        </w:tc>
      </w:tr>
      <w:tr w:rsidR="00D250E5" w:rsidRPr="00A054F7" w14:paraId="1778C1D1" w14:textId="77777777" w:rsidTr="002D2677">
        <w:trPr>
          <w:trHeight w:val="23"/>
        </w:trPr>
        <w:tc>
          <w:tcPr>
            <w:tcW w:w="5812" w:type="dxa"/>
            <w:noWrap/>
          </w:tcPr>
          <w:p w14:paraId="64BBC450"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Interstitial nephritis</w:t>
            </w:r>
          </w:p>
        </w:tc>
        <w:tc>
          <w:tcPr>
            <w:tcW w:w="9072" w:type="dxa"/>
            <w:noWrap/>
          </w:tcPr>
          <w:p w14:paraId="1267140C"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N10 (5838004, 8832416, 5837001, 8840381), N12 (5839005, 8838516), N142 (9952036, 9959004, 8840719)</w:t>
            </w:r>
          </w:p>
        </w:tc>
      </w:tr>
      <w:tr w:rsidR="00D250E5" w:rsidRPr="00A054F7" w14:paraId="3CDDC94E" w14:textId="77777777" w:rsidTr="002D2677">
        <w:trPr>
          <w:trHeight w:val="23"/>
        </w:trPr>
        <w:tc>
          <w:tcPr>
            <w:tcW w:w="5812" w:type="dxa"/>
            <w:noWrap/>
          </w:tcPr>
          <w:p w14:paraId="0EB01DE9"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Kimura disease</w:t>
            </w:r>
          </w:p>
        </w:tc>
        <w:tc>
          <w:tcPr>
            <w:tcW w:w="9072" w:type="dxa"/>
            <w:noWrap/>
          </w:tcPr>
          <w:p w14:paraId="157822DA"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D219 (8832252)</w:t>
            </w:r>
          </w:p>
        </w:tc>
      </w:tr>
      <w:tr w:rsidR="00D250E5" w:rsidRPr="00A054F7" w14:paraId="60B9C3F9" w14:textId="77777777" w:rsidTr="002D2677">
        <w:trPr>
          <w:trHeight w:val="23"/>
        </w:trPr>
        <w:tc>
          <w:tcPr>
            <w:tcW w:w="5812" w:type="dxa"/>
            <w:noWrap/>
          </w:tcPr>
          <w:p w14:paraId="23809373"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Mastocytosis</w:t>
            </w:r>
          </w:p>
        </w:tc>
        <w:tc>
          <w:tcPr>
            <w:tcW w:w="9072" w:type="dxa"/>
            <w:noWrap/>
          </w:tcPr>
          <w:p w14:paraId="16A55BA7"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D470, Q822 (8839402)</w:t>
            </w:r>
          </w:p>
        </w:tc>
      </w:tr>
      <w:tr w:rsidR="00D250E5" w:rsidRPr="00A054F7" w14:paraId="00E07356" w14:textId="77777777" w:rsidTr="002D2677">
        <w:trPr>
          <w:trHeight w:val="23"/>
        </w:trPr>
        <w:tc>
          <w:tcPr>
            <w:tcW w:w="5812" w:type="dxa"/>
            <w:noWrap/>
          </w:tcPr>
          <w:p w14:paraId="51A00B09"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Primary adrenal insufficiency</w:t>
            </w:r>
          </w:p>
        </w:tc>
        <w:tc>
          <w:tcPr>
            <w:tcW w:w="9072" w:type="dxa"/>
            <w:noWrap/>
          </w:tcPr>
          <w:p w14:paraId="03D44179"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E271, E272</w:t>
            </w:r>
          </w:p>
        </w:tc>
      </w:tr>
      <w:tr w:rsidR="00D250E5" w:rsidRPr="00A054F7" w14:paraId="6106FDAA" w14:textId="77777777" w:rsidTr="002D2677">
        <w:trPr>
          <w:trHeight w:val="23"/>
        </w:trPr>
        <w:tc>
          <w:tcPr>
            <w:tcW w:w="5812" w:type="dxa"/>
            <w:noWrap/>
          </w:tcPr>
          <w:p w14:paraId="3DB55C72"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Pulmonary eosinophilia</w:t>
            </w:r>
          </w:p>
        </w:tc>
        <w:tc>
          <w:tcPr>
            <w:tcW w:w="9072" w:type="dxa"/>
            <w:noWrap/>
          </w:tcPr>
          <w:p w14:paraId="71A84FB6"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J82</w:t>
            </w:r>
          </w:p>
        </w:tc>
      </w:tr>
      <w:tr w:rsidR="00D250E5" w:rsidRPr="00A054F7" w14:paraId="323EBFDB" w14:textId="77777777" w:rsidTr="002D2677">
        <w:trPr>
          <w:trHeight w:val="23"/>
        </w:trPr>
        <w:tc>
          <w:tcPr>
            <w:tcW w:w="5812" w:type="dxa"/>
            <w:tcBorders>
              <w:bottom w:val="single" w:sz="4" w:space="0" w:color="auto"/>
            </w:tcBorders>
            <w:noWrap/>
          </w:tcPr>
          <w:p w14:paraId="643E4908"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Sarcoidosis</w:t>
            </w:r>
          </w:p>
        </w:tc>
        <w:tc>
          <w:tcPr>
            <w:tcW w:w="9072" w:type="dxa"/>
            <w:tcBorders>
              <w:bottom w:val="single" w:sz="4" w:space="0" w:color="auto"/>
            </w:tcBorders>
            <w:noWrap/>
          </w:tcPr>
          <w:p w14:paraId="4484B5C9"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D86</w:t>
            </w:r>
          </w:p>
        </w:tc>
      </w:tr>
      <w:tr w:rsidR="00D250E5" w:rsidRPr="00A054F7" w14:paraId="5AC7CD1E" w14:textId="77777777" w:rsidTr="002D2677">
        <w:trPr>
          <w:trHeight w:val="23"/>
        </w:trPr>
        <w:tc>
          <w:tcPr>
            <w:tcW w:w="5812" w:type="dxa"/>
            <w:tcBorders>
              <w:top w:val="single" w:sz="4" w:space="0" w:color="auto"/>
            </w:tcBorders>
            <w:noWrap/>
          </w:tcPr>
          <w:p w14:paraId="2C52F440"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lastRenderedPageBreak/>
              <w:t>Medical procedures</w:t>
            </w:r>
          </w:p>
        </w:tc>
        <w:tc>
          <w:tcPr>
            <w:tcW w:w="9072" w:type="dxa"/>
            <w:tcBorders>
              <w:top w:val="single" w:sz="4" w:space="0" w:color="auto"/>
            </w:tcBorders>
            <w:noWrap/>
          </w:tcPr>
          <w:p w14:paraId="0570FDDD" w14:textId="77777777" w:rsidR="00D250E5" w:rsidRPr="00A054F7" w:rsidRDefault="00D250E5" w:rsidP="002D2677">
            <w:pPr>
              <w:widowControl/>
              <w:spacing w:before="0" w:beforeAutospacing="0" w:after="0" w:afterAutospacing="0" w:line="276" w:lineRule="auto"/>
              <w:rPr>
                <w:rFonts w:eastAsia="Times New Roman" w:cs="Arial"/>
                <w:sz w:val="18"/>
                <w:szCs w:val="18"/>
              </w:rPr>
            </w:pPr>
          </w:p>
        </w:tc>
      </w:tr>
      <w:tr w:rsidR="00D250E5" w:rsidRPr="00A054F7" w14:paraId="60BDFB16" w14:textId="77777777" w:rsidTr="002D2677">
        <w:trPr>
          <w:trHeight w:val="23"/>
        </w:trPr>
        <w:tc>
          <w:tcPr>
            <w:tcW w:w="5812" w:type="dxa"/>
            <w:noWrap/>
          </w:tcPr>
          <w:p w14:paraId="3E14DCD4"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Emergency room visits</w:t>
            </w:r>
          </w:p>
        </w:tc>
        <w:tc>
          <w:tcPr>
            <w:tcW w:w="9072" w:type="dxa"/>
            <w:noWrap/>
          </w:tcPr>
          <w:p w14:paraId="41687E31" w14:textId="77777777" w:rsidR="00D250E5" w:rsidRPr="00A054F7" w:rsidRDefault="00D250E5" w:rsidP="002D2677">
            <w:pPr>
              <w:widowControl/>
              <w:spacing w:before="0" w:beforeAutospacing="0" w:after="0" w:afterAutospacing="0" w:line="276" w:lineRule="auto"/>
              <w:rPr>
                <w:rFonts w:eastAsia="Times New Roman" w:cs="Arial"/>
                <w:sz w:val="18"/>
                <w:szCs w:val="18"/>
              </w:rPr>
            </w:pPr>
          </w:p>
        </w:tc>
      </w:tr>
      <w:tr w:rsidR="00D250E5" w:rsidRPr="00A054F7" w14:paraId="073D9B36" w14:textId="77777777" w:rsidTr="002D2677">
        <w:trPr>
          <w:trHeight w:val="23"/>
        </w:trPr>
        <w:tc>
          <w:tcPr>
            <w:tcW w:w="5812" w:type="dxa"/>
            <w:noWrap/>
          </w:tcPr>
          <w:p w14:paraId="73565A4C"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Emergency room visit</w:t>
            </w:r>
          </w:p>
        </w:tc>
        <w:tc>
          <w:tcPr>
            <w:tcW w:w="9072" w:type="dxa"/>
            <w:noWrap/>
          </w:tcPr>
          <w:p w14:paraId="52D3179C"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A000-A002, B001-2</w:t>
            </w:r>
          </w:p>
        </w:tc>
      </w:tr>
      <w:tr w:rsidR="00D250E5" w:rsidRPr="00A054F7" w14:paraId="70D04E91" w14:textId="77777777" w:rsidTr="002D2677">
        <w:trPr>
          <w:trHeight w:val="23"/>
        </w:trPr>
        <w:tc>
          <w:tcPr>
            <w:tcW w:w="5812" w:type="dxa"/>
            <w:noWrap/>
          </w:tcPr>
          <w:p w14:paraId="61780A6E"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Emergency admission</w:t>
            </w:r>
          </w:p>
        </w:tc>
        <w:tc>
          <w:tcPr>
            <w:tcW w:w="9072" w:type="dxa"/>
            <w:noWrap/>
          </w:tcPr>
          <w:p w14:paraId="5535176B"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A300, A301</w:t>
            </w:r>
          </w:p>
        </w:tc>
      </w:tr>
      <w:tr w:rsidR="00D250E5" w:rsidRPr="00A054F7" w14:paraId="058BFDA7" w14:textId="77777777" w:rsidTr="002D2677">
        <w:trPr>
          <w:trHeight w:val="23"/>
        </w:trPr>
        <w:tc>
          <w:tcPr>
            <w:tcW w:w="5812" w:type="dxa"/>
            <w:tcBorders>
              <w:bottom w:val="single" w:sz="4" w:space="0" w:color="auto"/>
            </w:tcBorders>
            <w:noWrap/>
          </w:tcPr>
          <w:p w14:paraId="026303B2"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Home oxygen therapy</w:t>
            </w:r>
          </w:p>
        </w:tc>
        <w:tc>
          <w:tcPr>
            <w:tcW w:w="9072" w:type="dxa"/>
            <w:tcBorders>
              <w:bottom w:val="single" w:sz="4" w:space="0" w:color="auto"/>
            </w:tcBorders>
            <w:noWrap/>
          </w:tcPr>
          <w:p w14:paraId="2B91703F"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C103</w:t>
            </w:r>
          </w:p>
        </w:tc>
      </w:tr>
    </w:tbl>
    <w:p w14:paraId="668EB533" w14:textId="77777777" w:rsidR="00D250E5" w:rsidRPr="00A054F7" w:rsidRDefault="00D250E5" w:rsidP="00D250E5">
      <w:pPr>
        <w:spacing w:line="276" w:lineRule="auto"/>
        <w:rPr>
          <w:rFonts w:cs="Arial"/>
          <w:sz w:val="18"/>
          <w:szCs w:val="18"/>
        </w:rPr>
        <w:sectPr w:rsidR="00D250E5" w:rsidRPr="00A054F7" w:rsidSect="00D250E5">
          <w:endnotePr>
            <w:numFmt w:val="decimal"/>
          </w:endnotePr>
          <w:pgSz w:w="16840" w:h="11907" w:orient="landscape" w:code="9"/>
          <w:pgMar w:top="1701" w:right="1440" w:bottom="1701" w:left="1440" w:header="567" w:footer="567" w:gutter="0"/>
          <w:cols w:space="720"/>
          <w:docGrid w:linePitch="299"/>
        </w:sectPr>
      </w:pPr>
      <w:r w:rsidRPr="00A054F7">
        <w:rPr>
          <w:rFonts w:cs="Arial"/>
          <w:sz w:val="18"/>
          <w:szCs w:val="18"/>
        </w:rPr>
        <w:t>Abbreviations: AIDS, acquired immunodeficiency syndrome; COPD, chronic obstructive pulmonary disease; HIV, human immunodeficiency virus; ICD-10, International Classification of Diseases, 10th Revision.</w:t>
      </w:r>
    </w:p>
    <w:p w14:paraId="6C29A592" w14:textId="2203AE72" w:rsidR="00D250E5" w:rsidRPr="005C6D88" w:rsidRDefault="00D250E5" w:rsidP="005C6D88">
      <w:pPr>
        <w:pStyle w:val="Heading3"/>
        <w:rPr>
          <w:b/>
          <w:bCs/>
          <w:color w:val="000000" w:themeColor="text1"/>
          <w:sz w:val="20"/>
          <w:szCs w:val="20"/>
          <w:lang w:eastAsia="ja-JP"/>
        </w:rPr>
      </w:pPr>
      <w:r w:rsidRPr="00D250E5">
        <w:rPr>
          <w:b/>
          <w:bCs/>
          <w:color w:val="000000" w:themeColor="text1"/>
          <w:sz w:val="20"/>
          <w:szCs w:val="20"/>
          <w:lang w:eastAsia="ja-JP"/>
        </w:rPr>
        <w:lastRenderedPageBreak/>
        <w:t>Supplementary Table 2</w:t>
      </w:r>
      <w:r w:rsidRPr="00D250E5">
        <w:rPr>
          <w:color w:val="000000" w:themeColor="text1"/>
        </w:rPr>
        <w:t xml:space="preserve"> </w:t>
      </w:r>
      <w:r w:rsidRPr="005C6D88">
        <w:rPr>
          <w:b/>
          <w:bCs/>
          <w:color w:val="000000" w:themeColor="text1"/>
          <w:sz w:val="20"/>
          <w:szCs w:val="20"/>
          <w:lang w:eastAsia="ja-JP"/>
        </w:rPr>
        <w:t>Definitions of COPD treatment by WHO-ATC codes</w:t>
      </w:r>
    </w:p>
    <w:tbl>
      <w:tblPr>
        <w:tblW w:w="5000" w:type="pct"/>
        <w:tblLayout w:type="fixed"/>
        <w:tblCellMar>
          <w:left w:w="99" w:type="dxa"/>
          <w:right w:w="99" w:type="dxa"/>
        </w:tblCellMar>
        <w:tblLook w:val="04A0" w:firstRow="1" w:lastRow="0" w:firstColumn="1" w:lastColumn="0" w:noHBand="0" w:noVBand="1"/>
      </w:tblPr>
      <w:tblGrid>
        <w:gridCol w:w="8932"/>
        <w:gridCol w:w="5028"/>
      </w:tblGrid>
      <w:tr w:rsidR="00D250E5" w:rsidRPr="00276290" w14:paraId="7FA60694" w14:textId="77777777" w:rsidTr="002D2677">
        <w:trPr>
          <w:trHeight w:val="23"/>
        </w:trPr>
        <w:tc>
          <w:tcPr>
            <w:tcW w:w="3199" w:type="pct"/>
            <w:tcBorders>
              <w:top w:val="single" w:sz="4" w:space="0" w:color="auto"/>
              <w:left w:val="nil"/>
              <w:bottom w:val="single" w:sz="4" w:space="0" w:color="auto"/>
              <w:right w:val="nil"/>
            </w:tcBorders>
            <w:noWrap/>
          </w:tcPr>
          <w:p w14:paraId="14C1D431"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Yu Gothic" w:cs="Arial"/>
                <w:color w:val="000000"/>
                <w:sz w:val="18"/>
                <w:szCs w:val="18"/>
                <w:lang w:eastAsia="ja-JP"/>
              </w:rPr>
              <w:t>Class</w:t>
            </w:r>
          </w:p>
        </w:tc>
        <w:tc>
          <w:tcPr>
            <w:tcW w:w="1801" w:type="pct"/>
            <w:tcBorders>
              <w:top w:val="single" w:sz="4" w:space="0" w:color="auto"/>
              <w:left w:val="nil"/>
              <w:bottom w:val="single" w:sz="4" w:space="0" w:color="auto"/>
              <w:right w:val="nil"/>
            </w:tcBorders>
            <w:noWrap/>
            <w:hideMark/>
          </w:tcPr>
          <w:p w14:paraId="6AF622E8"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Yu Gothic" w:cs="Arial"/>
                <w:color w:val="000000"/>
                <w:sz w:val="18"/>
                <w:szCs w:val="18"/>
                <w:lang w:eastAsia="ja-JP"/>
              </w:rPr>
              <w:t>WHO-ATC code</w:t>
            </w:r>
          </w:p>
        </w:tc>
      </w:tr>
      <w:tr w:rsidR="00D250E5" w:rsidRPr="00276290" w14:paraId="705BA335" w14:textId="77777777" w:rsidTr="002D2677">
        <w:trPr>
          <w:trHeight w:val="23"/>
        </w:trPr>
        <w:tc>
          <w:tcPr>
            <w:tcW w:w="3199" w:type="pct"/>
            <w:tcBorders>
              <w:top w:val="nil"/>
              <w:left w:val="nil"/>
              <w:bottom w:val="nil"/>
              <w:right w:val="nil"/>
            </w:tcBorders>
            <w:noWrap/>
          </w:tcPr>
          <w:p w14:paraId="1F5755FA"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SAMA</w:t>
            </w:r>
          </w:p>
        </w:tc>
        <w:tc>
          <w:tcPr>
            <w:tcW w:w="1801" w:type="pct"/>
            <w:tcBorders>
              <w:top w:val="nil"/>
              <w:left w:val="nil"/>
              <w:bottom w:val="nil"/>
              <w:right w:val="nil"/>
            </w:tcBorders>
            <w:noWrap/>
            <w:hideMark/>
          </w:tcPr>
          <w:p w14:paraId="748A152F"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276290" w14:paraId="4691DC1B" w14:textId="77777777" w:rsidTr="002D2677">
        <w:trPr>
          <w:trHeight w:val="23"/>
        </w:trPr>
        <w:tc>
          <w:tcPr>
            <w:tcW w:w="3199" w:type="pct"/>
            <w:tcBorders>
              <w:top w:val="nil"/>
              <w:left w:val="nil"/>
              <w:bottom w:val="nil"/>
              <w:right w:val="nil"/>
            </w:tcBorders>
            <w:noWrap/>
          </w:tcPr>
          <w:p w14:paraId="06912144"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Ipratropium bromide hydrate</w:t>
            </w:r>
          </w:p>
        </w:tc>
        <w:tc>
          <w:tcPr>
            <w:tcW w:w="1801" w:type="pct"/>
            <w:tcBorders>
              <w:top w:val="nil"/>
              <w:left w:val="nil"/>
              <w:bottom w:val="nil"/>
              <w:right w:val="nil"/>
            </w:tcBorders>
            <w:noWrap/>
            <w:vAlign w:val="bottom"/>
            <w:hideMark/>
          </w:tcPr>
          <w:p w14:paraId="08B5EEAB"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R03BB01</w:t>
            </w:r>
          </w:p>
        </w:tc>
      </w:tr>
      <w:tr w:rsidR="00D250E5" w:rsidRPr="00276290" w14:paraId="204215AD" w14:textId="77777777" w:rsidTr="002D2677">
        <w:trPr>
          <w:trHeight w:val="23"/>
        </w:trPr>
        <w:tc>
          <w:tcPr>
            <w:tcW w:w="3199" w:type="pct"/>
            <w:tcBorders>
              <w:top w:val="nil"/>
              <w:left w:val="nil"/>
              <w:bottom w:val="nil"/>
              <w:right w:val="nil"/>
            </w:tcBorders>
            <w:noWrap/>
          </w:tcPr>
          <w:p w14:paraId="64B5C44F" w14:textId="77777777" w:rsidR="00D250E5" w:rsidRPr="00A054F7" w:rsidRDefault="00D250E5" w:rsidP="002D2677">
            <w:pPr>
              <w:widowControl/>
              <w:spacing w:before="0" w:beforeAutospacing="0" w:after="0" w:afterAutospacing="0" w:line="276" w:lineRule="auto"/>
              <w:ind w:left="720"/>
              <w:rPr>
                <w:rFonts w:cs="Arial"/>
                <w:sz w:val="18"/>
                <w:szCs w:val="18"/>
              </w:rPr>
            </w:pPr>
            <w:proofErr w:type="spellStart"/>
            <w:r w:rsidRPr="00A054F7">
              <w:rPr>
                <w:rFonts w:eastAsia="Times New Roman" w:cs="Arial"/>
                <w:sz w:val="18"/>
                <w:szCs w:val="18"/>
              </w:rPr>
              <w:t>Oxitropium</w:t>
            </w:r>
            <w:proofErr w:type="spellEnd"/>
            <w:r w:rsidRPr="00A054F7">
              <w:rPr>
                <w:rFonts w:eastAsia="Times New Roman" w:cs="Arial"/>
                <w:sz w:val="18"/>
                <w:szCs w:val="18"/>
              </w:rPr>
              <w:t xml:space="preserve"> bromide</w:t>
            </w:r>
          </w:p>
        </w:tc>
        <w:tc>
          <w:tcPr>
            <w:tcW w:w="1801" w:type="pct"/>
            <w:tcBorders>
              <w:top w:val="nil"/>
              <w:left w:val="nil"/>
              <w:bottom w:val="nil"/>
              <w:right w:val="nil"/>
            </w:tcBorders>
            <w:noWrap/>
            <w:vAlign w:val="bottom"/>
            <w:hideMark/>
          </w:tcPr>
          <w:p w14:paraId="2C38F600"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R03BB02</w:t>
            </w:r>
          </w:p>
        </w:tc>
      </w:tr>
      <w:tr w:rsidR="00D250E5" w:rsidRPr="00276290" w14:paraId="6D5E6E56" w14:textId="77777777" w:rsidTr="002D2677">
        <w:trPr>
          <w:trHeight w:val="23"/>
        </w:trPr>
        <w:tc>
          <w:tcPr>
            <w:tcW w:w="3199" w:type="pct"/>
            <w:tcBorders>
              <w:top w:val="nil"/>
              <w:left w:val="nil"/>
              <w:bottom w:val="nil"/>
              <w:right w:val="nil"/>
            </w:tcBorders>
            <w:noWrap/>
          </w:tcPr>
          <w:p w14:paraId="22463FC1"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LAMA</w:t>
            </w:r>
          </w:p>
        </w:tc>
        <w:tc>
          <w:tcPr>
            <w:tcW w:w="1801" w:type="pct"/>
            <w:tcBorders>
              <w:top w:val="nil"/>
              <w:left w:val="nil"/>
              <w:bottom w:val="nil"/>
              <w:right w:val="nil"/>
            </w:tcBorders>
            <w:noWrap/>
            <w:hideMark/>
          </w:tcPr>
          <w:p w14:paraId="7C088189"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276290" w14:paraId="3968C5AE" w14:textId="77777777" w:rsidTr="002D2677">
        <w:trPr>
          <w:trHeight w:val="23"/>
        </w:trPr>
        <w:tc>
          <w:tcPr>
            <w:tcW w:w="3199" w:type="pct"/>
            <w:tcBorders>
              <w:top w:val="nil"/>
              <w:left w:val="nil"/>
              <w:bottom w:val="nil"/>
              <w:right w:val="nil"/>
            </w:tcBorders>
            <w:noWrap/>
          </w:tcPr>
          <w:p w14:paraId="5ABBC5F6"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Tiotropium bromide hydrate</w:t>
            </w:r>
          </w:p>
        </w:tc>
        <w:tc>
          <w:tcPr>
            <w:tcW w:w="1801" w:type="pct"/>
            <w:tcBorders>
              <w:top w:val="nil"/>
              <w:left w:val="nil"/>
              <w:bottom w:val="nil"/>
              <w:right w:val="nil"/>
            </w:tcBorders>
            <w:noWrap/>
            <w:vAlign w:val="bottom"/>
            <w:hideMark/>
          </w:tcPr>
          <w:p w14:paraId="70A65DC8"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R03BB04</w:t>
            </w:r>
          </w:p>
        </w:tc>
      </w:tr>
      <w:tr w:rsidR="00D250E5" w:rsidRPr="00276290" w14:paraId="69C1B304" w14:textId="77777777" w:rsidTr="002D2677">
        <w:trPr>
          <w:trHeight w:val="23"/>
        </w:trPr>
        <w:tc>
          <w:tcPr>
            <w:tcW w:w="3199" w:type="pct"/>
            <w:tcBorders>
              <w:top w:val="nil"/>
              <w:left w:val="nil"/>
              <w:bottom w:val="nil"/>
              <w:right w:val="nil"/>
            </w:tcBorders>
            <w:noWrap/>
          </w:tcPr>
          <w:p w14:paraId="03748027" w14:textId="77777777" w:rsidR="00D250E5" w:rsidRPr="00A054F7" w:rsidRDefault="00D250E5" w:rsidP="002D2677">
            <w:pPr>
              <w:widowControl/>
              <w:spacing w:before="0" w:beforeAutospacing="0" w:after="0" w:afterAutospacing="0" w:line="276" w:lineRule="auto"/>
              <w:ind w:left="720"/>
              <w:rPr>
                <w:rFonts w:cs="Arial"/>
                <w:sz w:val="18"/>
                <w:szCs w:val="18"/>
              </w:rPr>
            </w:pPr>
            <w:proofErr w:type="spellStart"/>
            <w:r w:rsidRPr="00A054F7">
              <w:rPr>
                <w:rFonts w:eastAsia="Times New Roman" w:cs="Arial"/>
                <w:sz w:val="18"/>
                <w:szCs w:val="18"/>
              </w:rPr>
              <w:t>Glycopyrronium</w:t>
            </w:r>
            <w:proofErr w:type="spellEnd"/>
            <w:r w:rsidRPr="00A054F7">
              <w:rPr>
                <w:rFonts w:eastAsia="Times New Roman" w:cs="Arial"/>
                <w:sz w:val="18"/>
                <w:szCs w:val="18"/>
              </w:rPr>
              <w:t xml:space="preserve"> bromide</w:t>
            </w:r>
          </w:p>
        </w:tc>
        <w:tc>
          <w:tcPr>
            <w:tcW w:w="1801" w:type="pct"/>
            <w:tcBorders>
              <w:top w:val="nil"/>
              <w:left w:val="nil"/>
              <w:bottom w:val="nil"/>
              <w:right w:val="nil"/>
            </w:tcBorders>
            <w:noWrap/>
            <w:vAlign w:val="bottom"/>
            <w:hideMark/>
          </w:tcPr>
          <w:p w14:paraId="276506C6"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R03BB06</w:t>
            </w:r>
          </w:p>
        </w:tc>
      </w:tr>
      <w:tr w:rsidR="00D250E5" w:rsidRPr="00276290" w14:paraId="01CB846D" w14:textId="77777777" w:rsidTr="002D2677">
        <w:trPr>
          <w:trHeight w:val="23"/>
        </w:trPr>
        <w:tc>
          <w:tcPr>
            <w:tcW w:w="3199" w:type="pct"/>
            <w:tcBorders>
              <w:top w:val="nil"/>
              <w:left w:val="nil"/>
              <w:bottom w:val="nil"/>
              <w:right w:val="nil"/>
            </w:tcBorders>
            <w:noWrap/>
          </w:tcPr>
          <w:p w14:paraId="46FD9F88"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Aclidinium bromide</w:t>
            </w:r>
          </w:p>
        </w:tc>
        <w:tc>
          <w:tcPr>
            <w:tcW w:w="1801" w:type="pct"/>
            <w:tcBorders>
              <w:top w:val="nil"/>
              <w:left w:val="nil"/>
              <w:bottom w:val="nil"/>
              <w:right w:val="nil"/>
            </w:tcBorders>
            <w:noWrap/>
            <w:vAlign w:val="bottom"/>
            <w:hideMark/>
          </w:tcPr>
          <w:p w14:paraId="0ADE00A6"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R03BB05</w:t>
            </w:r>
          </w:p>
        </w:tc>
      </w:tr>
      <w:tr w:rsidR="00D250E5" w:rsidRPr="00276290" w14:paraId="74573C04" w14:textId="77777777" w:rsidTr="002D2677">
        <w:trPr>
          <w:trHeight w:val="23"/>
        </w:trPr>
        <w:tc>
          <w:tcPr>
            <w:tcW w:w="3199" w:type="pct"/>
            <w:tcBorders>
              <w:top w:val="nil"/>
              <w:left w:val="nil"/>
              <w:bottom w:val="nil"/>
              <w:right w:val="nil"/>
            </w:tcBorders>
            <w:noWrap/>
          </w:tcPr>
          <w:p w14:paraId="77A3EBD6"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Umeclidinium bromide</w:t>
            </w:r>
          </w:p>
        </w:tc>
        <w:tc>
          <w:tcPr>
            <w:tcW w:w="1801" w:type="pct"/>
            <w:tcBorders>
              <w:top w:val="nil"/>
              <w:left w:val="nil"/>
              <w:bottom w:val="nil"/>
              <w:right w:val="nil"/>
            </w:tcBorders>
            <w:noWrap/>
            <w:vAlign w:val="bottom"/>
          </w:tcPr>
          <w:p w14:paraId="669B7152"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R03BB07</w:t>
            </w:r>
          </w:p>
        </w:tc>
      </w:tr>
      <w:tr w:rsidR="00D250E5" w:rsidRPr="00276290" w14:paraId="4FE7554E" w14:textId="77777777" w:rsidTr="002D2677">
        <w:trPr>
          <w:trHeight w:val="23"/>
        </w:trPr>
        <w:tc>
          <w:tcPr>
            <w:tcW w:w="3199" w:type="pct"/>
            <w:tcBorders>
              <w:top w:val="nil"/>
              <w:left w:val="nil"/>
              <w:bottom w:val="nil"/>
              <w:right w:val="nil"/>
            </w:tcBorders>
            <w:noWrap/>
          </w:tcPr>
          <w:p w14:paraId="51A64E80"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SABA</w:t>
            </w:r>
          </w:p>
        </w:tc>
        <w:tc>
          <w:tcPr>
            <w:tcW w:w="1801" w:type="pct"/>
            <w:tcBorders>
              <w:top w:val="nil"/>
              <w:left w:val="nil"/>
              <w:bottom w:val="nil"/>
              <w:right w:val="nil"/>
            </w:tcBorders>
            <w:noWrap/>
            <w:hideMark/>
          </w:tcPr>
          <w:p w14:paraId="741E77D0" w14:textId="77777777" w:rsidR="00D250E5" w:rsidRPr="00A054F7"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276290" w14:paraId="6D9F321D" w14:textId="77777777" w:rsidTr="002D2677">
        <w:trPr>
          <w:trHeight w:val="23"/>
        </w:trPr>
        <w:tc>
          <w:tcPr>
            <w:tcW w:w="3199" w:type="pct"/>
            <w:tcBorders>
              <w:top w:val="nil"/>
              <w:left w:val="nil"/>
              <w:bottom w:val="nil"/>
              <w:right w:val="nil"/>
            </w:tcBorders>
            <w:noWrap/>
          </w:tcPr>
          <w:p w14:paraId="78C07D28"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Salbutamol sulfate</w:t>
            </w:r>
          </w:p>
        </w:tc>
        <w:tc>
          <w:tcPr>
            <w:tcW w:w="1801" w:type="pct"/>
            <w:tcBorders>
              <w:top w:val="nil"/>
              <w:left w:val="nil"/>
              <w:bottom w:val="nil"/>
              <w:right w:val="nil"/>
            </w:tcBorders>
            <w:noWrap/>
            <w:vAlign w:val="bottom"/>
            <w:hideMark/>
          </w:tcPr>
          <w:p w14:paraId="0B8E4FFC"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R03AC02, R03CC02</w:t>
            </w:r>
          </w:p>
        </w:tc>
      </w:tr>
      <w:tr w:rsidR="00D250E5" w:rsidRPr="00276290" w14:paraId="2247535C" w14:textId="77777777" w:rsidTr="002D2677">
        <w:trPr>
          <w:trHeight w:val="23"/>
        </w:trPr>
        <w:tc>
          <w:tcPr>
            <w:tcW w:w="3199" w:type="pct"/>
            <w:tcBorders>
              <w:top w:val="nil"/>
              <w:left w:val="nil"/>
              <w:bottom w:val="nil"/>
              <w:right w:val="nil"/>
            </w:tcBorders>
            <w:noWrap/>
          </w:tcPr>
          <w:p w14:paraId="0F526BE3"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Terbutaline sulfate</w:t>
            </w:r>
          </w:p>
        </w:tc>
        <w:tc>
          <w:tcPr>
            <w:tcW w:w="1801" w:type="pct"/>
            <w:tcBorders>
              <w:top w:val="nil"/>
              <w:left w:val="nil"/>
              <w:bottom w:val="nil"/>
              <w:right w:val="nil"/>
            </w:tcBorders>
            <w:noWrap/>
            <w:vAlign w:val="bottom"/>
            <w:hideMark/>
          </w:tcPr>
          <w:p w14:paraId="6801A5ED"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 xml:space="preserve">R03CC03 </w:t>
            </w:r>
          </w:p>
        </w:tc>
      </w:tr>
      <w:tr w:rsidR="00D250E5" w:rsidRPr="00276290" w14:paraId="49A3C240" w14:textId="77777777" w:rsidTr="002D2677">
        <w:trPr>
          <w:trHeight w:val="23"/>
        </w:trPr>
        <w:tc>
          <w:tcPr>
            <w:tcW w:w="3199" w:type="pct"/>
            <w:tcBorders>
              <w:top w:val="nil"/>
              <w:left w:val="nil"/>
              <w:bottom w:val="nil"/>
              <w:right w:val="nil"/>
            </w:tcBorders>
            <w:noWrap/>
          </w:tcPr>
          <w:p w14:paraId="2555B73B"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Procaterol hydrochloride</w:t>
            </w:r>
          </w:p>
        </w:tc>
        <w:tc>
          <w:tcPr>
            <w:tcW w:w="1801" w:type="pct"/>
            <w:tcBorders>
              <w:top w:val="nil"/>
              <w:left w:val="nil"/>
              <w:bottom w:val="nil"/>
              <w:right w:val="nil"/>
            </w:tcBorders>
            <w:noWrap/>
            <w:vAlign w:val="bottom"/>
            <w:hideMark/>
          </w:tcPr>
          <w:p w14:paraId="64631EDC"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R03AC16, R03CC08</w:t>
            </w:r>
          </w:p>
        </w:tc>
      </w:tr>
      <w:tr w:rsidR="00D250E5" w:rsidRPr="00276290" w14:paraId="156506CD" w14:textId="77777777" w:rsidTr="002D2677">
        <w:trPr>
          <w:trHeight w:val="23"/>
        </w:trPr>
        <w:tc>
          <w:tcPr>
            <w:tcW w:w="3199" w:type="pct"/>
            <w:tcBorders>
              <w:top w:val="nil"/>
              <w:left w:val="nil"/>
              <w:bottom w:val="nil"/>
              <w:right w:val="nil"/>
            </w:tcBorders>
            <w:noWrap/>
          </w:tcPr>
          <w:p w14:paraId="2A5FF368" w14:textId="77777777" w:rsidR="00D250E5" w:rsidRPr="00A054F7" w:rsidRDefault="00D250E5" w:rsidP="002D2677">
            <w:pPr>
              <w:widowControl/>
              <w:spacing w:before="0" w:beforeAutospacing="0" w:after="0" w:afterAutospacing="0" w:line="276" w:lineRule="auto"/>
              <w:ind w:left="720"/>
              <w:rPr>
                <w:rFonts w:cs="Arial"/>
                <w:sz w:val="18"/>
                <w:szCs w:val="18"/>
              </w:rPr>
            </w:pPr>
            <w:r w:rsidRPr="00A054F7">
              <w:rPr>
                <w:rFonts w:eastAsia="Times New Roman" w:cs="Arial"/>
                <w:sz w:val="18"/>
                <w:szCs w:val="18"/>
              </w:rPr>
              <w:t>Tulobuterol (oral use)</w:t>
            </w:r>
          </w:p>
        </w:tc>
        <w:tc>
          <w:tcPr>
            <w:tcW w:w="1801" w:type="pct"/>
            <w:tcBorders>
              <w:top w:val="nil"/>
              <w:left w:val="nil"/>
              <w:bottom w:val="nil"/>
              <w:right w:val="nil"/>
            </w:tcBorders>
            <w:noWrap/>
            <w:vAlign w:val="bottom"/>
          </w:tcPr>
          <w:p w14:paraId="3E09B4AC" w14:textId="77777777" w:rsidR="00D250E5" w:rsidRPr="00A054F7" w:rsidRDefault="00D250E5" w:rsidP="002D2677">
            <w:pPr>
              <w:widowControl/>
              <w:spacing w:before="0" w:beforeAutospacing="0" w:after="0" w:afterAutospacing="0" w:line="276" w:lineRule="auto"/>
              <w:rPr>
                <w:rFonts w:eastAsia="Yu Gothic" w:cs="Arial"/>
                <w:color w:val="000000"/>
                <w:sz w:val="18"/>
                <w:szCs w:val="18"/>
                <w:lang w:eastAsia="ja-JP"/>
              </w:rPr>
            </w:pPr>
            <w:r w:rsidRPr="00A054F7">
              <w:rPr>
                <w:rFonts w:eastAsia="Times New Roman" w:cs="Arial"/>
                <w:sz w:val="18"/>
                <w:szCs w:val="18"/>
              </w:rPr>
              <w:t>R03CC11</w:t>
            </w:r>
          </w:p>
        </w:tc>
      </w:tr>
      <w:tr w:rsidR="00D250E5" w:rsidRPr="00276290" w14:paraId="0DC67FEA" w14:textId="77777777" w:rsidTr="002D2677">
        <w:trPr>
          <w:trHeight w:val="23"/>
        </w:trPr>
        <w:tc>
          <w:tcPr>
            <w:tcW w:w="3199" w:type="pct"/>
            <w:tcBorders>
              <w:top w:val="nil"/>
              <w:left w:val="nil"/>
              <w:bottom w:val="nil"/>
              <w:right w:val="nil"/>
            </w:tcBorders>
            <w:noWrap/>
          </w:tcPr>
          <w:p w14:paraId="5FC2918E"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LABA</w:t>
            </w:r>
          </w:p>
        </w:tc>
        <w:tc>
          <w:tcPr>
            <w:tcW w:w="1801" w:type="pct"/>
            <w:tcBorders>
              <w:top w:val="nil"/>
              <w:left w:val="nil"/>
              <w:bottom w:val="nil"/>
              <w:right w:val="nil"/>
            </w:tcBorders>
            <w:noWrap/>
            <w:vAlign w:val="bottom"/>
          </w:tcPr>
          <w:p w14:paraId="4656DF6F" w14:textId="77777777" w:rsidR="00D250E5" w:rsidRPr="00A054F7" w:rsidRDefault="00D250E5" w:rsidP="002D2677">
            <w:pPr>
              <w:widowControl/>
              <w:spacing w:before="0" w:beforeAutospacing="0" w:after="0" w:afterAutospacing="0" w:line="276" w:lineRule="auto"/>
              <w:rPr>
                <w:rFonts w:eastAsia="Times New Roman" w:cs="Arial"/>
                <w:sz w:val="18"/>
                <w:szCs w:val="18"/>
              </w:rPr>
            </w:pPr>
          </w:p>
        </w:tc>
      </w:tr>
      <w:tr w:rsidR="00D250E5" w:rsidRPr="00276290" w14:paraId="16FFA973" w14:textId="77777777" w:rsidTr="002D2677">
        <w:trPr>
          <w:trHeight w:val="23"/>
        </w:trPr>
        <w:tc>
          <w:tcPr>
            <w:tcW w:w="3199" w:type="pct"/>
            <w:tcBorders>
              <w:top w:val="nil"/>
              <w:left w:val="nil"/>
              <w:bottom w:val="nil"/>
              <w:right w:val="nil"/>
            </w:tcBorders>
            <w:noWrap/>
          </w:tcPr>
          <w:p w14:paraId="1325FEA4"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Salmeterol xinafoate</w:t>
            </w:r>
          </w:p>
        </w:tc>
        <w:tc>
          <w:tcPr>
            <w:tcW w:w="1801" w:type="pct"/>
            <w:tcBorders>
              <w:top w:val="nil"/>
              <w:left w:val="nil"/>
              <w:bottom w:val="nil"/>
              <w:right w:val="nil"/>
            </w:tcBorders>
            <w:noWrap/>
            <w:vAlign w:val="bottom"/>
          </w:tcPr>
          <w:p w14:paraId="33A689C2"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 xml:space="preserve">R03AC12 </w:t>
            </w:r>
          </w:p>
        </w:tc>
      </w:tr>
      <w:tr w:rsidR="00D250E5" w:rsidRPr="00276290" w14:paraId="232914E5" w14:textId="77777777" w:rsidTr="002D2677">
        <w:trPr>
          <w:trHeight w:val="23"/>
        </w:trPr>
        <w:tc>
          <w:tcPr>
            <w:tcW w:w="3199" w:type="pct"/>
            <w:tcBorders>
              <w:top w:val="nil"/>
              <w:left w:val="nil"/>
              <w:bottom w:val="nil"/>
              <w:right w:val="nil"/>
            </w:tcBorders>
            <w:noWrap/>
          </w:tcPr>
          <w:p w14:paraId="69146FAD"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Formoterol fumarate hydrate</w:t>
            </w:r>
          </w:p>
        </w:tc>
        <w:tc>
          <w:tcPr>
            <w:tcW w:w="1801" w:type="pct"/>
            <w:tcBorders>
              <w:top w:val="nil"/>
              <w:left w:val="nil"/>
              <w:bottom w:val="nil"/>
              <w:right w:val="nil"/>
            </w:tcBorders>
            <w:noWrap/>
            <w:vAlign w:val="bottom"/>
          </w:tcPr>
          <w:p w14:paraId="500D23F4"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 xml:space="preserve">R03AC13 </w:t>
            </w:r>
          </w:p>
        </w:tc>
      </w:tr>
      <w:tr w:rsidR="00D250E5" w:rsidRPr="00276290" w14:paraId="5A6F5903" w14:textId="77777777" w:rsidTr="002D2677">
        <w:trPr>
          <w:trHeight w:val="23"/>
        </w:trPr>
        <w:tc>
          <w:tcPr>
            <w:tcW w:w="3199" w:type="pct"/>
            <w:tcBorders>
              <w:top w:val="nil"/>
              <w:left w:val="nil"/>
              <w:bottom w:val="nil"/>
              <w:right w:val="nil"/>
            </w:tcBorders>
            <w:noWrap/>
          </w:tcPr>
          <w:p w14:paraId="7A135314"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Indacaterol maleate</w:t>
            </w:r>
          </w:p>
        </w:tc>
        <w:tc>
          <w:tcPr>
            <w:tcW w:w="1801" w:type="pct"/>
            <w:tcBorders>
              <w:top w:val="nil"/>
              <w:left w:val="nil"/>
              <w:bottom w:val="nil"/>
              <w:right w:val="nil"/>
            </w:tcBorders>
            <w:noWrap/>
            <w:vAlign w:val="bottom"/>
          </w:tcPr>
          <w:p w14:paraId="526727D1"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 xml:space="preserve">R03AC18 </w:t>
            </w:r>
          </w:p>
        </w:tc>
      </w:tr>
      <w:tr w:rsidR="00D250E5" w:rsidRPr="00276290" w14:paraId="2CA07396" w14:textId="77777777" w:rsidTr="002D2677">
        <w:trPr>
          <w:trHeight w:val="23"/>
        </w:trPr>
        <w:tc>
          <w:tcPr>
            <w:tcW w:w="3199" w:type="pct"/>
            <w:tcBorders>
              <w:top w:val="nil"/>
              <w:left w:val="nil"/>
              <w:bottom w:val="nil"/>
              <w:right w:val="nil"/>
            </w:tcBorders>
            <w:noWrap/>
          </w:tcPr>
          <w:p w14:paraId="7CB6AAFE"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Tulobuterol (external use)</w:t>
            </w:r>
          </w:p>
        </w:tc>
        <w:tc>
          <w:tcPr>
            <w:tcW w:w="1801" w:type="pct"/>
            <w:tcBorders>
              <w:top w:val="nil"/>
              <w:left w:val="nil"/>
              <w:bottom w:val="nil"/>
              <w:right w:val="nil"/>
            </w:tcBorders>
            <w:noWrap/>
            <w:vAlign w:val="bottom"/>
          </w:tcPr>
          <w:p w14:paraId="06CAC97D"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R03CC11</w:t>
            </w:r>
          </w:p>
        </w:tc>
      </w:tr>
      <w:tr w:rsidR="00D250E5" w:rsidRPr="00276290" w14:paraId="2AC09639" w14:textId="77777777" w:rsidTr="002D2677">
        <w:trPr>
          <w:trHeight w:val="23"/>
        </w:trPr>
        <w:tc>
          <w:tcPr>
            <w:tcW w:w="3199" w:type="pct"/>
            <w:tcBorders>
              <w:top w:val="nil"/>
              <w:left w:val="nil"/>
              <w:bottom w:val="nil"/>
              <w:right w:val="nil"/>
            </w:tcBorders>
            <w:noWrap/>
          </w:tcPr>
          <w:p w14:paraId="227F1DA8"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Methylxanthine</w:t>
            </w:r>
          </w:p>
        </w:tc>
        <w:tc>
          <w:tcPr>
            <w:tcW w:w="1801" w:type="pct"/>
            <w:tcBorders>
              <w:top w:val="nil"/>
              <w:left w:val="nil"/>
              <w:bottom w:val="nil"/>
              <w:right w:val="nil"/>
            </w:tcBorders>
            <w:noWrap/>
            <w:vAlign w:val="bottom"/>
          </w:tcPr>
          <w:p w14:paraId="01A1798C" w14:textId="77777777" w:rsidR="00D250E5" w:rsidRPr="00A054F7" w:rsidRDefault="00D250E5" w:rsidP="002D2677">
            <w:pPr>
              <w:widowControl/>
              <w:spacing w:before="0" w:beforeAutospacing="0" w:after="0" w:afterAutospacing="0" w:line="276" w:lineRule="auto"/>
              <w:rPr>
                <w:rFonts w:eastAsia="Times New Roman" w:cs="Arial"/>
                <w:sz w:val="18"/>
                <w:szCs w:val="18"/>
              </w:rPr>
            </w:pPr>
          </w:p>
        </w:tc>
      </w:tr>
      <w:tr w:rsidR="00D250E5" w:rsidRPr="00276290" w14:paraId="13FC04E9" w14:textId="77777777" w:rsidTr="002D2677">
        <w:trPr>
          <w:trHeight w:val="23"/>
        </w:trPr>
        <w:tc>
          <w:tcPr>
            <w:tcW w:w="3199" w:type="pct"/>
            <w:tcBorders>
              <w:top w:val="nil"/>
              <w:left w:val="nil"/>
              <w:bottom w:val="nil"/>
              <w:right w:val="nil"/>
            </w:tcBorders>
            <w:noWrap/>
          </w:tcPr>
          <w:p w14:paraId="394FE28C"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Aminophylline</w:t>
            </w:r>
          </w:p>
        </w:tc>
        <w:tc>
          <w:tcPr>
            <w:tcW w:w="1801" w:type="pct"/>
            <w:tcBorders>
              <w:top w:val="nil"/>
              <w:left w:val="nil"/>
              <w:bottom w:val="nil"/>
              <w:right w:val="nil"/>
            </w:tcBorders>
            <w:noWrap/>
            <w:vAlign w:val="bottom"/>
          </w:tcPr>
          <w:p w14:paraId="48B2F208"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R03DA05</w:t>
            </w:r>
          </w:p>
        </w:tc>
      </w:tr>
      <w:tr w:rsidR="00D250E5" w:rsidRPr="00276290" w14:paraId="55A27BA7" w14:textId="77777777" w:rsidTr="002D2677">
        <w:trPr>
          <w:trHeight w:val="23"/>
        </w:trPr>
        <w:tc>
          <w:tcPr>
            <w:tcW w:w="3199" w:type="pct"/>
            <w:tcBorders>
              <w:top w:val="nil"/>
              <w:left w:val="nil"/>
              <w:bottom w:val="nil"/>
              <w:right w:val="nil"/>
            </w:tcBorders>
            <w:noWrap/>
          </w:tcPr>
          <w:p w14:paraId="4655169E"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Theophylline</w:t>
            </w:r>
          </w:p>
        </w:tc>
        <w:tc>
          <w:tcPr>
            <w:tcW w:w="1801" w:type="pct"/>
            <w:tcBorders>
              <w:top w:val="nil"/>
              <w:left w:val="nil"/>
              <w:bottom w:val="nil"/>
              <w:right w:val="nil"/>
            </w:tcBorders>
            <w:noWrap/>
            <w:vAlign w:val="bottom"/>
          </w:tcPr>
          <w:p w14:paraId="4951792C"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R03DA04</w:t>
            </w:r>
          </w:p>
        </w:tc>
      </w:tr>
      <w:tr w:rsidR="00D250E5" w:rsidRPr="00276290" w14:paraId="1B762E18" w14:textId="77777777" w:rsidTr="002D2677">
        <w:trPr>
          <w:trHeight w:val="23"/>
        </w:trPr>
        <w:tc>
          <w:tcPr>
            <w:tcW w:w="3199" w:type="pct"/>
            <w:tcBorders>
              <w:top w:val="nil"/>
              <w:left w:val="nil"/>
              <w:bottom w:val="nil"/>
              <w:right w:val="nil"/>
            </w:tcBorders>
            <w:noWrap/>
          </w:tcPr>
          <w:p w14:paraId="556E9A5F"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ICS</w:t>
            </w:r>
          </w:p>
        </w:tc>
        <w:tc>
          <w:tcPr>
            <w:tcW w:w="1801" w:type="pct"/>
            <w:tcBorders>
              <w:top w:val="nil"/>
              <w:left w:val="nil"/>
              <w:bottom w:val="nil"/>
              <w:right w:val="nil"/>
            </w:tcBorders>
            <w:noWrap/>
            <w:vAlign w:val="bottom"/>
          </w:tcPr>
          <w:p w14:paraId="0F250D26" w14:textId="77777777" w:rsidR="00D250E5" w:rsidRPr="00A054F7" w:rsidRDefault="00D250E5" w:rsidP="002D2677">
            <w:pPr>
              <w:widowControl/>
              <w:spacing w:before="0" w:beforeAutospacing="0" w:after="0" w:afterAutospacing="0" w:line="276" w:lineRule="auto"/>
              <w:rPr>
                <w:rFonts w:eastAsia="Times New Roman" w:cs="Arial"/>
                <w:sz w:val="18"/>
                <w:szCs w:val="18"/>
              </w:rPr>
            </w:pPr>
          </w:p>
        </w:tc>
      </w:tr>
      <w:tr w:rsidR="00D250E5" w:rsidRPr="00276290" w14:paraId="34622DCB" w14:textId="77777777" w:rsidTr="002D2677">
        <w:trPr>
          <w:trHeight w:val="23"/>
        </w:trPr>
        <w:tc>
          <w:tcPr>
            <w:tcW w:w="3199" w:type="pct"/>
            <w:tcBorders>
              <w:top w:val="nil"/>
              <w:left w:val="nil"/>
              <w:bottom w:val="nil"/>
              <w:right w:val="nil"/>
            </w:tcBorders>
            <w:noWrap/>
          </w:tcPr>
          <w:p w14:paraId="1FD3068B"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proofErr w:type="spellStart"/>
            <w:r w:rsidRPr="00A054F7">
              <w:rPr>
                <w:rFonts w:eastAsia="Times New Roman" w:cs="Arial"/>
                <w:sz w:val="18"/>
                <w:szCs w:val="18"/>
              </w:rPr>
              <w:t>Beclometasone</w:t>
            </w:r>
            <w:proofErr w:type="spellEnd"/>
            <w:r w:rsidRPr="00A054F7">
              <w:rPr>
                <w:rFonts w:eastAsia="Times New Roman" w:cs="Arial"/>
                <w:sz w:val="18"/>
                <w:szCs w:val="18"/>
              </w:rPr>
              <w:t xml:space="preserve"> dipropionate</w:t>
            </w:r>
          </w:p>
        </w:tc>
        <w:tc>
          <w:tcPr>
            <w:tcW w:w="1801" w:type="pct"/>
            <w:tcBorders>
              <w:top w:val="nil"/>
              <w:left w:val="nil"/>
              <w:bottom w:val="nil"/>
              <w:right w:val="nil"/>
            </w:tcBorders>
            <w:noWrap/>
            <w:vAlign w:val="bottom"/>
          </w:tcPr>
          <w:p w14:paraId="7DAEC255"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R03BA01</w:t>
            </w:r>
          </w:p>
        </w:tc>
      </w:tr>
      <w:tr w:rsidR="00D250E5" w:rsidRPr="00276290" w14:paraId="4EBF47C2" w14:textId="77777777" w:rsidTr="002D2677">
        <w:trPr>
          <w:trHeight w:val="23"/>
        </w:trPr>
        <w:tc>
          <w:tcPr>
            <w:tcW w:w="3199" w:type="pct"/>
            <w:tcBorders>
              <w:top w:val="nil"/>
              <w:left w:val="nil"/>
              <w:bottom w:val="nil"/>
              <w:right w:val="nil"/>
            </w:tcBorders>
            <w:noWrap/>
          </w:tcPr>
          <w:p w14:paraId="3583826A"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Fluticasone propionate</w:t>
            </w:r>
          </w:p>
        </w:tc>
        <w:tc>
          <w:tcPr>
            <w:tcW w:w="1801" w:type="pct"/>
            <w:tcBorders>
              <w:top w:val="nil"/>
              <w:left w:val="nil"/>
              <w:bottom w:val="nil"/>
              <w:right w:val="nil"/>
            </w:tcBorders>
            <w:noWrap/>
            <w:vAlign w:val="bottom"/>
          </w:tcPr>
          <w:p w14:paraId="112EE2CB"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R03BA05</w:t>
            </w:r>
          </w:p>
        </w:tc>
      </w:tr>
      <w:tr w:rsidR="00D250E5" w:rsidRPr="00276290" w14:paraId="1A6DA90D" w14:textId="77777777" w:rsidTr="002D2677">
        <w:trPr>
          <w:trHeight w:val="23"/>
        </w:trPr>
        <w:tc>
          <w:tcPr>
            <w:tcW w:w="3199" w:type="pct"/>
            <w:tcBorders>
              <w:top w:val="nil"/>
              <w:left w:val="nil"/>
              <w:bottom w:val="nil"/>
              <w:right w:val="nil"/>
            </w:tcBorders>
            <w:noWrap/>
          </w:tcPr>
          <w:p w14:paraId="1B30B84B"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Fluticasone furoate</w:t>
            </w:r>
          </w:p>
        </w:tc>
        <w:tc>
          <w:tcPr>
            <w:tcW w:w="1801" w:type="pct"/>
            <w:tcBorders>
              <w:top w:val="nil"/>
              <w:left w:val="nil"/>
              <w:bottom w:val="nil"/>
              <w:right w:val="nil"/>
            </w:tcBorders>
            <w:noWrap/>
            <w:vAlign w:val="bottom"/>
          </w:tcPr>
          <w:p w14:paraId="371ACE6B"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R03BA09</w:t>
            </w:r>
          </w:p>
        </w:tc>
      </w:tr>
      <w:tr w:rsidR="00D250E5" w:rsidRPr="00276290" w14:paraId="27548CC7" w14:textId="77777777" w:rsidTr="002D2677">
        <w:trPr>
          <w:trHeight w:val="23"/>
        </w:trPr>
        <w:tc>
          <w:tcPr>
            <w:tcW w:w="3199" w:type="pct"/>
            <w:tcBorders>
              <w:top w:val="nil"/>
              <w:left w:val="nil"/>
              <w:bottom w:val="nil"/>
              <w:right w:val="nil"/>
            </w:tcBorders>
            <w:noWrap/>
          </w:tcPr>
          <w:p w14:paraId="7BFB2AD1"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Budesonide</w:t>
            </w:r>
          </w:p>
        </w:tc>
        <w:tc>
          <w:tcPr>
            <w:tcW w:w="1801" w:type="pct"/>
            <w:tcBorders>
              <w:top w:val="nil"/>
              <w:left w:val="nil"/>
              <w:bottom w:val="nil"/>
              <w:right w:val="nil"/>
            </w:tcBorders>
            <w:noWrap/>
            <w:vAlign w:val="bottom"/>
          </w:tcPr>
          <w:p w14:paraId="6DA67E9F"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R03BA02</w:t>
            </w:r>
          </w:p>
        </w:tc>
      </w:tr>
      <w:tr w:rsidR="00D250E5" w:rsidRPr="00276290" w14:paraId="57817BC7" w14:textId="77777777" w:rsidTr="002D2677">
        <w:trPr>
          <w:trHeight w:val="23"/>
        </w:trPr>
        <w:tc>
          <w:tcPr>
            <w:tcW w:w="3199" w:type="pct"/>
            <w:tcBorders>
              <w:top w:val="nil"/>
              <w:left w:val="nil"/>
              <w:bottom w:val="nil"/>
              <w:right w:val="nil"/>
            </w:tcBorders>
            <w:noWrap/>
          </w:tcPr>
          <w:p w14:paraId="71A9813C"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proofErr w:type="spellStart"/>
            <w:r w:rsidRPr="00A054F7">
              <w:rPr>
                <w:rFonts w:eastAsia="Times New Roman" w:cs="Arial"/>
                <w:sz w:val="18"/>
                <w:szCs w:val="18"/>
              </w:rPr>
              <w:t>Ciclesonide</w:t>
            </w:r>
            <w:proofErr w:type="spellEnd"/>
          </w:p>
        </w:tc>
        <w:tc>
          <w:tcPr>
            <w:tcW w:w="1801" w:type="pct"/>
            <w:tcBorders>
              <w:top w:val="nil"/>
              <w:left w:val="nil"/>
              <w:bottom w:val="nil"/>
              <w:right w:val="nil"/>
            </w:tcBorders>
            <w:noWrap/>
            <w:vAlign w:val="bottom"/>
          </w:tcPr>
          <w:p w14:paraId="0ECFDDED"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R03BA08</w:t>
            </w:r>
          </w:p>
        </w:tc>
      </w:tr>
      <w:tr w:rsidR="00D250E5" w:rsidRPr="00276290" w14:paraId="423C897F" w14:textId="77777777" w:rsidTr="002D2677">
        <w:trPr>
          <w:trHeight w:val="23"/>
        </w:trPr>
        <w:tc>
          <w:tcPr>
            <w:tcW w:w="3199" w:type="pct"/>
            <w:tcBorders>
              <w:top w:val="nil"/>
              <w:left w:val="nil"/>
              <w:bottom w:val="nil"/>
              <w:right w:val="nil"/>
            </w:tcBorders>
            <w:noWrap/>
          </w:tcPr>
          <w:p w14:paraId="1D76615A"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Mometasone furoate</w:t>
            </w:r>
          </w:p>
        </w:tc>
        <w:tc>
          <w:tcPr>
            <w:tcW w:w="1801" w:type="pct"/>
            <w:tcBorders>
              <w:top w:val="nil"/>
              <w:left w:val="nil"/>
              <w:bottom w:val="nil"/>
              <w:right w:val="nil"/>
            </w:tcBorders>
            <w:noWrap/>
            <w:vAlign w:val="bottom"/>
          </w:tcPr>
          <w:p w14:paraId="61818E4A"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R03BA07</w:t>
            </w:r>
          </w:p>
        </w:tc>
      </w:tr>
      <w:tr w:rsidR="00D250E5" w:rsidRPr="00276290" w14:paraId="1B1EFCB8" w14:textId="77777777" w:rsidTr="002D2677">
        <w:trPr>
          <w:trHeight w:val="23"/>
        </w:trPr>
        <w:tc>
          <w:tcPr>
            <w:tcW w:w="3199" w:type="pct"/>
            <w:tcBorders>
              <w:top w:val="nil"/>
              <w:left w:val="nil"/>
              <w:bottom w:val="nil"/>
              <w:right w:val="nil"/>
            </w:tcBorders>
            <w:noWrap/>
          </w:tcPr>
          <w:p w14:paraId="27739418"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LABA + ICS</w:t>
            </w:r>
          </w:p>
        </w:tc>
        <w:tc>
          <w:tcPr>
            <w:tcW w:w="1801" w:type="pct"/>
            <w:tcBorders>
              <w:top w:val="nil"/>
              <w:left w:val="nil"/>
              <w:bottom w:val="nil"/>
              <w:right w:val="nil"/>
            </w:tcBorders>
            <w:noWrap/>
            <w:vAlign w:val="bottom"/>
          </w:tcPr>
          <w:p w14:paraId="18053716" w14:textId="77777777" w:rsidR="00D250E5" w:rsidRPr="00A054F7" w:rsidRDefault="00D250E5" w:rsidP="002D2677">
            <w:pPr>
              <w:widowControl/>
              <w:spacing w:before="0" w:beforeAutospacing="0" w:after="0" w:afterAutospacing="0" w:line="276" w:lineRule="auto"/>
              <w:rPr>
                <w:rFonts w:eastAsia="Times New Roman" w:cs="Arial"/>
                <w:sz w:val="18"/>
                <w:szCs w:val="18"/>
              </w:rPr>
            </w:pPr>
          </w:p>
        </w:tc>
      </w:tr>
      <w:tr w:rsidR="00D250E5" w:rsidRPr="00276290" w14:paraId="054F4608" w14:textId="77777777" w:rsidTr="002D2677">
        <w:trPr>
          <w:trHeight w:val="23"/>
        </w:trPr>
        <w:tc>
          <w:tcPr>
            <w:tcW w:w="3199" w:type="pct"/>
            <w:tcBorders>
              <w:top w:val="nil"/>
              <w:left w:val="nil"/>
              <w:bottom w:val="nil"/>
              <w:right w:val="nil"/>
            </w:tcBorders>
            <w:noWrap/>
          </w:tcPr>
          <w:p w14:paraId="0ED1DB64"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Salmeterol xinafoate + fluticasone propionate</w:t>
            </w:r>
          </w:p>
        </w:tc>
        <w:tc>
          <w:tcPr>
            <w:tcW w:w="1801" w:type="pct"/>
            <w:tcBorders>
              <w:top w:val="nil"/>
              <w:left w:val="nil"/>
              <w:bottom w:val="nil"/>
              <w:right w:val="nil"/>
            </w:tcBorders>
            <w:noWrap/>
            <w:vAlign w:val="bottom"/>
          </w:tcPr>
          <w:p w14:paraId="23DA35D1"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R03AK06</w:t>
            </w:r>
          </w:p>
        </w:tc>
      </w:tr>
      <w:tr w:rsidR="00D250E5" w:rsidRPr="00276290" w14:paraId="2A21829A" w14:textId="77777777" w:rsidTr="002D2677">
        <w:trPr>
          <w:trHeight w:val="23"/>
        </w:trPr>
        <w:tc>
          <w:tcPr>
            <w:tcW w:w="3199" w:type="pct"/>
            <w:tcBorders>
              <w:top w:val="nil"/>
              <w:left w:val="nil"/>
              <w:bottom w:val="nil"/>
              <w:right w:val="nil"/>
            </w:tcBorders>
            <w:noWrap/>
          </w:tcPr>
          <w:p w14:paraId="4D3E4FBC"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Budesonide + formoterol fumarate hydrate</w:t>
            </w:r>
          </w:p>
        </w:tc>
        <w:tc>
          <w:tcPr>
            <w:tcW w:w="1801" w:type="pct"/>
            <w:tcBorders>
              <w:top w:val="nil"/>
              <w:left w:val="nil"/>
              <w:bottom w:val="nil"/>
              <w:right w:val="nil"/>
            </w:tcBorders>
            <w:noWrap/>
            <w:vAlign w:val="bottom"/>
          </w:tcPr>
          <w:p w14:paraId="6A85CD4A"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R03AK07</w:t>
            </w:r>
          </w:p>
        </w:tc>
      </w:tr>
      <w:tr w:rsidR="00D250E5" w:rsidRPr="00276290" w14:paraId="59DFD788" w14:textId="77777777" w:rsidTr="002D2677">
        <w:trPr>
          <w:trHeight w:val="23"/>
        </w:trPr>
        <w:tc>
          <w:tcPr>
            <w:tcW w:w="3199" w:type="pct"/>
            <w:tcBorders>
              <w:top w:val="nil"/>
              <w:left w:val="nil"/>
              <w:bottom w:val="nil"/>
              <w:right w:val="nil"/>
            </w:tcBorders>
            <w:noWrap/>
          </w:tcPr>
          <w:p w14:paraId="629C04F1"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lastRenderedPageBreak/>
              <w:t xml:space="preserve">Vilanterol </w:t>
            </w:r>
            <w:proofErr w:type="spellStart"/>
            <w:r w:rsidRPr="00A054F7">
              <w:rPr>
                <w:rFonts w:eastAsia="Times New Roman" w:cs="Arial"/>
                <w:sz w:val="18"/>
                <w:szCs w:val="18"/>
              </w:rPr>
              <w:t>trifenatate</w:t>
            </w:r>
            <w:proofErr w:type="spellEnd"/>
            <w:r w:rsidRPr="00A054F7">
              <w:rPr>
                <w:rFonts w:eastAsia="Times New Roman" w:cs="Arial"/>
                <w:sz w:val="18"/>
                <w:szCs w:val="18"/>
              </w:rPr>
              <w:t xml:space="preserve"> + fluticasone furoate</w:t>
            </w:r>
          </w:p>
        </w:tc>
        <w:tc>
          <w:tcPr>
            <w:tcW w:w="1801" w:type="pct"/>
            <w:tcBorders>
              <w:top w:val="nil"/>
              <w:left w:val="nil"/>
              <w:bottom w:val="nil"/>
              <w:right w:val="nil"/>
            </w:tcBorders>
            <w:noWrap/>
            <w:vAlign w:val="bottom"/>
          </w:tcPr>
          <w:p w14:paraId="167677D5"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R03AK10</w:t>
            </w:r>
          </w:p>
        </w:tc>
      </w:tr>
      <w:tr w:rsidR="00D250E5" w:rsidRPr="00276290" w14:paraId="6702DEBD" w14:textId="77777777" w:rsidTr="002D2677">
        <w:trPr>
          <w:trHeight w:val="23"/>
        </w:trPr>
        <w:tc>
          <w:tcPr>
            <w:tcW w:w="3199" w:type="pct"/>
            <w:tcBorders>
              <w:top w:val="nil"/>
              <w:left w:val="nil"/>
              <w:bottom w:val="nil"/>
              <w:right w:val="nil"/>
            </w:tcBorders>
            <w:noWrap/>
          </w:tcPr>
          <w:p w14:paraId="7B5C5C3C"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LAMA + LABA</w:t>
            </w:r>
          </w:p>
        </w:tc>
        <w:tc>
          <w:tcPr>
            <w:tcW w:w="1801" w:type="pct"/>
            <w:tcBorders>
              <w:top w:val="nil"/>
              <w:left w:val="nil"/>
              <w:bottom w:val="nil"/>
              <w:right w:val="nil"/>
            </w:tcBorders>
            <w:noWrap/>
            <w:vAlign w:val="bottom"/>
          </w:tcPr>
          <w:p w14:paraId="214B7637" w14:textId="77777777" w:rsidR="00D250E5" w:rsidRPr="00A054F7" w:rsidRDefault="00D250E5" w:rsidP="002D2677">
            <w:pPr>
              <w:widowControl/>
              <w:spacing w:before="0" w:beforeAutospacing="0" w:after="0" w:afterAutospacing="0" w:line="276" w:lineRule="auto"/>
              <w:rPr>
                <w:rFonts w:eastAsia="Times New Roman" w:cs="Arial"/>
                <w:sz w:val="18"/>
                <w:szCs w:val="18"/>
              </w:rPr>
            </w:pPr>
          </w:p>
        </w:tc>
      </w:tr>
      <w:tr w:rsidR="00D250E5" w:rsidRPr="00276290" w14:paraId="258D9A54" w14:textId="77777777" w:rsidTr="002D2677">
        <w:trPr>
          <w:trHeight w:val="23"/>
        </w:trPr>
        <w:tc>
          <w:tcPr>
            <w:tcW w:w="3199" w:type="pct"/>
            <w:tcBorders>
              <w:top w:val="nil"/>
              <w:left w:val="nil"/>
              <w:bottom w:val="nil"/>
              <w:right w:val="nil"/>
            </w:tcBorders>
            <w:noWrap/>
          </w:tcPr>
          <w:p w14:paraId="7427F2CA"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 xml:space="preserve">Indacaterol maleate + </w:t>
            </w:r>
            <w:proofErr w:type="spellStart"/>
            <w:r w:rsidRPr="00A054F7">
              <w:rPr>
                <w:rFonts w:eastAsia="Times New Roman" w:cs="Arial"/>
                <w:sz w:val="18"/>
                <w:szCs w:val="18"/>
              </w:rPr>
              <w:t>glycopyrronium</w:t>
            </w:r>
            <w:proofErr w:type="spellEnd"/>
            <w:r w:rsidRPr="00A054F7">
              <w:rPr>
                <w:rFonts w:eastAsia="Times New Roman" w:cs="Arial"/>
                <w:sz w:val="18"/>
                <w:szCs w:val="18"/>
              </w:rPr>
              <w:t xml:space="preserve"> bromide</w:t>
            </w:r>
          </w:p>
        </w:tc>
        <w:tc>
          <w:tcPr>
            <w:tcW w:w="1801" w:type="pct"/>
            <w:tcBorders>
              <w:top w:val="nil"/>
              <w:left w:val="nil"/>
              <w:bottom w:val="nil"/>
              <w:right w:val="nil"/>
            </w:tcBorders>
            <w:noWrap/>
            <w:vAlign w:val="bottom"/>
          </w:tcPr>
          <w:p w14:paraId="3B9A326F"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R03AL04</w:t>
            </w:r>
          </w:p>
        </w:tc>
      </w:tr>
      <w:tr w:rsidR="00D250E5" w:rsidRPr="00276290" w14:paraId="1F46CA63" w14:textId="77777777" w:rsidTr="002D2677">
        <w:trPr>
          <w:trHeight w:val="23"/>
        </w:trPr>
        <w:tc>
          <w:tcPr>
            <w:tcW w:w="3199" w:type="pct"/>
            <w:tcBorders>
              <w:top w:val="nil"/>
              <w:left w:val="nil"/>
              <w:bottom w:val="nil"/>
              <w:right w:val="nil"/>
            </w:tcBorders>
            <w:noWrap/>
          </w:tcPr>
          <w:p w14:paraId="44663F5D"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 xml:space="preserve">Umeclidinium bromide + vilanterol </w:t>
            </w:r>
            <w:proofErr w:type="spellStart"/>
            <w:r w:rsidRPr="00A054F7">
              <w:rPr>
                <w:rFonts w:eastAsia="Times New Roman" w:cs="Arial"/>
                <w:sz w:val="18"/>
                <w:szCs w:val="18"/>
              </w:rPr>
              <w:t>trifenatate</w:t>
            </w:r>
            <w:proofErr w:type="spellEnd"/>
          </w:p>
        </w:tc>
        <w:tc>
          <w:tcPr>
            <w:tcW w:w="1801" w:type="pct"/>
            <w:tcBorders>
              <w:top w:val="nil"/>
              <w:left w:val="nil"/>
              <w:bottom w:val="nil"/>
              <w:right w:val="nil"/>
            </w:tcBorders>
            <w:noWrap/>
            <w:vAlign w:val="bottom"/>
          </w:tcPr>
          <w:p w14:paraId="2199AB21"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R03AL03</w:t>
            </w:r>
          </w:p>
        </w:tc>
      </w:tr>
      <w:tr w:rsidR="00D250E5" w:rsidRPr="00276290" w14:paraId="42ADC9F1" w14:textId="77777777" w:rsidTr="002D2677">
        <w:trPr>
          <w:trHeight w:val="23"/>
        </w:trPr>
        <w:tc>
          <w:tcPr>
            <w:tcW w:w="3199" w:type="pct"/>
            <w:tcBorders>
              <w:top w:val="nil"/>
              <w:left w:val="nil"/>
              <w:bottom w:val="nil"/>
              <w:right w:val="nil"/>
            </w:tcBorders>
            <w:noWrap/>
          </w:tcPr>
          <w:p w14:paraId="79CEF0AF"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 xml:space="preserve">Tiotropium bromide hydrate + </w:t>
            </w:r>
            <w:proofErr w:type="spellStart"/>
            <w:r w:rsidRPr="00A054F7">
              <w:rPr>
                <w:rFonts w:eastAsia="Times New Roman" w:cs="Arial"/>
                <w:sz w:val="18"/>
                <w:szCs w:val="18"/>
              </w:rPr>
              <w:t>olodaterol</w:t>
            </w:r>
            <w:proofErr w:type="spellEnd"/>
            <w:r w:rsidRPr="00A054F7">
              <w:rPr>
                <w:rFonts w:eastAsia="Times New Roman" w:cs="Arial"/>
                <w:sz w:val="18"/>
                <w:szCs w:val="18"/>
              </w:rPr>
              <w:t xml:space="preserve"> hydrochloride</w:t>
            </w:r>
          </w:p>
        </w:tc>
        <w:tc>
          <w:tcPr>
            <w:tcW w:w="1801" w:type="pct"/>
            <w:tcBorders>
              <w:top w:val="nil"/>
              <w:left w:val="nil"/>
              <w:bottom w:val="nil"/>
              <w:right w:val="nil"/>
            </w:tcBorders>
            <w:noWrap/>
            <w:vAlign w:val="bottom"/>
          </w:tcPr>
          <w:p w14:paraId="12F456AC"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R03AL06</w:t>
            </w:r>
          </w:p>
        </w:tc>
      </w:tr>
      <w:tr w:rsidR="00D250E5" w:rsidRPr="00276290" w14:paraId="1A973412" w14:textId="77777777" w:rsidTr="002D2677">
        <w:trPr>
          <w:trHeight w:val="23"/>
        </w:trPr>
        <w:tc>
          <w:tcPr>
            <w:tcW w:w="3199" w:type="pct"/>
            <w:tcBorders>
              <w:top w:val="nil"/>
              <w:left w:val="nil"/>
              <w:bottom w:val="nil"/>
              <w:right w:val="nil"/>
            </w:tcBorders>
            <w:noWrap/>
          </w:tcPr>
          <w:p w14:paraId="20290B01"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proofErr w:type="spellStart"/>
            <w:r w:rsidRPr="00A054F7">
              <w:rPr>
                <w:rFonts w:eastAsia="Times New Roman" w:cs="Arial"/>
                <w:sz w:val="18"/>
                <w:szCs w:val="18"/>
              </w:rPr>
              <w:t>Glycopyrronium</w:t>
            </w:r>
            <w:proofErr w:type="spellEnd"/>
            <w:r w:rsidRPr="00A054F7">
              <w:rPr>
                <w:rFonts w:eastAsia="Times New Roman" w:cs="Arial"/>
                <w:sz w:val="18"/>
                <w:szCs w:val="18"/>
              </w:rPr>
              <w:t xml:space="preserve"> bromide + formoterol fumarate hydrate</w:t>
            </w:r>
          </w:p>
        </w:tc>
        <w:tc>
          <w:tcPr>
            <w:tcW w:w="1801" w:type="pct"/>
            <w:tcBorders>
              <w:top w:val="nil"/>
              <w:left w:val="nil"/>
              <w:bottom w:val="nil"/>
              <w:right w:val="nil"/>
            </w:tcBorders>
            <w:noWrap/>
            <w:vAlign w:val="bottom"/>
          </w:tcPr>
          <w:p w14:paraId="6197E0C8"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R03AL07</w:t>
            </w:r>
          </w:p>
        </w:tc>
      </w:tr>
      <w:tr w:rsidR="00D250E5" w:rsidRPr="00276290" w14:paraId="52840457" w14:textId="77777777" w:rsidTr="002D2677">
        <w:trPr>
          <w:trHeight w:val="23"/>
        </w:trPr>
        <w:tc>
          <w:tcPr>
            <w:tcW w:w="3199" w:type="pct"/>
            <w:tcBorders>
              <w:top w:val="nil"/>
              <w:left w:val="nil"/>
              <w:bottom w:val="nil"/>
              <w:right w:val="nil"/>
            </w:tcBorders>
            <w:noWrap/>
          </w:tcPr>
          <w:p w14:paraId="35B56118"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LAMA + LABA + ICS</w:t>
            </w:r>
          </w:p>
        </w:tc>
        <w:tc>
          <w:tcPr>
            <w:tcW w:w="1801" w:type="pct"/>
            <w:tcBorders>
              <w:top w:val="nil"/>
              <w:left w:val="nil"/>
              <w:bottom w:val="nil"/>
              <w:right w:val="nil"/>
            </w:tcBorders>
            <w:noWrap/>
            <w:vAlign w:val="bottom"/>
          </w:tcPr>
          <w:p w14:paraId="0A5AA54C" w14:textId="77777777" w:rsidR="00D250E5" w:rsidRPr="00A054F7" w:rsidRDefault="00D250E5" w:rsidP="002D2677">
            <w:pPr>
              <w:widowControl/>
              <w:spacing w:before="0" w:beforeAutospacing="0" w:after="0" w:afterAutospacing="0" w:line="276" w:lineRule="auto"/>
              <w:rPr>
                <w:rFonts w:eastAsia="Times New Roman" w:cs="Arial"/>
                <w:sz w:val="18"/>
                <w:szCs w:val="18"/>
              </w:rPr>
            </w:pPr>
          </w:p>
        </w:tc>
      </w:tr>
      <w:tr w:rsidR="00D250E5" w:rsidRPr="00276290" w14:paraId="264CE9E5" w14:textId="77777777" w:rsidTr="002D2677">
        <w:trPr>
          <w:trHeight w:val="23"/>
        </w:trPr>
        <w:tc>
          <w:tcPr>
            <w:tcW w:w="3199" w:type="pct"/>
            <w:tcBorders>
              <w:top w:val="nil"/>
              <w:left w:val="nil"/>
              <w:bottom w:val="nil"/>
              <w:right w:val="nil"/>
            </w:tcBorders>
            <w:noWrap/>
          </w:tcPr>
          <w:p w14:paraId="2DA74C22"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 xml:space="preserve">Fluticasone furoate + umeclidinium bromide + vilanterol </w:t>
            </w:r>
            <w:proofErr w:type="spellStart"/>
            <w:r w:rsidRPr="00A054F7">
              <w:rPr>
                <w:rFonts w:eastAsia="Times New Roman" w:cs="Arial"/>
                <w:sz w:val="18"/>
                <w:szCs w:val="18"/>
              </w:rPr>
              <w:t>trifenatate</w:t>
            </w:r>
            <w:proofErr w:type="spellEnd"/>
          </w:p>
        </w:tc>
        <w:tc>
          <w:tcPr>
            <w:tcW w:w="1801" w:type="pct"/>
            <w:tcBorders>
              <w:top w:val="nil"/>
              <w:left w:val="nil"/>
              <w:bottom w:val="nil"/>
              <w:right w:val="nil"/>
            </w:tcBorders>
            <w:noWrap/>
            <w:vAlign w:val="bottom"/>
          </w:tcPr>
          <w:p w14:paraId="0620759E"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R03AL08</w:t>
            </w:r>
          </w:p>
        </w:tc>
      </w:tr>
      <w:tr w:rsidR="00D250E5" w:rsidRPr="00276290" w14:paraId="32AA2AAC" w14:textId="77777777" w:rsidTr="002D2677">
        <w:trPr>
          <w:trHeight w:val="23"/>
        </w:trPr>
        <w:tc>
          <w:tcPr>
            <w:tcW w:w="3199" w:type="pct"/>
            <w:tcBorders>
              <w:top w:val="nil"/>
              <w:left w:val="nil"/>
              <w:bottom w:val="nil"/>
              <w:right w:val="nil"/>
            </w:tcBorders>
            <w:noWrap/>
          </w:tcPr>
          <w:p w14:paraId="6FB5B235"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 xml:space="preserve">Budesonide + </w:t>
            </w:r>
            <w:proofErr w:type="spellStart"/>
            <w:r w:rsidRPr="00A054F7">
              <w:rPr>
                <w:rFonts w:eastAsia="Times New Roman" w:cs="Arial"/>
                <w:sz w:val="18"/>
                <w:szCs w:val="18"/>
              </w:rPr>
              <w:t>glycopyrronium</w:t>
            </w:r>
            <w:proofErr w:type="spellEnd"/>
            <w:r w:rsidRPr="00A054F7">
              <w:rPr>
                <w:rFonts w:eastAsia="Times New Roman" w:cs="Arial"/>
                <w:sz w:val="18"/>
                <w:szCs w:val="18"/>
              </w:rPr>
              <w:t xml:space="preserve"> bromide + formoterol fumarate hydrate</w:t>
            </w:r>
          </w:p>
        </w:tc>
        <w:tc>
          <w:tcPr>
            <w:tcW w:w="1801" w:type="pct"/>
            <w:tcBorders>
              <w:top w:val="nil"/>
              <w:left w:val="nil"/>
              <w:bottom w:val="nil"/>
              <w:right w:val="nil"/>
            </w:tcBorders>
            <w:noWrap/>
            <w:vAlign w:val="bottom"/>
          </w:tcPr>
          <w:p w14:paraId="2882880D"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R03AL11</w:t>
            </w:r>
          </w:p>
        </w:tc>
      </w:tr>
      <w:tr w:rsidR="00D250E5" w:rsidRPr="00276290" w14:paraId="2BE767A6" w14:textId="77777777" w:rsidTr="002D2677">
        <w:trPr>
          <w:trHeight w:val="23"/>
        </w:trPr>
        <w:tc>
          <w:tcPr>
            <w:tcW w:w="3199" w:type="pct"/>
            <w:tcBorders>
              <w:top w:val="nil"/>
              <w:left w:val="nil"/>
              <w:bottom w:val="nil"/>
              <w:right w:val="nil"/>
            </w:tcBorders>
            <w:noWrap/>
          </w:tcPr>
          <w:p w14:paraId="4533DB0E"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 xml:space="preserve">Systemic </w:t>
            </w:r>
            <w:proofErr w:type="spellStart"/>
            <w:r w:rsidRPr="00A054F7">
              <w:rPr>
                <w:rFonts w:eastAsia="Times New Roman" w:cs="Arial"/>
                <w:sz w:val="18"/>
                <w:szCs w:val="18"/>
              </w:rPr>
              <w:t>glucocorticoids</w:t>
            </w:r>
            <w:r w:rsidRPr="00A054F7">
              <w:rPr>
                <w:rFonts w:eastAsia="Times New Roman" w:cs="Arial"/>
                <w:sz w:val="18"/>
                <w:szCs w:val="18"/>
                <w:vertAlign w:val="superscript"/>
              </w:rPr>
              <w:t>a</w:t>
            </w:r>
            <w:proofErr w:type="spellEnd"/>
          </w:p>
        </w:tc>
        <w:tc>
          <w:tcPr>
            <w:tcW w:w="1801" w:type="pct"/>
            <w:tcBorders>
              <w:top w:val="nil"/>
              <w:left w:val="nil"/>
              <w:bottom w:val="nil"/>
              <w:right w:val="nil"/>
            </w:tcBorders>
            <w:noWrap/>
            <w:vAlign w:val="bottom"/>
          </w:tcPr>
          <w:p w14:paraId="7167885E" w14:textId="77777777" w:rsidR="00D250E5" w:rsidRPr="00A054F7" w:rsidRDefault="00D250E5" w:rsidP="002D2677">
            <w:pPr>
              <w:widowControl/>
              <w:spacing w:before="0" w:beforeAutospacing="0" w:after="0" w:afterAutospacing="0" w:line="276" w:lineRule="auto"/>
              <w:rPr>
                <w:rFonts w:eastAsia="Times New Roman" w:cs="Arial"/>
                <w:sz w:val="18"/>
                <w:szCs w:val="18"/>
              </w:rPr>
            </w:pPr>
          </w:p>
        </w:tc>
      </w:tr>
      <w:tr w:rsidR="00D250E5" w:rsidRPr="00276290" w14:paraId="014415ED" w14:textId="77777777" w:rsidTr="002D2677">
        <w:trPr>
          <w:trHeight w:val="23"/>
        </w:trPr>
        <w:tc>
          <w:tcPr>
            <w:tcW w:w="3199" w:type="pct"/>
            <w:tcBorders>
              <w:top w:val="nil"/>
              <w:left w:val="nil"/>
              <w:bottom w:val="nil"/>
              <w:right w:val="nil"/>
            </w:tcBorders>
            <w:noWrap/>
          </w:tcPr>
          <w:p w14:paraId="67801B8D"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Betamethasone</w:t>
            </w:r>
          </w:p>
        </w:tc>
        <w:tc>
          <w:tcPr>
            <w:tcW w:w="1801" w:type="pct"/>
            <w:tcBorders>
              <w:top w:val="nil"/>
              <w:left w:val="nil"/>
              <w:bottom w:val="nil"/>
              <w:right w:val="nil"/>
            </w:tcBorders>
            <w:noWrap/>
            <w:vAlign w:val="bottom"/>
          </w:tcPr>
          <w:p w14:paraId="38ADDEAB"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H02AB01</w:t>
            </w:r>
          </w:p>
        </w:tc>
      </w:tr>
      <w:tr w:rsidR="00D250E5" w:rsidRPr="00276290" w14:paraId="3B4A1BBC" w14:textId="77777777" w:rsidTr="002D2677">
        <w:trPr>
          <w:trHeight w:val="23"/>
        </w:trPr>
        <w:tc>
          <w:tcPr>
            <w:tcW w:w="3199" w:type="pct"/>
            <w:tcBorders>
              <w:top w:val="nil"/>
              <w:left w:val="nil"/>
              <w:bottom w:val="nil"/>
              <w:right w:val="nil"/>
            </w:tcBorders>
            <w:noWrap/>
          </w:tcPr>
          <w:p w14:paraId="2C09C35F"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Dexamethasone</w:t>
            </w:r>
          </w:p>
        </w:tc>
        <w:tc>
          <w:tcPr>
            <w:tcW w:w="1801" w:type="pct"/>
            <w:tcBorders>
              <w:top w:val="nil"/>
              <w:left w:val="nil"/>
              <w:bottom w:val="nil"/>
              <w:right w:val="nil"/>
            </w:tcBorders>
            <w:noWrap/>
            <w:vAlign w:val="bottom"/>
          </w:tcPr>
          <w:p w14:paraId="0D98D5AE"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H02AB02</w:t>
            </w:r>
          </w:p>
        </w:tc>
      </w:tr>
      <w:tr w:rsidR="00D250E5" w:rsidRPr="00276290" w14:paraId="15A6F9A2" w14:textId="77777777" w:rsidTr="002D2677">
        <w:trPr>
          <w:trHeight w:val="23"/>
        </w:trPr>
        <w:tc>
          <w:tcPr>
            <w:tcW w:w="3199" w:type="pct"/>
            <w:tcBorders>
              <w:top w:val="nil"/>
              <w:left w:val="nil"/>
              <w:bottom w:val="nil"/>
              <w:right w:val="nil"/>
            </w:tcBorders>
            <w:noWrap/>
          </w:tcPr>
          <w:p w14:paraId="2516E13D"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Methylprednisolone</w:t>
            </w:r>
          </w:p>
        </w:tc>
        <w:tc>
          <w:tcPr>
            <w:tcW w:w="1801" w:type="pct"/>
            <w:tcBorders>
              <w:top w:val="nil"/>
              <w:left w:val="nil"/>
              <w:bottom w:val="nil"/>
              <w:right w:val="nil"/>
            </w:tcBorders>
            <w:noWrap/>
            <w:vAlign w:val="bottom"/>
          </w:tcPr>
          <w:p w14:paraId="79CBAC89"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H02AB04</w:t>
            </w:r>
          </w:p>
        </w:tc>
      </w:tr>
      <w:tr w:rsidR="00D250E5" w:rsidRPr="00276290" w14:paraId="56E9055F" w14:textId="77777777" w:rsidTr="002D2677">
        <w:trPr>
          <w:trHeight w:val="23"/>
        </w:trPr>
        <w:tc>
          <w:tcPr>
            <w:tcW w:w="3199" w:type="pct"/>
            <w:tcBorders>
              <w:top w:val="nil"/>
              <w:left w:val="nil"/>
              <w:bottom w:val="nil"/>
              <w:right w:val="nil"/>
            </w:tcBorders>
            <w:noWrap/>
          </w:tcPr>
          <w:p w14:paraId="41C38B0D"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Prednisolone</w:t>
            </w:r>
          </w:p>
        </w:tc>
        <w:tc>
          <w:tcPr>
            <w:tcW w:w="1801" w:type="pct"/>
            <w:tcBorders>
              <w:top w:val="nil"/>
              <w:left w:val="nil"/>
              <w:bottom w:val="nil"/>
              <w:right w:val="nil"/>
            </w:tcBorders>
            <w:noWrap/>
            <w:vAlign w:val="bottom"/>
          </w:tcPr>
          <w:p w14:paraId="05BA4B57"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H02AB06</w:t>
            </w:r>
          </w:p>
        </w:tc>
      </w:tr>
      <w:tr w:rsidR="00D250E5" w:rsidRPr="00276290" w14:paraId="67F06927" w14:textId="77777777" w:rsidTr="002D2677">
        <w:trPr>
          <w:trHeight w:val="23"/>
        </w:trPr>
        <w:tc>
          <w:tcPr>
            <w:tcW w:w="3199" w:type="pct"/>
            <w:tcBorders>
              <w:top w:val="nil"/>
              <w:left w:val="nil"/>
              <w:bottom w:val="nil"/>
              <w:right w:val="nil"/>
            </w:tcBorders>
            <w:noWrap/>
          </w:tcPr>
          <w:p w14:paraId="447FF344"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Triamcinolone</w:t>
            </w:r>
          </w:p>
        </w:tc>
        <w:tc>
          <w:tcPr>
            <w:tcW w:w="1801" w:type="pct"/>
            <w:tcBorders>
              <w:top w:val="nil"/>
              <w:left w:val="nil"/>
              <w:bottom w:val="nil"/>
              <w:right w:val="nil"/>
            </w:tcBorders>
            <w:noWrap/>
            <w:vAlign w:val="bottom"/>
          </w:tcPr>
          <w:p w14:paraId="7BA444CD"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 xml:space="preserve">H02AB08 </w:t>
            </w:r>
          </w:p>
        </w:tc>
      </w:tr>
      <w:tr w:rsidR="00D250E5" w:rsidRPr="00276290" w14:paraId="465AC973" w14:textId="77777777" w:rsidTr="002D2677">
        <w:trPr>
          <w:trHeight w:val="23"/>
        </w:trPr>
        <w:tc>
          <w:tcPr>
            <w:tcW w:w="3199" w:type="pct"/>
            <w:tcBorders>
              <w:top w:val="nil"/>
              <w:left w:val="nil"/>
              <w:bottom w:val="nil"/>
              <w:right w:val="nil"/>
            </w:tcBorders>
            <w:noWrap/>
          </w:tcPr>
          <w:p w14:paraId="0CFEE09A" w14:textId="77777777" w:rsidR="00D250E5" w:rsidRPr="00A054F7" w:rsidRDefault="00D250E5" w:rsidP="002D2677">
            <w:pPr>
              <w:widowControl/>
              <w:spacing w:before="0" w:beforeAutospacing="0" w:after="0" w:afterAutospacing="0" w:line="276" w:lineRule="auto"/>
              <w:rPr>
                <w:rFonts w:eastAsia="Times New Roman" w:cs="Arial"/>
                <w:sz w:val="18"/>
                <w:szCs w:val="18"/>
              </w:rPr>
            </w:pPr>
            <w:proofErr w:type="spellStart"/>
            <w:r w:rsidRPr="00A054F7">
              <w:rPr>
                <w:rFonts w:eastAsia="Times New Roman" w:cs="Arial"/>
                <w:sz w:val="18"/>
                <w:szCs w:val="18"/>
              </w:rPr>
              <w:t>Mucoactive</w:t>
            </w:r>
            <w:proofErr w:type="spellEnd"/>
            <w:r w:rsidRPr="00A054F7">
              <w:rPr>
                <w:rFonts w:eastAsia="Times New Roman" w:cs="Arial"/>
                <w:sz w:val="18"/>
                <w:szCs w:val="18"/>
              </w:rPr>
              <w:t xml:space="preserve"> drugs</w:t>
            </w:r>
          </w:p>
        </w:tc>
        <w:tc>
          <w:tcPr>
            <w:tcW w:w="1801" w:type="pct"/>
            <w:tcBorders>
              <w:top w:val="nil"/>
              <w:left w:val="nil"/>
              <w:bottom w:val="nil"/>
              <w:right w:val="nil"/>
            </w:tcBorders>
            <w:noWrap/>
            <w:vAlign w:val="bottom"/>
          </w:tcPr>
          <w:p w14:paraId="28FB28D9" w14:textId="77777777" w:rsidR="00D250E5" w:rsidRPr="00A054F7" w:rsidRDefault="00D250E5" w:rsidP="002D2677">
            <w:pPr>
              <w:widowControl/>
              <w:spacing w:before="0" w:beforeAutospacing="0" w:after="0" w:afterAutospacing="0" w:line="276" w:lineRule="auto"/>
              <w:rPr>
                <w:rFonts w:eastAsia="Times New Roman" w:cs="Arial"/>
                <w:sz w:val="18"/>
                <w:szCs w:val="18"/>
              </w:rPr>
            </w:pPr>
          </w:p>
        </w:tc>
      </w:tr>
      <w:tr w:rsidR="00D250E5" w:rsidRPr="00276290" w14:paraId="63ABEDE1" w14:textId="77777777" w:rsidTr="002D2677">
        <w:trPr>
          <w:trHeight w:val="23"/>
        </w:trPr>
        <w:tc>
          <w:tcPr>
            <w:tcW w:w="3199" w:type="pct"/>
            <w:tcBorders>
              <w:top w:val="nil"/>
              <w:left w:val="nil"/>
              <w:bottom w:val="nil"/>
              <w:right w:val="nil"/>
            </w:tcBorders>
            <w:noWrap/>
          </w:tcPr>
          <w:p w14:paraId="23EF1898"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Bromhexine</w:t>
            </w:r>
          </w:p>
        </w:tc>
        <w:tc>
          <w:tcPr>
            <w:tcW w:w="1801" w:type="pct"/>
            <w:tcBorders>
              <w:top w:val="nil"/>
              <w:left w:val="nil"/>
              <w:bottom w:val="nil"/>
              <w:right w:val="nil"/>
            </w:tcBorders>
            <w:noWrap/>
            <w:vAlign w:val="bottom"/>
          </w:tcPr>
          <w:p w14:paraId="268F5490"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R05CB02</w:t>
            </w:r>
          </w:p>
        </w:tc>
      </w:tr>
      <w:tr w:rsidR="00D250E5" w:rsidRPr="00276290" w14:paraId="4BDE92CE" w14:textId="77777777" w:rsidTr="002D2677">
        <w:trPr>
          <w:trHeight w:val="23"/>
        </w:trPr>
        <w:tc>
          <w:tcPr>
            <w:tcW w:w="3199" w:type="pct"/>
            <w:tcBorders>
              <w:top w:val="nil"/>
              <w:left w:val="nil"/>
              <w:bottom w:val="nil"/>
              <w:right w:val="nil"/>
            </w:tcBorders>
            <w:noWrap/>
          </w:tcPr>
          <w:p w14:paraId="55D1BB36"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L-</w:t>
            </w:r>
            <w:proofErr w:type="spellStart"/>
            <w:r w:rsidRPr="00A054F7">
              <w:rPr>
                <w:rFonts w:eastAsia="Times New Roman" w:cs="Arial"/>
                <w:sz w:val="18"/>
                <w:szCs w:val="18"/>
              </w:rPr>
              <w:t>carbocisteine</w:t>
            </w:r>
            <w:proofErr w:type="spellEnd"/>
          </w:p>
        </w:tc>
        <w:tc>
          <w:tcPr>
            <w:tcW w:w="1801" w:type="pct"/>
            <w:tcBorders>
              <w:top w:val="nil"/>
              <w:left w:val="nil"/>
              <w:bottom w:val="nil"/>
              <w:right w:val="nil"/>
            </w:tcBorders>
            <w:noWrap/>
            <w:vAlign w:val="bottom"/>
          </w:tcPr>
          <w:p w14:paraId="6A07E4BA"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R05CB03</w:t>
            </w:r>
          </w:p>
        </w:tc>
      </w:tr>
      <w:tr w:rsidR="00D250E5" w:rsidRPr="00276290" w14:paraId="17019541" w14:textId="77777777" w:rsidTr="002D2677">
        <w:trPr>
          <w:trHeight w:val="23"/>
        </w:trPr>
        <w:tc>
          <w:tcPr>
            <w:tcW w:w="3199" w:type="pct"/>
            <w:tcBorders>
              <w:top w:val="nil"/>
              <w:left w:val="nil"/>
              <w:bottom w:val="nil"/>
              <w:right w:val="nil"/>
            </w:tcBorders>
            <w:noWrap/>
          </w:tcPr>
          <w:p w14:paraId="34B2BD82"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proofErr w:type="spellStart"/>
            <w:r w:rsidRPr="00A054F7">
              <w:rPr>
                <w:rFonts w:eastAsia="Times New Roman" w:cs="Arial"/>
                <w:sz w:val="18"/>
                <w:szCs w:val="18"/>
              </w:rPr>
              <w:t>Ambroxol</w:t>
            </w:r>
            <w:proofErr w:type="spellEnd"/>
          </w:p>
        </w:tc>
        <w:tc>
          <w:tcPr>
            <w:tcW w:w="1801" w:type="pct"/>
            <w:tcBorders>
              <w:top w:val="nil"/>
              <w:left w:val="nil"/>
              <w:bottom w:val="nil"/>
              <w:right w:val="nil"/>
            </w:tcBorders>
            <w:noWrap/>
            <w:vAlign w:val="bottom"/>
          </w:tcPr>
          <w:p w14:paraId="481CE171"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R05CB06</w:t>
            </w:r>
          </w:p>
        </w:tc>
      </w:tr>
      <w:tr w:rsidR="00D250E5" w:rsidRPr="00276290" w14:paraId="28D7329F" w14:textId="77777777" w:rsidTr="002D2677">
        <w:trPr>
          <w:trHeight w:val="23"/>
        </w:trPr>
        <w:tc>
          <w:tcPr>
            <w:tcW w:w="3199" w:type="pct"/>
            <w:tcBorders>
              <w:top w:val="nil"/>
              <w:left w:val="nil"/>
              <w:bottom w:val="nil"/>
              <w:right w:val="nil"/>
            </w:tcBorders>
            <w:noWrap/>
          </w:tcPr>
          <w:p w14:paraId="32C792FD"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proofErr w:type="spellStart"/>
            <w:r w:rsidRPr="00A054F7">
              <w:rPr>
                <w:rFonts w:eastAsia="Times New Roman" w:cs="Arial"/>
                <w:sz w:val="18"/>
                <w:szCs w:val="18"/>
              </w:rPr>
              <w:t>Fudosteine</w:t>
            </w:r>
            <w:proofErr w:type="spellEnd"/>
          </w:p>
        </w:tc>
        <w:tc>
          <w:tcPr>
            <w:tcW w:w="1801" w:type="pct"/>
            <w:tcBorders>
              <w:top w:val="nil"/>
              <w:left w:val="nil"/>
              <w:bottom w:val="nil"/>
              <w:right w:val="nil"/>
            </w:tcBorders>
            <w:noWrap/>
            <w:vAlign w:val="bottom"/>
          </w:tcPr>
          <w:p w14:paraId="2D5ECC7A"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R05CB (610451028, 610451030, 620001926, 620001927)</w:t>
            </w:r>
          </w:p>
        </w:tc>
      </w:tr>
      <w:tr w:rsidR="00D250E5" w:rsidRPr="00276290" w14:paraId="76D43B2C" w14:textId="77777777" w:rsidTr="002D2677">
        <w:trPr>
          <w:trHeight w:val="23"/>
        </w:trPr>
        <w:tc>
          <w:tcPr>
            <w:tcW w:w="3199" w:type="pct"/>
            <w:tcBorders>
              <w:top w:val="nil"/>
              <w:left w:val="nil"/>
              <w:bottom w:val="nil"/>
              <w:right w:val="nil"/>
            </w:tcBorders>
            <w:noWrap/>
          </w:tcPr>
          <w:p w14:paraId="62BDD07B"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Acetylcysteine</w:t>
            </w:r>
          </w:p>
        </w:tc>
        <w:tc>
          <w:tcPr>
            <w:tcW w:w="1801" w:type="pct"/>
            <w:tcBorders>
              <w:top w:val="nil"/>
              <w:left w:val="nil"/>
              <w:bottom w:val="nil"/>
              <w:right w:val="nil"/>
            </w:tcBorders>
            <w:noWrap/>
            <w:vAlign w:val="bottom"/>
          </w:tcPr>
          <w:p w14:paraId="26F3ECE8"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R05CB01</w:t>
            </w:r>
          </w:p>
        </w:tc>
      </w:tr>
      <w:tr w:rsidR="00D250E5" w:rsidRPr="00276290" w14:paraId="782DB255" w14:textId="77777777" w:rsidTr="002D2677">
        <w:trPr>
          <w:trHeight w:val="23"/>
        </w:trPr>
        <w:tc>
          <w:tcPr>
            <w:tcW w:w="3199" w:type="pct"/>
            <w:tcBorders>
              <w:top w:val="nil"/>
              <w:left w:val="nil"/>
              <w:bottom w:val="nil"/>
              <w:right w:val="nil"/>
            </w:tcBorders>
            <w:noWrap/>
          </w:tcPr>
          <w:p w14:paraId="46EEFE58"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Antibiotics</w:t>
            </w:r>
          </w:p>
        </w:tc>
        <w:tc>
          <w:tcPr>
            <w:tcW w:w="1801" w:type="pct"/>
            <w:tcBorders>
              <w:top w:val="nil"/>
              <w:left w:val="nil"/>
              <w:bottom w:val="nil"/>
              <w:right w:val="nil"/>
            </w:tcBorders>
            <w:noWrap/>
            <w:vAlign w:val="bottom"/>
          </w:tcPr>
          <w:p w14:paraId="59A05D72" w14:textId="77777777" w:rsidR="00D250E5" w:rsidRPr="00A054F7" w:rsidRDefault="00D250E5" w:rsidP="002D2677">
            <w:pPr>
              <w:widowControl/>
              <w:spacing w:before="0" w:beforeAutospacing="0" w:after="0" w:afterAutospacing="0" w:line="276" w:lineRule="auto"/>
              <w:rPr>
                <w:rFonts w:eastAsia="Times New Roman" w:cs="Arial"/>
                <w:sz w:val="18"/>
                <w:szCs w:val="18"/>
              </w:rPr>
            </w:pPr>
          </w:p>
        </w:tc>
      </w:tr>
      <w:tr w:rsidR="00D250E5" w:rsidRPr="00276290" w14:paraId="4C0DBCB9" w14:textId="77777777" w:rsidTr="002D2677">
        <w:trPr>
          <w:trHeight w:val="23"/>
        </w:trPr>
        <w:tc>
          <w:tcPr>
            <w:tcW w:w="3199" w:type="pct"/>
            <w:tcBorders>
              <w:top w:val="nil"/>
              <w:left w:val="nil"/>
              <w:bottom w:val="nil"/>
              <w:right w:val="nil"/>
            </w:tcBorders>
            <w:noWrap/>
          </w:tcPr>
          <w:p w14:paraId="0C1F5181"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proofErr w:type="spellStart"/>
            <w:r w:rsidRPr="00A054F7">
              <w:rPr>
                <w:rFonts w:eastAsia="Times New Roman" w:cs="Arial"/>
                <w:sz w:val="18"/>
                <w:szCs w:val="18"/>
              </w:rPr>
              <w:t>Penicillins</w:t>
            </w:r>
            <w:proofErr w:type="spellEnd"/>
            <w:r w:rsidRPr="00A054F7">
              <w:rPr>
                <w:rFonts w:eastAsia="Times New Roman" w:cs="Arial"/>
                <w:sz w:val="18"/>
                <w:szCs w:val="18"/>
              </w:rPr>
              <w:t xml:space="preserve"> with extended spectrum</w:t>
            </w:r>
          </w:p>
        </w:tc>
        <w:tc>
          <w:tcPr>
            <w:tcW w:w="1801" w:type="pct"/>
            <w:tcBorders>
              <w:top w:val="nil"/>
              <w:left w:val="nil"/>
              <w:bottom w:val="nil"/>
              <w:right w:val="nil"/>
            </w:tcBorders>
            <w:noWrap/>
            <w:vAlign w:val="bottom"/>
          </w:tcPr>
          <w:p w14:paraId="288687A0"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J01CA</w:t>
            </w:r>
          </w:p>
        </w:tc>
      </w:tr>
      <w:tr w:rsidR="00D250E5" w:rsidRPr="00276290" w14:paraId="1EFD61C3" w14:textId="77777777" w:rsidTr="002D2677">
        <w:trPr>
          <w:trHeight w:val="23"/>
        </w:trPr>
        <w:tc>
          <w:tcPr>
            <w:tcW w:w="3199" w:type="pct"/>
            <w:tcBorders>
              <w:top w:val="nil"/>
              <w:left w:val="nil"/>
              <w:bottom w:val="nil"/>
              <w:right w:val="nil"/>
            </w:tcBorders>
            <w:noWrap/>
          </w:tcPr>
          <w:p w14:paraId="460DD681"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 xml:space="preserve">Combinations of </w:t>
            </w:r>
            <w:proofErr w:type="spellStart"/>
            <w:r w:rsidRPr="00A054F7">
              <w:rPr>
                <w:rFonts w:eastAsia="Times New Roman" w:cs="Arial"/>
                <w:sz w:val="18"/>
                <w:szCs w:val="18"/>
              </w:rPr>
              <w:t>penicillins</w:t>
            </w:r>
            <w:proofErr w:type="spellEnd"/>
            <w:r w:rsidRPr="00A054F7">
              <w:rPr>
                <w:rFonts w:eastAsia="Times New Roman" w:cs="Arial"/>
                <w:sz w:val="18"/>
                <w:szCs w:val="18"/>
              </w:rPr>
              <w:t>, including beta-lactamase inhibitors</w:t>
            </w:r>
          </w:p>
        </w:tc>
        <w:tc>
          <w:tcPr>
            <w:tcW w:w="1801" w:type="pct"/>
            <w:tcBorders>
              <w:top w:val="nil"/>
              <w:left w:val="nil"/>
              <w:bottom w:val="nil"/>
              <w:right w:val="nil"/>
            </w:tcBorders>
            <w:noWrap/>
            <w:vAlign w:val="bottom"/>
          </w:tcPr>
          <w:p w14:paraId="1BEAEFC7"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J01CR</w:t>
            </w:r>
          </w:p>
        </w:tc>
      </w:tr>
      <w:tr w:rsidR="00D250E5" w:rsidRPr="00276290" w14:paraId="509E77DB" w14:textId="77777777" w:rsidTr="002D2677">
        <w:trPr>
          <w:trHeight w:val="23"/>
        </w:trPr>
        <w:tc>
          <w:tcPr>
            <w:tcW w:w="3199" w:type="pct"/>
            <w:tcBorders>
              <w:top w:val="nil"/>
              <w:left w:val="nil"/>
              <w:bottom w:val="nil"/>
              <w:right w:val="nil"/>
            </w:tcBorders>
            <w:noWrap/>
          </w:tcPr>
          <w:p w14:paraId="799C3FB7"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Second-generation cephalosporins</w:t>
            </w:r>
          </w:p>
        </w:tc>
        <w:tc>
          <w:tcPr>
            <w:tcW w:w="1801" w:type="pct"/>
            <w:tcBorders>
              <w:top w:val="nil"/>
              <w:left w:val="nil"/>
              <w:bottom w:val="nil"/>
              <w:right w:val="nil"/>
            </w:tcBorders>
            <w:noWrap/>
            <w:vAlign w:val="bottom"/>
          </w:tcPr>
          <w:p w14:paraId="7A45536D"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J01DC</w:t>
            </w:r>
          </w:p>
        </w:tc>
      </w:tr>
      <w:tr w:rsidR="00D250E5" w:rsidRPr="00276290" w14:paraId="4856901D" w14:textId="77777777" w:rsidTr="002D2677">
        <w:trPr>
          <w:trHeight w:val="23"/>
        </w:trPr>
        <w:tc>
          <w:tcPr>
            <w:tcW w:w="3199" w:type="pct"/>
            <w:tcBorders>
              <w:top w:val="nil"/>
              <w:left w:val="nil"/>
              <w:bottom w:val="nil"/>
              <w:right w:val="nil"/>
            </w:tcBorders>
            <w:noWrap/>
          </w:tcPr>
          <w:p w14:paraId="6A68DEC1"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Third-generation cephalosporins</w:t>
            </w:r>
          </w:p>
        </w:tc>
        <w:tc>
          <w:tcPr>
            <w:tcW w:w="1801" w:type="pct"/>
            <w:tcBorders>
              <w:top w:val="nil"/>
              <w:left w:val="nil"/>
              <w:bottom w:val="nil"/>
              <w:right w:val="nil"/>
            </w:tcBorders>
            <w:noWrap/>
            <w:vAlign w:val="bottom"/>
          </w:tcPr>
          <w:p w14:paraId="543675EB"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J01DD</w:t>
            </w:r>
          </w:p>
        </w:tc>
      </w:tr>
      <w:tr w:rsidR="00D250E5" w:rsidRPr="00276290" w14:paraId="104180FB" w14:textId="77777777" w:rsidTr="002D2677">
        <w:trPr>
          <w:trHeight w:val="23"/>
        </w:trPr>
        <w:tc>
          <w:tcPr>
            <w:tcW w:w="3199" w:type="pct"/>
            <w:tcBorders>
              <w:top w:val="nil"/>
              <w:left w:val="nil"/>
              <w:bottom w:val="nil"/>
              <w:right w:val="nil"/>
            </w:tcBorders>
            <w:noWrap/>
          </w:tcPr>
          <w:p w14:paraId="3BE376E9"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Fourth-generation cephalosporins</w:t>
            </w:r>
          </w:p>
        </w:tc>
        <w:tc>
          <w:tcPr>
            <w:tcW w:w="1801" w:type="pct"/>
            <w:tcBorders>
              <w:top w:val="nil"/>
              <w:left w:val="nil"/>
              <w:bottom w:val="nil"/>
              <w:right w:val="nil"/>
            </w:tcBorders>
            <w:noWrap/>
            <w:vAlign w:val="bottom"/>
          </w:tcPr>
          <w:p w14:paraId="2055A256"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J01DE</w:t>
            </w:r>
          </w:p>
        </w:tc>
      </w:tr>
      <w:tr w:rsidR="00D250E5" w:rsidRPr="00276290" w14:paraId="1ADC2B32" w14:textId="77777777" w:rsidTr="002D2677">
        <w:trPr>
          <w:trHeight w:val="23"/>
        </w:trPr>
        <w:tc>
          <w:tcPr>
            <w:tcW w:w="3199" w:type="pct"/>
            <w:tcBorders>
              <w:top w:val="nil"/>
              <w:left w:val="nil"/>
              <w:bottom w:val="nil"/>
              <w:right w:val="nil"/>
            </w:tcBorders>
            <w:noWrap/>
          </w:tcPr>
          <w:p w14:paraId="3BFDD874"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Monobactams</w:t>
            </w:r>
          </w:p>
        </w:tc>
        <w:tc>
          <w:tcPr>
            <w:tcW w:w="1801" w:type="pct"/>
            <w:tcBorders>
              <w:top w:val="nil"/>
              <w:left w:val="nil"/>
              <w:bottom w:val="nil"/>
              <w:right w:val="nil"/>
            </w:tcBorders>
            <w:noWrap/>
            <w:vAlign w:val="bottom"/>
          </w:tcPr>
          <w:p w14:paraId="1465A79F"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J01DF</w:t>
            </w:r>
          </w:p>
        </w:tc>
      </w:tr>
      <w:tr w:rsidR="00D250E5" w:rsidRPr="00276290" w14:paraId="71FB6BBB" w14:textId="77777777" w:rsidTr="002D2677">
        <w:trPr>
          <w:trHeight w:val="23"/>
        </w:trPr>
        <w:tc>
          <w:tcPr>
            <w:tcW w:w="3199" w:type="pct"/>
            <w:tcBorders>
              <w:top w:val="nil"/>
              <w:left w:val="nil"/>
              <w:bottom w:val="nil"/>
              <w:right w:val="nil"/>
            </w:tcBorders>
            <w:noWrap/>
          </w:tcPr>
          <w:p w14:paraId="0B71EBFE"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Carbapenems</w:t>
            </w:r>
          </w:p>
        </w:tc>
        <w:tc>
          <w:tcPr>
            <w:tcW w:w="1801" w:type="pct"/>
            <w:tcBorders>
              <w:top w:val="nil"/>
              <w:left w:val="nil"/>
              <w:bottom w:val="nil"/>
              <w:right w:val="nil"/>
            </w:tcBorders>
            <w:noWrap/>
            <w:vAlign w:val="bottom"/>
          </w:tcPr>
          <w:p w14:paraId="2C77260C"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J01DH</w:t>
            </w:r>
          </w:p>
        </w:tc>
      </w:tr>
      <w:tr w:rsidR="00D250E5" w:rsidRPr="00276290" w14:paraId="383AD18E" w14:textId="77777777" w:rsidTr="002D2677">
        <w:trPr>
          <w:trHeight w:val="23"/>
        </w:trPr>
        <w:tc>
          <w:tcPr>
            <w:tcW w:w="3199" w:type="pct"/>
            <w:tcBorders>
              <w:top w:val="nil"/>
              <w:left w:val="nil"/>
              <w:bottom w:val="nil"/>
              <w:right w:val="nil"/>
            </w:tcBorders>
            <w:noWrap/>
          </w:tcPr>
          <w:p w14:paraId="5560C8D0"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 xml:space="preserve">Other cephalosporins and </w:t>
            </w:r>
            <w:proofErr w:type="spellStart"/>
            <w:r w:rsidRPr="00A054F7">
              <w:rPr>
                <w:rFonts w:eastAsia="Times New Roman" w:cs="Arial"/>
                <w:sz w:val="18"/>
                <w:szCs w:val="18"/>
              </w:rPr>
              <w:t>penems</w:t>
            </w:r>
            <w:proofErr w:type="spellEnd"/>
          </w:p>
        </w:tc>
        <w:tc>
          <w:tcPr>
            <w:tcW w:w="1801" w:type="pct"/>
            <w:tcBorders>
              <w:top w:val="nil"/>
              <w:left w:val="nil"/>
              <w:bottom w:val="nil"/>
              <w:right w:val="nil"/>
            </w:tcBorders>
            <w:noWrap/>
            <w:vAlign w:val="bottom"/>
          </w:tcPr>
          <w:p w14:paraId="7D04B258"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J01DI</w:t>
            </w:r>
          </w:p>
        </w:tc>
      </w:tr>
      <w:tr w:rsidR="00D250E5" w:rsidRPr="00276290" w14:paraId="50C1D724" w14:textId="77777777" w:rsidTr="002D2677">
        <w:trPr>
          <w:trHeight w:val="23"/>
        </w:trPr>
        <w:tc>
          <w:tcPr>
            <w:tcW w:w="3199" w:type="pct"/>
            <w:tcBorders>
              <w:top w:val="nil"/>
              <w:left w:val="nil"/>
              <w:bottom w:val="nil"/>
              <w:right w:val="nil"/>
            </w:tcBorders>
            <w:noWrap/>
          </w:tcPr>
          <w:p w14:paraId="43860A87"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Macrolides</w:t>
            </w:r>
          </w:p>
        </w:tc>
        <w:tc>
          <w:tcPr>
            <w:tcW w:w="1801" w:type="pct"/>
            <w:tcBorders>
              <w:top w:val="nil"/>
              <w:left w:val="nil"/>
              <w:bottom w:val="nil"/>
              <w:right w:val="nil"/>
            </w:tcBorders>
            <w:noWrap/>
            <w:vAlign w:val="bottom"/>
          </w:tcPr>
          <w:p w14:paraId="084EC400"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J01FA</w:t>
            </w:r>
          </w:p>
        </w:tc>
      </w:tr>
      <w:tr w:rsidR="00D250E5" w:rsidRPr="00276290" w14:paraId="195FC4C8" w14:textId="77777777" w:rsidTr="002D2677">
        <w:trPr>
          <w:trHeight w:val="23"/>
        </w:trPr>
        <w:tc>
          <w:tcPr>
            <w:tcW w:w="3199" w:type="pct"/>
            <w:tcBorders>
              <w:top w:val="nil"/>
              <w:left w:val="nil"/>
              <w:bottom w:val="nil"/>
              <w:right w:val="nil"/>
            </w:tcBorders>
            <w:noWrap/>
          </w:tcPr>
          <w:p w14:paraId="37676130" w14:textId="77777777" w:rsidR="00D250E5" w:rsidRPr="00A054F7" w:rsidRDefault="00D250E5" w:rsidP="002D2677">
            <w:pPr>
              <w:widowControl/>
              <w:spacing w:before="0" w:beforeAutospacing="0" w:after="0" w:afterAutospacing="0" w:line="276" w:lineRule="auto"/>
              <w:ind w:left="1418"/>
              <w:rPr>
                <w:rFonts w:eastAsia="Times New Roman" w:cs="Arial"/>
                <w:sz w:val="18"/>
                <w:szCs w:val="18"/>
              </w:rPr>
            </w:pPr>
            <w:r w:rsidRPr="00A054F7">
              <w:rPr>
                <w:rFonts w:cs="Arial"/>
                <w:sz w:val="18"/>
                <w:szCs w:val="18"/>
              </w:rPr>
              <w:t>Erythromycin</w:t>
            </w:r>
          </w:p>
        </w:tc>
        <w:tc>
          <w:tcPr>
            <w:tcW w:w="1801" w:type="pct"/>
            <w:tcBorders>
              <w:top w:val="nil"/>
              <w:left w:val="nil"/>
              <w:bottom w:val="nil"/>
              <w:right w:val="nil"/>
            </w:tcBorders>
            <w:noWrap/>
            <w:vAlign w:val="bottom"/>
          </w:tcPr>
          <w:p w14:paraId="14083180"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cs="Arial"/>
                <w:sz w:val="18"/>
                <w:szCs w:val="18"/>
              </w:rPr>
              <w:t>J01FA01</w:t>
            </w:r>
          </w:p>
        </w:tc>
      </w:tr>
      <w:tr w:rsidR="00D250E5" w:rsidRPr="00276290" w14:paraId="458C217D" w14:textId="77777777" w:rsidTr="002D2677">
        <w:trPr>
          <w:trHeight w:val="23"/>
        </w:trPr>
        <w:tc>
          <w:tcPr>
            <w:tcW w:w="3199" w:type="pct"/>
            <w:tcBorders>
              <w:top w:val="nil"/>
              <w:left w:val="nil"/>
              <w:bottom w:val="nil"/>
              <w:right w:val="nil"/>
            </w:tcBorders>
            <w:noWrap/>
          </w:tcPr>
          <w:p w14:paraId="0A0CF8DD"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proofErr w:type="spellStart"/>
            <w:r w:rsidRPr="00A054F7">
              <w:rPr>
                <w:rFonts w:eastAsia="Times New Roman" w:cs="Arial"/>
                <w:sz w:val="18"/>
                <w:szCs w:val="18"/>
              </w:rPr>
              <w:t>Lincosamides</w:t>
            </w:r>
            <w:proofErr w:type="spellEnd"/>
          </w:p>
        </w:tc>
        <w:tc>
          <w:tcPr>
            <w:tcW w:w="1801" w:type="pct"/>
            <w:tcBorders>
              <w:top w:val="nil"/>
              <w:left w:val="nil"/>
              <w:bottom w:val="nil"/>
              <w:right w:val="nil"/>
            </w:tcBorders>
            <w:noWrap/>
            <w:vAlign w:val="bottom"/>
          </w:tcPr>
          <w:p w14:paraId="2EB3DF59"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J01FF</w:t>
            </w:r>
          </w:p>
        </w:tc>
      </w:tr>
      <w:tr w:rsidR="00D250E5" w:rsidRPr="00276290" w14:paraId="6CCEAB9B" w14:textId="77777777" w:rsidTr="002D2677">
        <w:trPr>
          <w:trHeight w:val="23"/>
        </w:trPr>
        <w:tc>
          <w:tcPr>
            <w:tcW w:w="3199" w:type="pct"/>
            <w:tcBorders>
              <w:top w:val="nil"/>
              <w:left w:val="nil"/>
              <w:bottom w:val="nil"/>
              <w:right w:val="nil"/>
            </w:tcBorders>
            <w:noWrap/>
          </w:tcPr>
          <w:p w14:paraId="2BED8F2E"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Streptogramins</w:t>
            </w:r>
          </w:p>
        </w:tc>
        <w:tc>
          <w:tcPr>
            <w:tcW w:w="1801" w:type="pct"/>
            <w:tcBorders>
              <w:top w:val="nil"/>
              <w:left w:val="nil"/>
              <w:bottom w:val="nil"/>
              <w:right w:val="nil"/>
            </w:tcBorders>
            <w:noWrap/>
            <w:vAlign w:val="bottom"/>
          </w:tcPr>
          <w:p w14:paraId="539A9839"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J01FG</w:t>
            </w:r>
          </w:p>
        </w:tc>
      </w:tr>
      <w:tr w:rsidR="00D250E5" w:rsidRPr="00276290" w14:paraId="0ED582F7" w14:textId="77777777" w:rsidTr="002D2677">
        <w:trPr>
          <w:trHeight w:val="23"/>
        </w:trPr>
        <w:tc>
          <w:tcPr>
            <w:tcW w:w="3199" w:type="pct"/>
            <w:tcBorders>
              <w:top w:val="nil"/>
              <w:left w:val="nil"/>
              <w:bottom w:val="nil"/>
              <w:right w:val="nil"/>
            </w:tcBorders>
            <w:noWrap/>
          </w:tcPr>
          <w:p w14:paraId="4F9A3E89"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Aminoglycosides (excluding streptomycin)</w:t>
            </w:r>
          </w:p>
        </w:tc>
        <w:tc>
          <w:tcPr>
            <w:tcW w:w="1801" w:type="pct"/>
            <w:tcBorders>
              <w:top w:val="nil"/>
              <w:left w:val="nil"/>
              <w:bottom w:val="nil"/>
              <w:right w:val="nil"/>
            </w:tcBorders>
            <w:noWrap/>
            <w:vAlign w:val="bottom"/>
          </w:tcPr>
          <w:p w14:paraId="6B5DF6E4"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J01GB</w:t>
            </w:r>
          </w:p>
        </w:tc>
      </w:tr>
      <w:tr w:rsidR="00D250E5" w:rsidRPr="00276290" w14:paraId="16669C1E" w14:textId="77777777" w:rsidTr="002D2677">
        <w:trPr>
          <w:trHeight w:val="23"/>
        </w:trPr>
        <w:tc>
          <w:tcPr>
            <w:tcW w:w="3199" w:type="pct"/>
            <w:tcBorders>
              <w:top w:val="nil"/>
              <w:left w:val="nil"/>
              <w:bottom w:val="nil"/>
              <w:right w:val="nil"/>
            </w:tcBorders>
            <w:noWrap/>
          </w:tcPr>
          <w:p w14:paraId="300DF434"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lastRenderedPageBreak/>
              <w:t>Fluoroquinolones</w:t>
            </w:r>
          </w:p>
        </w:tc>
        <w:tc>
          <w:tcPr>
            <w:tcW w:w="1801" w:type="pct"/>
            <w:tcBorders>
              <w:top w:val="nil"/>
              <w:left w:val="nil"/>
              <w:bottom w:val="nil"/>
              <w:right w:val="nil"/>
            </w:tcBorders>
            <w:noWrap/>
            <w:vAlign w:val="bottom"/>
          </w:tcPr>
          <w:p w14:paraId="225E4AC1"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J01MA</w:t>
            </w:r>
          </w:p>
        </w:tc>
      </w:tr>
      <w:tr w:rsidR="00D250E5" w:rsidRPr="00276290" w14:paraId="4E67A367" w14:textId="77777777" w:rsidTr="002D2677">
        <w:trPr>
          <w:trHeight w:val="23"/>
        </w:trPr>
        <w:tc>
          <w:tcPr>
            <w:tcW w:w="3199" w:type="pct"/>
            <w:tcBorders>
              <w:top w:val="nil"/>
              <w:left w:val="nil"/>
              <w:bottom w:val="nil"/>
              <w:right w:val="nil"/>
            </w:tcBorders>
            <w:noWrap/>
          </w:tcPr>
          <w:p w14:paraId="797FE1BE"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Other quinolones</w:t>
            </w:r>
          </w:p>
        </w:tc>
        <w:tc>
          <w:tcPr>
            <w:tcW w:w="1801" w:type="pct"/>
            <w:tcBorders>
              <w:top w:val="nil"/>
              <w:left w:val="nil"/>
              <w:bottom w:val="nil"/>
              <w:right w:val="nil"/>
            </w:tcBorders>
            <w:noWrap/>
            <w:vAlign w:val="bottom"/>
          </w:tcPr>
          <w:p w14:paraId="3A0434BA"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J01MB</w:t>
            </w:r>
          </w:p>
        </w:tc>
      </w:tr>
      <w:tr w:rsidR="00D250E5" w:rsidRPr="00276290" w14:paraId="029166F4" w14:textId="77777777" w:rsidTr="002D2677">
        <w:trPr>
          <w:trHeight w:val="23"/>
        </w:trPr>
        <w:tc>
          <w:tcPr>
            <w:tcW w:w="3199" w:type="pct"/>
            <w:tcBorders>
              <w:top w:val="nil"/>
              <w:left w:val="nil"/>
              <w:bottom w:val="nil"/>
              <w:right w:val="nil"/>
            </w:tcBorders>
            <w:noWrap/>
          </w:tcPr>
          <w:p w14:paraId="78F48C78"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Glycopeptide antibacterials</w:t>
            </w:r>
          </w:p>
        </w:tc>
        <w:tc>
          <w:tcPr>
            <w:tcW w:w="1801" w:type="pct"/>
            <w:tcBorders>
              <w:top w:val="nil"/>
              <w:left w:val="nil"/>
              <w:bottom w:val="nil"/>
              <w:right w:val="nil"/>
            </w:tcBorders>
            <w:noWrap/>
            <w:vAlign w:val="bottom"/>
          </w:tcPr>
          <w:p w14:paraId="58BDC091"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J01XA</w:t>
            </w:r>
          </w:p>
        </w:tc>
      </w:tr>
      <w:tr w:rsidR="00D250E5" w:rsidRPr="00276290" w14:paraId="712C2B0F" w14:textId="77777777" w:rsidTr="002D2677">
        <w:trPr>
          <w:trHeight w:val="23"/>
        </w:trPr>
        <w:tc>
          <w:tcPr>
            <w:tcW w:w="3199" w:type="pct"/>
            <w:tcBorders>
              <w:top w:val="nil"/>
              <w:left w:val="nil"/>
              <w:bottom w:val="nil"/>
              <w:right w:val="nil"/>
            </w:tcBorders>
            <w:noWrap/>
          </w:tcPr>
          <w:p w14:paraId="1F273DD0"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Polymyxins</w:t>
            </w:r>
          </w:p>
        </w:tc>
        <w:tc>
          <w:tcPr>
            <w:tcW w:w="1801" w:type="pct"/>
            <w:tcBorders>
              <w:top w:val="nil"/>
              <w:left w:val="nil"/>
              <w:bottom w:val="nil"/>
              <w:right w:val="nil"/>
            </w:tcBorders>
            <w:noWrap/>
            <w:vAlign w:val="bottom"/>
          </w:tcPr>
          <w:p w14:paraId="3F7B1D9F"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J01XB</w:t>
            </w:r>
          </w:p>
        </w:tc>
      </w:tr>
      <w:tr w:rsidR="00D250E5" w:rsidRPr="00276290" w14:paraId="53B85D62" w14:textId="77777777" w:rsidTr="002D2677">
        <w:trPr>
          <w:trHeight w:val="23"/>
        </w:trPr>
        <w:tc>
          <w:tcPr>
            <w:tcW w:w="3199" w:type="pct"/>
            <w:tcBorders>
              <w:top w:val="nil"/>
              <w:left w:val="nil"/>
              <w:right w:val="nil"/>
            </w:tcBorders>
            <w:noWrap/>
          </w:tcPr>
          <w:p w14:paraId="467CD789"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Imidazole derivatives</w:t>
            </w:r>
          </w:p>
        </w:tc>
        <w:tc>
          <w:tcPr>
            <w:tcW w:w="1801" w:type="pct"/>
            <w:tcBorders>
              <w:top w:val="nil"/>
              <w:left w:val="nil"/>
              <w:right w:val="nil"/>
            </w:tcBorders>
            <w:noWrap/>
            <w:vAlign w:val="bottom"/>
          </w:tcPr>
          <w:p w14:paraId="3E656AA0"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J01XD</w:t>
            </w:r>
          </w:p>
        </w:tc>
      </w:tr>
      <w:tr w:rsidR="00D250E5" w:rsidRPr="00276290" w14:paraId="3107E580" w14:textId="77777777" w:rsidTr="002D2677">
        <w:trPr>
          <w:trHeight w:val="23"/>
        </w:trPr>
        <w:tc>
          <w:tcPr>
            <w:tcW w:w="3199" w:type="pct"/>
            <w:tcBorders>
              <w:top w:val="nil"/>
              <w:left w:val="nil"/>
              <w:bottom w:val="single" w:sz="4" w:space="0" w:color="auto"/>
              <w:right w:val="nil"/>
            </w:tcBorders>
            <w:noWrap/>
          </w:tcPr>
          <w:p w14:paraId="62E34999" w14:textId="77777777" w:rsidR="00D250E5" w:rsidRPr="00A054F7" w:rsidRDefault="00D250E5" w:rsidP="002D2677">
            <w:pPr>
              <w:widowControl/>
              <w:spacing w:before="0" w:beforeAutospacing="0" w:after="0" w:afterAutospacing="0" w:line="276" w:lineRule="auto"/>
              <w:ind w:left="720"/>
              <w:rPr>
                <w:rFonts w:eastAsia="Times New Roman" w:cs="Arial"/>
                <w:sz w:val="18"/>
                <w:szCs w:val="18"/>
              </w:rPr>
            </w:pPr>
            <w:r w:rsidRPr="00A054F7">
              <w:rPr>
                <w:rFonts w:eastAsia="Times New Roman" w:cs="Arial"/>
                <w:sz w:val="18"/>
                <w:szCs w:val="18"/>
              </w:rPr>
              <w:t>Other antibacterials</w:t>
            </w:r>
          </w:p>
        </w:tc>
        <w:tc>
          <w:tcPr>
            <w:tcW w:w="1801" w:type="pct"/>
            <w:tcBorders>
              <w:top w:val="nil"/>
              <w:left w:val="nil"/>
              <w:bottom w:val="single" w:sz="4" w:space="0" w:color="auto"/>
              <w:right w:val="nil"/>
            </w:tcBorders>
            <w:noWrap/>
            <w:vAlign w:val="bottom"/>
          </w:tcPr>
          <w:p w14:paraId="448B59FC" w14:textId="77777777" w:rsidR="00D250E5" w:rsidRPr="00A054F7" w:rsidRDefault="00D250E5" w:rsidP="002D2677">
            <w:pPr>
              <w:widowControl/>
              <w:spacing w:before="0" w:beforeAutospacing="0" w:after="0" w:afterAutospacing="0" w:line="276" w:lineRule="auto"/>
              <w:rPr>
                <w:rFonts w:eastAsia="Times New Roman" w:cs="Arial"/>
                <w:sz w:val="18"/>
                <w:szCs w:val="18"/>
              </w:rPr>
            </w:pPr>
            <w:r w:rsidRPr="00A054F7">
              <w:rPr>
                <w:rFonts w:eastAsia="Times New Roman" w:cs="Arial"/>
                <w:sz w:val="18"/>
                <w:szCs w:val="18"/>
              </w:rPr>
              <w:t>J01XX</w:t>
            </w:r>
          </w:p>
        </w:tc>
      </w:tr>
    </w:tbl>
    <w:p w14:paraId="29FF88EC" w14:textId="77777777" w:rsidR="00B42E19" w:rsidRDefault="00D250E5" w:rsidP="00B42E19">
      <w:pPr>
        <w:spacing w:before="0" w:beforeAutospacing="0" w:after="0" w:afterAutospacing="0" w:line="276" w:lineRule="auto"/>
        <w:rPr>
          <w:rFonts w:cs="Arial"/>
          <w:sz w:val="18"/>
          <w:szCs w:val="18"/>
        </w:rPr>
      </w:pPr>
      <w:r w:rsidRPr="006F165F">
        <w:rPr>
          <w:rFonts w:eastAsia="Yu Gothic" w:cs="Arial"/>
          <w:b/>
          <w:bCs/>
          <w:color w:val="000000"/>
          <w:sz w:val="18"/>
          <w:szCs w:val="18"/>
          <w:vertAlign w:val="superscript"/>
          <w:lang w:eastAsia="ja-JP"/>
        </w:rPr>
        <w:t>a</w:t>
      </w:r>
      <w:r w:rsidRPr="006F165F">
        <w:rPr>
          <w:rFonts w:cs="Arial"/>
          <w:sz w:val="18"/>
          <w:szCs w:val="18"/>
        </w:rPr>
        <w:t xml:space="preserve"> </w:t>
      </w:r>
      <w:r w:rsidRPr="00276290">
        <w:rPr>
          <w:rFonts w:eastAsia="Times New Roman"/>
          <w:sz w:val="18"/>
          <w:szCs w:val="18"/>
        </w:rPr>
        <w:t>Excluding agents for local injection, hydrocortisone, and cortisone</w:t>
      </w:r>
      <w:r w:rsidRPr="006F165F">
        <w:rPr>
          <w:rFonts w:cs="Arial"/>
          <w:sz w:val="18"/>
          <w:szCs w:val="18"/>
        </w:rPr>
        <w:t>.</w:t>
      </w:r>
    </w:p>
    <w:p w14:paraId="6292CE69" w14:textId="7BE20C51" w:rsidR="00D250E5" w:rsidRDefault="00D250E5" w:rsidP="00B42E19">
      <w:pPr>
        <w:spacing w:before="0" w:beforeAutospacing="0" w:after="0" w:afterAutospacing="0" w:line="276" w:lineRule="auto"/>
        <w:rPr>
          <w:rFonts w:eastAsia="Times New Roman" w:cs="Arial"/>
          <w:sz w:val="18"/>
          <w:szCs w:val="18"/>
        </w:rPr>
        <w:sectPr w:rsidR="00D250E5" w:rsidSect="00D250E5">
          <w:endnotePr>
            <w:numFmt w:val="decimal"/>
          </w:endnotePr>
          <w:pgSz w:w="16840" w:h="11907" w:orient="landscape" w:code="9"/>
          <w:pgMar w:top="1701" w:right="1440" w:bottom="1701" w:left="1440" w:header="567" w:footer="567" w:gutter="0"/>
          <w:cols w:space="720"/>
          <w:docGrid w:linePitch="299"/>
        </w:sectPr>
      </w:pPr>
      <w:r w:rsidRPr="002D2677">
        <w:rPr>
          <w:rFonts w:cs="Arial"/>
          <w:b/>
          <w:bCs/>
          <w:sz w:val="18"/>
          <w:szCs w:val="18"/>
        </w:rPr>
        <w:t>Abbreviations:</w:t>
      </w:r>
      <w:r>
        <w:rPr>
          <w:rFonts w:cs="Arial"/>
          <w:sz w:val="18"/>
          <w:szCs w:val="18"/>
        </w:rPr>
        <w:t xml:space="preserve"> </w:t>
      </w:r>
      <w:r w:rsidRPr="00737A30">
        <w:rPr>
          <w:rFonts w:cs="Arial"/>
          <w:sz w:val="18"/>
          <w:szCs w:val="18"/>
        </w:rPr>
        <w:t>COPD, chronic obstructive pulmonary disease;</w:t>
      </w:r>
      <w:r>
        <w:rPr>
          <w:rFonts w:cs="Arial"/>
          <w:sz w:val="18"/>
          <w:szCs w:val="18"/>
        </w:rPr>
        <w:t xml:space="preserve"> ICS, inhaled corticosteroids;</w:t>
      </w:r>
      <w:r w:rsidRPr="00737A30">
        <w:rPr>
          <w:rFonts w:cs="Arial"/>
          <w:sz w:val="18"/>
          <w:szCs w:val="18"/>
        </w:rPr>
        <w:t xml:space="preserve"> LABA, long-acting β2-agonists; LAMA, </w:t>
      </w:r>
      <w:r>
        <w:rPr>
          <w:rFonts w:cs="Arial"/>
          <w:sz w:val="18"/>
          <w:szCs w:val="18"/>
        </w:rPr>
        <w:t>l</w:t>
      </w:r>
      <w:r w:rsidRPr="00737A30">
        <w:rPr>
          <w:rFonts w:cs="Arial"/>
          <w:sz w:val="18"/>
          <w:szCs w:val="18"/>
        </w:rPr>
        <w:t>ong-acting muscarinic antagonists</w:t>
      </w:r>
      <w:r>
        <w:rPr>
          <w:rFonts w:cs="Arial"/>
          <w:sz w:val="18"/>
          <w:szCs w:val="18"/>
        </w:rPr>
        <w:t xml:space="preserve">; </w:t>
      </w:r>
      <w:r w:rsidRPr="00F65502">
        <w:rPr>
          <w:rFonts w:eastAsia="Times New Roman" w:cs="Arial"/>
          <w:sz w:val="18"/>
          <w:szCs w:val="18"/>
        </w:rPr>
        <w:t>S</w:t>
      </w:r>
      <w:r>
        <w:rPr>
          <w:rFonts w:eastAsia="Times New Roman" w:cs="Arial"/>
          <w:sz w:val="18"/>
          <w:szCs w:val="18"/>
        </w:rPr>
        <w:t>ABA, s</w:t>
      </w:r>
      <w:r w:rsidRPr="00F65502">
        <w:rPr>
          <w:rFonts w:eastAsia="Times New Roman" w:cs="Arial"/>
          <w:sz w:val="18"/>
          <w:szCs w:val="18"/>
        </w:rPr>
        <w:t>hort-acting β2-agonists</w:t>
      </w:r>
      <w:r>
        <w:rPr>
          <w:rFonts w:eastAsia="Times New Roman" w:cs="Arial"/>
          <w:sz w:val="18"/>
          <w:szCs w:val="18"/>
        </w:rPr>
        <w:t>; SAMA, short-acting muscarinic antagonists; WHO-ATC, World Health Organization Anatomical Therapeutic Chemical.</w:t>
      </w:r>
    </w:p>
    <w:p w14:paraId="1B54D8B6" w14:textId="0EBE5549" w:rsidR="00895784" w:rsidRPr="00B53DBB" w:rsidRDefault="00895784" w:rsidP="00B53DBB">
      <w:pPr>
        <w:keepNext/>
        <w:keepLines/>
        <w:outlineLvl w:val="2"/>
        <w:rPr>
          <w:rFonts w:eastAsiaTheme="majorEastAsia" w:cstheme="majorBidi"/>
          <w:b/>
          <w:bCs/>
          <w:vanish/>
          <w:color w:val="000000" w:themeColor="text1"/>
          <w:szCs w:val="20"/>
          <w:lang w:eastAsia="ja-JP"/>
        </w:rPr>
      </w:pPr>
      <w:r w:rsidRPr="0057071B">
        <w:rPr>
          <w:rFonts w:eastAsiaTheme="majorEastAsia" w:cstheme="majorBidi"/>
          <w:b/>
          <w:bCs/>
          <w:color w:val="000000" w:themeColor="text1"/>
          <w:szCs w:val="20"/>
          <w:lang w:eastAsia="ja-JP"/>
        </w:rPr>
        <w:lastRenderedPageBreak/>
        <w:t xml:space="preserve">Supplementary Table </w:t>
      </w:r>
      <w:r>
        <w:rPr>
          <w:rFonts w:eastAsiaTheme="majorEastAsia" w:cstheme="majorBidi"/>
          <w:b/>
          <w:bCs/>
          <w:color w:val="000000" w:themeColor="text1"/>
          <w:szCs w:val="20"/>
          <w:lang w:eastAsia="ja-JP"/>
        </w:rPr>
        <w:t>3</w:t>
      </w:r>
      <w:r w:rsidR="00997A53">
        <w:rPr>
          <w:rFonts w:eastAsiaTheme="majorEastAsia" w:cstheme="majorBidi"/>
          <w:b/>
          <w:bCs/>
          <w:vanish/>
          <w:color w:val="000000" w:themeColor="text1"/>
          <w:szCs w:val="20"/>
          <w:lang w:eastAsia="ja-JP"/>
        </w:rPr>
        <w:t xml:space="preserve"> </w:t>
      </w:r>
      <w:r w:rsidRPr="00B53DBB">
        <w:rPr>
          <w:b/>
          <w:bCs/>
        </w:rPr>
        <w:t>Charleston Comorbidity Index items at baseline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985"/>
        <w:gridCol w:w="1984"/>
        <w:gridCol w:w="1984"/>
        <w:gridCol w:w="1985"/>
        <w:gridCol w:w="1701"/>
      </w:tblGrid>
      <w:tr w:rsidR="00895784" w:rsidRPr="00737A30" w14:paraId="17E4D390" w14:textId="77777777" w:rsidTr="00951116">
        <w:trPr>
          <w:trHeight w:val="23"/>
        </w:trPr>
        <w:tc>
          <w:tcPr>
            <w:tcW w:w="3402" w:type="dxa"/>
            <w:vMerge w:val="restart"/>
            <w:tcBorders>
              <w:top w:val="single" w:sz="4" w:space="0" w:color="auto"/>
            </w:tcBorders>
            <w:hideMark/>
          </w:tcPr>
          <w:p w14:paraId="210A8A52" w14:textId="77777777" w:rsidR="00895784" w:rsidRPr="00737A30" w:rsidRDefault="00895784" w:rsidP="00951116">
            <w:pPr>
              <w:widowControl/>
              <w:spacing w:before="0" w:beforeAutospacing="0" w:after="0" w:afterAutospacing="0" w:line="276" w:lineRule="auto"/>
              <w:rPr>
                <w:rFonts w:cs="Arial"/>
                <w:b/>
                <w:bCs/>
                <w:sz w:val="18"/>
                <w:szCs w:val="18"/>
              </w:rPr>
            </w:pPr>
            <w:r>
              <w:rPr>
                <w:rFonts w:cs="Arial"/>
                <w:b/>
                <w:bCs/>
                <w:sz w:val="18"/>
                <w:szCs w:val="18"/>
              </w:rPr>
              <w:t>Component, n (%)</w:t>
            </w:r>
          </w:p>
        </w:tc>
        <w:tc>
          <w:tcPr>
            <w:tcW w:w="1985" w:type="dxa"/>
            <w:vMerge w:val="restart"/>
            <w:tcBorders>
              <w:top w:val="single" w:sz="4" w:space="0" w:color="auto"/>
            </w:tcBorders>
            <w:hideMark/>
          </w:tcPr>
          <w:p w14:paraId="2C693B37" w14:textId="77777777" w:rsidR="00895784" w:rsidRPr="00737A30" w:rsidRDefault="00895784" w:rsidP="00951116">
            <w:pPr>
              <w:widowControl/>
              <w:spacing w:before="0" w:beforeAutospacing="0" w:after="0" w:afterAutospacing="0" w:line="276" w:lineRule="auto"/>
              <w:jc w:val="center"/>
              <w:rPr>
                <w:rFonts w:cs="Arial"/>
                <w:sz w:val="18"/>
                <w:szCs w:val="18"/>
              </w:rPr>
            </w:pPr>
            <w:r w:rsidRPr="00737A30">
              <w:rPr>
                <w:rFonts w:cs="Arial"/>
                <w:b/>
                <w:bCs/>
                <w:sz w:val="18"/>
                <w:szCs w:val="18"/>
              </w:rPr>
              <w:t>Total</w:t>
            </w:r>
            <w:r w:rsidRPr="00737A30">
              <w:rPr>
                <w:rFonts w:cs="Arial"/>
                <w:b/>
                <w:bCs/>
                <w:sz w:val="18"/>
                <w:szCs w:val="18"/>
              </w:rPr>
              <w:br/>
              <w:t>(n=10,321)</w:t>
            </w:r>
          </w:p>
        </w:tc>
        <w:tc>
          <w:tcPr>
            <w:tcW w:w="5953" w:type="dxa"/>
            <w:gridSpan w:val="3"/>
            <w:tcBorders>
              <w:top w:val="single" w:sz="4" w:space="0" w:color="auto"/>
            </w:tcBorders>
            <w:noWrap/>
            <w:hideMark/>
          </w:tcPr>
          <w:p w14:paraId="5C117523" w14:textId="77777777" w:rsidR="00895784" w:rsidRPr="00737A30" w:rsidRDefault="00895784" w:rsidP="00951116">
            <w:pPr>
              <w:widowControl/>
              <w:spacing w:before="0" w:beforeAutospacing="0" w:after="0" w:afterAutospacing="0" w:line="276" w:lineRule="auto"/>
              <w:jc w:val="center"/>
              <w:rPr>
                <w:rFonts w:cs="Arial"/>
                <w:b/>
                <w:bCs/>
                <w:sz w:val="18"/>
                <w:szCs w:val="18"/>
              </w:rPr>
            </w:pPr>
            <w:r w:rsidRPr="00737A30">
              <w:rPr>
                <w:rFonts w:cs="Arial"/>
                <w:b/>
                <w:bCs/>
                <w:sz w:val="18"/>
                <w:szCs w:val="18"/>
              </w:rPr>
              <w:t>Type 2 inflammation status</w:t>
            </w:r>
          </w:p>
        </w:tc>
        <w:tc>
          <w:tcPr>
            <w:tcW w:w="1701" w:type="dxa"/>
            <w:vMerge w:val="restart"/>
            <w:tcBorders>
              <w:top w:val="single" w:sz="4" w:space="0" w:color="auto"/>
              <w:bottom w:val="single" w:sz="4" w:space="0" w:color="auto"/>
            </w:tcBorders>
          </w:tcPr>
          <w:p w14:paraId="24C7967C" w14:textId="77777777" w:rsidR="00895784" w:rsidRPr="00737A30" w:rsidRDefault="00895784" w:rsidP="00951116">
            <w:pPr>
              <w:widowControl/>
              <w:spacing w:before="0" w:beforeAutospacing="0" w:after="0" w:afterAutospacing="0" w:line="276" w:lineRule="auto"/>
              <w:jc w:val="center"/>
              <w:rPr>
                <w:rFonts w:cs="Arial"/>
                <w:b/>
                <w:bCs/>
                <w:sz w:val="18"/>
                <w:szCs w:val="18"/>
              </w:rPr>
            </w:pPr>
            <w:r>
              <w:rPr>
                <w:rFonts w:cs="Arial"/>
                <w:b/>
                <w:bCs/>
                <w:sz w:val="18"/>
                <w:szCs w:val="18"/>
              </w:rPr>
              <w:t>p-</w:t>
            </w:r>
            <w:proofErr w:type="spellStart"/>
            <w:r>
              <w:rPr>
                <w:rFonts w:cs="Arial"/>
                <w:b/>
                <w:bCs/>
                <w:sz w:val="18"/>
                <w:szCs w:val="18"/>
              </w:rPr>
              <w:t>value</w:t>
            </w:r>
            <w:r w:rsidRPr="00380AB0">
              <w:rPr>
                <w:rFonts w:cs="Arial"/>
                <w:b/>
                <w:bCs/>
                <w:sz w:val="18"/>
                <w:szCs w:val="18"/>
                <w:vertAlign w:val="superscript"/>
              </w:rPr>
              <w:t>a</w:t>
            </w:r>
            <w:proofErr w:type="spellEnd"/>
          </w:p>
        </w:tc>
      </w:tr>
      <w:tr w:rsidR="00895784" w:rsidRPr="00737A30" w14:paraId="269F5905" w14:textId="77777777" w:rsidTr="00951116">
        <w:trPr>
          <w:trHeight w:val="23"/>
        </w:trPr>
        <w:tc>
          <w:tcPr>
            <w:tcW w:w="3402" w:type="dxa"/>
            <w:vMerge/>
            <w:tcBorders>
              <w:bottom w:val="single" w:sz="4" w:space="0" w:color="auto"/>
            </w:tcBorders>
          </w:tcPr>
          <w:p w14:paraId="4094FDD9" w14:textId="77777777" w:rsidR="00895784" w:rsidRPr="00737A30" w:rsidRDefault="00895784" w:rsidP="00951116">
            <w:pPr>
              <w:widowControl/>
              <w:spacing w:before="0" w:beforeAutospacing="0" w:after="0" w:afterAutospacing="0" w:line="276" w:lineRule="auto"/>
              <w:rPr>
                <w:rFonts w:cs="Arial"/>
                <w:b/>
                <w:bCs/>
                <w:sz w:val="18"/>
                <w:szCs w:val="18"/>
              </w:rPr>
            </w:pPr>
          </w:p>
        </w:tc>
        <w:tc>
          <w:tcPr>
            <w:tcW w:w="1985" w:type="dxa"/>
            <w:vMerge/>
            <w:tcBorders>
              <w:bottom w:val="single" w:sz="4" w:space="0" w:color="auto"/>
            </w:tcBorders>
          </w:tcPr>
          <w:p w14:paraId="2EDB5310" w14:textId="77777777" w:rsidR="00895784" w:rsidRPr="00737A30" w:rsidRDefault="00895784" w:rsidP="00951116">
            <w:pPr>
              <w:widowControl/>
              <w:spacing w:before="0" w:beforeAutospacing="0" w:after="0" w:afterAutospacing="0" w:line="276" w:lineRule="auto"/>
              <w:jc w:val="center"/>
              <w:rPr>
                <w:rFonts w:cs="Arial"/>
                <w:b/>
                <w:bCs/>
                <w:sz w:val="18"/>
                <w:szCs w:val="18"/>
              </w:rPr>
            </w:pPr>
          </w:p>
        </w:tc>
        <w:tc>
          <w:tcPr>
            <w:tcW w:w="1984" w:type="dxa"/>
            <w:tcBorders>
              <w:bottom w:val="single" w:sz="4" w:space="0" w:color="auto"/>
            </w:tcBorders>
            <w:noWrap/>
            <w:hideMark/>
          </w:tcPr>
          <w:p w14:paraId="2F0E4F80" w14:textId="77777777" w:rsidR="00895784" w:rsidRPr="00737A30" w:rsidRDefault="00895784" w:rsidP="00951116">
            <w:pPr>
              <w:widowControl/>
              <w:spacing w:before="0" w:beforeAutospacing="0" w:after="0" w:afterAutospacing="0" w:line="276" w:lineRule="auto"/>
              <w:jc w:val="center"/>
              <w:rPr>
                <w:rFonts w:cs="Arial"/>
                <w:b/>
                <w:bCs/>
                <w:sz w:val="18"/>
                <w:szCs w:val="18"/>
              </w:rPr>
            </w:pPr>
            <w:r w:rsidRPr="00737A30">
              <w:rPr>
                <w:rFonts w:cs="Arial"/>
                <w:b/>
                <w:bCs/>
                <w:sz w:val="18"/>
                <w:szCs w:val="18"/>
              </w:rPr>
              <w:t>Low</w:t>
            </w:r>
            <w:r w:rsidRPr="00737A30">
              <w:rPr>
                <w:rFonts w:cs="Arial"/>
                <w:b/>
                <w:bCs/>
                <w:sz w:val="18"/>
                <w:szCs w:val="18"/>
              </w:rPr>
              <w:br/>
              <w:t>(n=1,423)</w:t>
            </w:r>
          </w:p>
        </w:tc>
        <w:tc>
          <w:tcPr>
            <w:tcW w:w="1984" w:type="dxa"/>
            <w:tcBorders>
              <w:bottom w:val="single" w:sz="4" w:space="0" w:color="auto"/>
            </w:tcBorders>
            <w:noWrap/>
            <w:hideMark/>
          </w:tcPr>
          <w:p w14:paraId="530CAE4D" w14:textId="77777777" w:rsidR="00895784" w:rsidRPr="00737A30" w:rsidRDefault="00895784" w:rsidP="00951116">
            <w:pPr>
              <w:widowControl/>
              <w:spacing w:before="0" w:beforeAutospacing="0" w:after="0" w:afterAutospacing="0" w:line="276" w:lineRule="auto"/>
              <w:jc w:val="center"/>
              <w:rPr>
                <w:rFonts w:cs="Arial"/>
                <w:b/>
                <w:bCs/>
                <w:sz w:val="18"/>
                <w:szCs w:val="18"/>
              </w:rPr>
            </w:pPr>
            <w:r w:rsidRPr="00737A30">
              <w:rPr>
                <w:rFonts w:cs="Arial"/>
                <w:b/>
                <w:bCs/>
                <w:sz w:val="18"/>
                <w:szCs w:val="18"/>
              </w:rPr>
              <w:t>Intermediate</w:t>
            </w:r>
            <w:r w:rsidRPr="00737A30">
              <w:rPr>
                <w:rFonts w:cs="Arial"/>
                <w:b/>
                <w:bCs/>
                <w:sz w:val="18"/>
                <w:szCs w:val="18"/>
              </w:rPr>
              <w:br/>
              <w:t>(n=4,895)</w:t>
            </w:r>
          </w:p>
        </w:tc>
        <w:tc>
          <w:tcPr>
            <w:tcW w:w="1985" w:type="dxa"/>
            <w:tcBorders>
              <w:bottom w:val="single" w:sz="4" w:space="0" w:color="auto"/>
            </w:tcBorders>
            <w:noWrap/>
            <w:hideMark/>
          </w:tcPr>
          <w:p w14:paraId="2887A0C8" w14:textId="77777777" w:rsidR="00895784" w:rsidRPr="00737A30" w:rsidRDefault="00895784" w:rsidP="00951116">
            <w:pPr>
              <w:widowControl/>
              <w:spacing w:before="0" w:beforeAutospacing="0" w:after="0" w:afterAutospacing="0" w:line="276" w:lineRule="auto"/>
              <w:jc w:val="center"/>
              <w:rPr>
                <w:rFonts w:cs="Arial"/>
                <w:b/>
                <w:bCs/>
                <w:sz w:val="18"/>
                <w:szCs w:val="18"/>
              </w:rPr>
            </w:pPr>
            <w:r w:rsidRPr="00737A30">
              <w:rPr>
                <w:rFonts w:cs="Arial"/>
                <w:b/>
                <w:bCs/>
                <w:sz w:val="18"/>
                <w:szCs w:val="18"/>
              </w:rPr>
              <w:t>High</w:t>
            </w:r>
            <w:r w:rsidRPr="00737A30">
              <w:rPr>
                <w:rFonts w:cs="Arial"/>
                <w:b/>
                <w:bCs/>
                <w:sz w:val="18"/>
                <w:szCs w:val="18"/>
              </w:rPr>
              <w:br/>
              <w:t>(n=4,003)</w:t>
            </w:r>
          </w:p>
        </w:tc>
        <w:tc>
          <w:tcPr>
            <w:tcW w:w="1701" w:type="dxa"/>
            <w:vMerge/>
            <w:tcBorders>
              <w:bottom w:val="single" w:sz="4" w:space="0" w:color="auto"/>
            </w:tcBorders>
          </w:tcPr>
          <w:p w14:paraId="762FE634" w14:textId="77777777" w:rsidR="00895784" w:rsidRPr="00737A30" w:rsidRDefault="00895784" w:rsidP="00951116">
            <w:pPr>
              <w:widowControl/>
              <w:spacing w:before="0" w:beforeAutospacing="0" w:after="0" w:afterAutospacing="0" w:line="276" w:lineRule="auto"/>
              <w:jc w:val="center"/>
              <w:rPr>
                <w:rFonts w:cs="Arial"/>
                <w:b/>
                <w:bCs/>
                <w:sz w:val="18"/>
                <w:szCs w:val="18"/>
              </w:rPr>
            </w:pPr>
          </w:p>
        </w:tc>
      </w:tr>
      <w:tr w:rsidR="00895784" w:rsidRPr="00737A30" w14:paraId="409AB7C3" w14:textId="77777777" w:rsidTr="00951116">
        <w:trPr>
          <w:trHeight w:val="23"/>
        </w:trPr>
        <w:tc>
          <w:tcPr>
            <w:tcW w:w="3402" w:type="dxa"/>
          </w:tcPr>
          <w:p w14:paraId="4A26DFAB" w14:textId="77777777" w:rsidR="00895784" w:rsidRPr="00737A30" w:rsidRDefault="00895784" w:rsidP="00951116">
            <w:pPr>
              <w:widowControl/>
              <w:spacing w:before="0" w:beforeAutospacing="0" w:after="0" w:afterAutospacing="0" w:line="276" w:lineRule="auto"/>
              <w:rPr>
                <w:rFonts w:cs="Arial"/>
                <w:sz w:val="18"/>
                <w:szCs w:val="18"/>
              </w:rPr>
            </w:pPr>
            <w:r w:rsidRPr="000B22A0">
              <w:rPr>
                <w:rFonts w:cs="Arial"/>
                <w:sz w:val="18"/>
                <w:szCs w:val="18"/>
              </w:rPr>
              <w:t>Myocardial infarction</w:t>
            </w:r>
          </w:p>
        </w:tc>
        <w:tc>
          <w:tcPr>
            <w:tcW w:w="1985" w:type="dxa"/>
          </w:tcPr>
          <w:p w14:paraId="505F8E91" w14:textId="77777777" w:rsidR="00895784" w:rsidRPr="009828AD" w:rsidRDefault="00895784" w:rsidP="00951116">
            <w:pPr>
              <w:widowControl/>
              <w:spacing w:before="0" w:beforeAutospacing="0" w:after="0" w:afterAutospacing="0" w:line="276" w:lineRule="auto"/>
              <w:jc w:val="center"/>
              <w:rPr>
                <w:rFonts w:cs="Arial"/>
                <w:sz w:val="18"/>
                <w:szCs w:val="18"/>
              </w:rPr>
            </w:pPr>
            <w:r w:rsidRPr="00380AB0">
              <w:rPr>
                <w:sz w:val="18"/>
                <w:szCs w:val="18"/>
              </w:rPr>
              <w:t>833 (8.1)</w:t>
            </w:r>
          </w:p>
        </w:tc>
        <w:tc>
          <w:tcPr>
            <w:tcW w:w="1984" w:type="dxa"/>
          </w:tcPr>
          <w:p w14:paraId="7CED3CA5" w14:textId="77777777" w:rsidR="00895784" w:rsidRPr="009828AD" w:rsidRDefault="00895784" w:rsidP="00951116">
            <w:pPr>
              <w:widowControl/>
              <w:spacing w:before="0" w:beforeAutospacing="0" w:after="0" w:afterAutospacing="0" w:line="276" w:lineRule="auto"/>
              <w:jc w:val="center"/>
              <w:rPr>
                <w:rFonts w:cs="Arial"/>
                <w:sz w:val="18"/>
                <w:szCs w:val="18"/>
              </w:rPr>
            </w:pPr>
            <w:r w:rsidRPr="00380AB0">
              <w:rPr>
                <w:sz w:val="18"/>
                <w:szCs w:val="18"/>
              </w:rPr>
              <w:t>65 (4.6)</w:t>
            </w:r>
          </w:p>
        </w:tc>
        <w:tc>
          <w:tcPr>
            <w:tcW w:w="1984" w:type="dxa"/>
          </w:tcPr>
          <w:p w14:paraId="343C7C54" w14:textId="77777777" w:rsidR="00895784" w:rsidRPr="009828AD" w:rsidRDefault="00895784" w:rsidP="00951116">
            <w:pPr>
              <w:widowControl/>
              <w:spacing w:before="0" w:beforeAutospacing="0" w:after="0" w:afterAutospacing="0" w:line="276" w:lineRule="auto"/>
              <w:jc w:val="center"/>
              <w:rPr>
                <w:rFonts w:cs="Arial"/>
                <w:sz w:val="18"/>
                <w:szCs w:val="18"/>
              </w:rPr>
            </w:pPr>
            <w:r w:rsidRPr="00380AB0">
              <w:rPr>
                <w:sz w:val="18"/>
                <w:szCs w:val="18"/>
              </w:rPr>
              <w:t>367 (7.5)</w:t>
            </w:r>
          </w:p>
        </w:tc>
        <w:tc>
          <w:tcPr>
            <w:tcW w:w="1985" w:type="dxa"/>
          </w:tcPr>
          <w:p w14:paraId="0F7A7C0F" w14:textId="77777777" w:rsidR="00895784" w:rsidRPr="009828AD" w:rsidRDefault="00895784" w:rsidP="00951116">
            <w:pPr>
              <w:widowControl/>
              <w:spacing w:before="0" w:beforeAutospacing="0" w:after="0" w:afterAutospacing="0" w:line="276" w:lineRule="auto"/>
              <w:jc w:val="center"/>
              <w:rPr>
                <w:rFonts w:cs="Arial"/>
                <w:sz w:val="18"/>
                <w:szCs w:val="18"/>
              </w:rPr>
            </w:pPr>
            <w:r w:rsidRPr="00380AB0">
              <w:rPr>
                <w:sz w:val="18"/>
                <w:szCs w:val="18"/>
              </w:rPr>
              <w:t>401 (10.0)</w:t>
            </w:r>
          </w:p>
        </w:tc>
        <w:tc>
          <w:tcPr>
            <w:tcW w:w="1701" w:type="dxa"/>
          </w:tcPr>
          <w:p w14:paraId="68F6013F" w14:textId="77777777" w:rsidR="00895784" w:rsidRPr="00737A30" w:rsidRDefault="00895784" w:rsidP="00951116">
            <w:pPr>
              <w:widowControl/>
              <w:spacing w:before="0" w:beforeAutospacing="0" w:after="0" w:afterAutospacing="0" w:line="276" w:lineRule="auto"/>
              <w:jc w:val="center"/>
              <w:rPr>
                <w:rFonts w:cs="Arial"/>
                <w:sz w:val="18"/>
                <w:szCs w:val="18"/>
              </w:rPr>
            </w:pPr>
            <w:r w:rsidRPr="000A3013">
              <w:rPr>
                <w:rFonts w:cs="Arial"/>
                <w:sz w:val="18"/>
                <w:szCs w:val="18"/>
              </w:rPr>
              <w:t>&lt;0.001</w:t>
            </w:r>
          </w:p>
        </w:tc>
      </w:tr>
      <w:tr w:rsidR="00895784" w:rsidRPr="00737A30" w14:paraId="467CE348" w14:textId="77777777" w:rsidTr="00951116">
        <w:trPr>
          <w:trHeight w:val="23"/>
        </w:trPr>
        <w:tc>
          <w:tcPr>
            <w:tcW w:w="3402" w:type="dxa"/>
          </w:tcPr>
          <w:p w14:paraId="0A888092" w14:textId="77777777" w:rsidR="00895784" w:rsidRPr="00737A30" w:rsidRDefault="00895784" w:rsidP="00951116">
            <w:pPr>
              <w:widowControl/>
              <w:spacing w:before="0" w:beforeAutospacing="0" w:after="0" w:afterAutospacing="0" w:line="276" w:lineRule="auto"/>
              <w:rPr>
                <w:rFonts w:cs="Arial"/>
                <w:sz w:val="18"/>
                <w:szCs w:val="18"/>
              </w:rPr>
            </w:pPr>
            <w:r w:rsidRPr="000B22A0">
              <w:rPr>
                <w:rFonts w:cs="Arial"/>
                <w:sz w:val="18"/>
                <w:szCs w:val="18"/>
              </w:rPr>
              <w:t>Congestive heart failure</w:t>
            </w:r>
          </w:p>
        </w:tc>
        <w:tc>
          <w:tcPr>
            <w:tcW w:w="1985" w:type="dxa"/>
          </w:tcPr>
          <w:p w14:paraId="31B91484" w14:textId="77777777" w:rsidR="00895784" w:rsidRPr="00737A30" w:rsidRDefault="00895784" w:rsidP="00951116">
            <w:pPr>
              <w:widowControl/>
              <w:spacing w:before="0" w:beforeAutospacing="0" w:after="0" w:afterAutospacing="0" w:line="276" w:lineRule="auto"/>
              <w:jc w:val="center"/>
              <w:rPr>
                <w:rFonts w:cs="Arial"/>
                <w:sz w:val="18"/>
                <w:szCs w:val="18"/>
              </w:rPr>
            </w:pPr>
            <w:r w:rsidRPr="004F5DEA">
              <w:rPr>
                <w:rFonts w:cs="Arial"/>
                <w:sz w:val="18"/>
                <w:szCs w:val="18"/>
              </w:rPr>
              <w:t>3,586 (34.7)</w:t>
            </w:r>
          </w:p>
        </w:tc>
        <w:tc>
          <w:tcPr>
            <w:tcW w:w="1984" w:type="dxa"/>
          </w:tcPr>
          <w:p w14:paraId="2454DDA1" w14:textId="77777777" w:rsidR="00895784" w:rsidRPr="00737A30" w:rsidRDefault="00895784" w:rsidP="00951116">
            <w:pPr>
              <w:widowControl/>
              <w:spacing w:before="0" w:beforeAutospacing="0" w:after="0" w:afterAutospacing="0" w:line="276" w:lineRule="auto"/>
              <w:jc w:val="center"/>
              <w:rPr>
                <w:rFonts w:cs="Arial"/>
                <w:sz w:val="18"/>
                <w:szCs w:val="18"/>
              </w:rPr>
            </w:pPr>
            <w:r w:rsidRPr="004F5DEA">
              <w:rPr>
                <w:rFonts w:cs="Arial"/>
                <w:sz w:val="18"/>
                <w:szCs w:val="18"/>
              </w:rPr>
              <w:t>434 (30.5)</w:t>
            </w:r>
          </w:p>
        </w:tc>
        <w:tc>
          <w:tcPr>
            <w:tcW w:w="1984" w:type="dxa"/>
          </w:tcPr>
          <w:p w14:paraId="66C71C83" w14:textId="77777777" w:rsidR="00895784" w:rsidRPr="00737A30" w:rsidRDefault="00895784" w:rsidP="00951116">
            <w:pPr>
              <w:widowControl/>
              <w:spacing w:before="0" w:beforeAutospacing="0" w:after="0" w:afterAutospacing="0" w:line="276" w:lineRule="auto"/>
              <w:jc w:val="center"/>
              <w:rPr>
                <w:rFonts w:cs="Arial"/>
                <w:sz w:val="18"/>
                <w:szCs w:val="18"/>
              </w:rPr>
            </w:pPr>
            <w:r w:rsidRPr="004F5DEA">
              <w:rPr>
                <w:rFonts w:cs="Arial"/>
                <w:sz w:val="18"/>
                <w:szCs w:val="18"/>
              </w:rPr>
              <w:t>1,664 (34.0)</w:t>
            </w:r>
          </w:p>
        </w:tc>
        <w:tc>
          <w:tcPr>
            <w:tcW w:w="1985" w:type="dxa"/>
          </w:tcPr>
          <w:p w14:paraId="7F9DC22D" w14:textId="77777777" w:rsidR="00895784" w:rsidRPr="00737A30" w:rsidRDefault="00895784" w:rsidP="00951116">
            <w:pPr>
              <w:widowControl/>
              <w:spacing w:before="0" w:beforeAutospacing="0" w:after="0" w:afterAutospacing="0" w:line="276" w:lineRule="auto"/>
              <w:jc w:val="center"/>
              <w:rPr>
                <w:rFonts w:cs="Arial"/>
                <w:sz w:val="18"/>
                <w:szCs w:val="18"/>
              </w:rPr>
            </w:pPr>
            <w:r w:rsidRPr="004F5DEA">
              <w:rPr>
                <w:rFonts w:cs="Arial"/>
                <w:sz w:val="18"/>
                <w:szCs w:val="18"/>
              </w:rPr>
              <w:t>1,488 (37.2)</w:t>
            </w:r>
          </w:p>
        </w:tc>
        <w:tc>
          <w:tcPr>
            <w:tcW w:w="1701" w:type="dxa"/>
          </w:tcPr>
          <w:p w14:paraId="622F2A76" w14:textId="77777777" w:rsidR="00895784" w:rsidRPr="00737A30" w:rsidRDefault="00895784" w:rsidP="00951116">
            <w:pPr>
              <w:widowControl/>
              <w:spacing w:before="0" w:beforeAutospacing="0" w:after="0" w:afterAutospacing="0" w:line="276" w:lineRule="auto"/>
              <w:jc w:val="center"/>
              <w:rPr>
                <w:rFonts w:cs="Arial"/>
                <w:sz w:val="18"/>
                <w:szCs w:val="18"/>
              </w:rPr>
            </w:pPr>
            <w:r w:rsidRPr="004F5DEA">
              <w:rPr>
                <w:rFonts w:cs="Arial"/>
                <w:sz w:val="18"/>
                <w:szCs w:val="18"/>
              </w:rPr>
              <w:t>&lt;0.001</w:t>
            </w:r>
          </w:p>
        </w:tc>
      </w:tr>
      <w:tr w:rsidR="00895784" w:rsidRPr="00737A30" w14:paraId="1696A1ED" w14:textId="77777777" w:rsidTr="00951116">
        <w:trPr>
          <w:trHeight w:val="23"/>
        </w:trPr>
        <w:tc>
          <w:tcPr>
            <w:tcW w:w="3402" w:type="dxa"/>
          </w:tcPr>
          <w:p w14:paraId="40282902" w14:textId="77777777" w:rsidR="00895784" w:rsidRPr="00737A30" w:rsidRDefault="00895784" w:rsidP="00951116">
            <w:pPr>
              <w:widowControl/>
              <w:spacing w:before="0" w:beforeAutospacing="0" w:after="0" w:afterAutospacing="0" w:line="276" w:lineRule="auto"/>
              <w:rPr>
                <w:rFonts w:cs="Arial"/>
                <w:sz w:val="18"/>
                <w:szCs w:val="18"/>
              </w:rPr>
            </w:pPr>
            <w:r w:rsidRPr="000B22A0">
              <w:rPr>
                <w:rFonts w:cs="Arial"/>
                <w:sz w:val="18"/>
                <w:szCs w:val="18"/>
              </w:rPr>
              <w:t>Peripheral vascular disease</w:t>
            </w:r>
          </w:p>
        </w:tc>
        <w:tc>
          <w:tcPr>
            <w:tcW w:w="1985" w:type="dxa"/>
          </w:tcPr>
          <w:p w14:paraId="5FBA021F" w14:textId="77777777" w:rsidR="00895784" w:rsidRPr="00737A30" w:rsidRDefault="00895784" w:rsidP="00951116">
            <w:pPr>
              <w:widowControl/>
              <w:spacing w:before="0" w:beforeAutospacing="0" w:after="0" w:afterAutospacing="0" w:line="276" w:lineRule="auto"/>
              <w:jc w:val="center"/>
              <w:rPr>
                <w:rFonts w:cs="Arial"/>
                <w:sz w:val="18"/>
                <w:szCs w:val="18"/>
              </w:rPr>
            </w:pPr>
            <w:r w:rsidRPr="0017726A">
              <w:rPr>
                <w:rFonts w:cs="Arial"/>
                <w:sz w:val="18"/>
                <w:szCs w:val="18"/>
              </w:rPr>
              <w:t>2,008 (19.5)</w:t>
            </w:r>
          </w:p>
        </w:tc>
        <w:tc>
          <w:tcPr>
            <w:tcW w:w="1984" w:type="dxa"/>
          </w:tcPr>
          <w:p w14:paraId="7DF05BA4" w14:textId="77777777" w:rsidR="00895784" w:rsidRPr="00737A30" w:rsidRDefault="00895784" w:rsidP="00951116">
            <w:pPr>
              <w:widowControl/>
              <w:spacing w:before="0" w:beforeAutospacing="0" w:after="0" w:afterAutospacing="0" w:line="276" w:lineRule="auto"/>
              <w:jc w:val="center"/>
              <w:rPr>
                <w:rFonts w:cs="Arial"/>
                <w:sz w:val="18"/>
                <w:szCs w:val="18"/>
              </w:rPr>
            </w:pPr>
            <w:r w:rsidRPr="0017726A">
              <w:rPr>
                <w:rFonts w:cs="Arial"/>
                <w:sz w:val="18"/>
                <w:szCs w:val="18"/>
              </w:rPr>
              <w:t>227 (16.0)</w:t>
            </w:r>
          </w:p>
        </w:tc>
        <w:tc>
          <w:tcPr>
            <w:tcW w:w="1984" w:type="dxa"/>
          </w:tcPr>
          <w:p w14:paraId="08F89080" w14:textId="77777777" w:rsidR="00895784" w:rsidRPr="00737A30" w:rsidRDefault="00895784" w:rsidP="00951116">
            <w:pPr>
              <w:widowControl/>
              <w:spacing w:before="0" w:beforeAutospacing="0" w:after="0" w:afterAutospacing="0" w:line="276" w:lineRule="auto"/>
              <w:jc w:val="center"/>
              <w:rPr>
                <w:rFonts w:cs="Arial"/>
                <w:sz w:val="18"/>
                <w:szCs w:val="18"/>
              </w:rPr>
            </w:pPr>
            <w:r w:rsidRPr="0017726A">
              <w:rPr>
                <w:rFonts w:cs="Arial"/>
                <w:sz w:val="18"/>
                <w:szCs w:val="18"/>
              </w:rPr>
              <w:t>935 (19.1)</w:t>
            </w:r>
          </w:p>
        </w:tc>
        <w:tc>
          <w:tcPr>
            <w:tcW w:w="1985" w:type="dxa"/>
          </w:tcPr>
          <w:p w14:paraId="42CC43F5" w14:textId="77777777" w:rsidR="00895784" w:rsidRPr="00737A30" w:rsidRDefault="00895784" w:rsidP="00951116">
            <w:pPr>
              <w:widowControl/>
              <w:spacing w:before="0" w:beforeAutospacing="0" w:after="0" w:afterAutospacing="0" w:line="276" w:lineRule="auto"/>
              <w:jc w:val="center"/>
              <w:rPr>
                <w:rFonts w:cs="Arial"/>
                <w:sz w:val="18"/>
                <w:szCs w:val="18"/>
              </w:rPr>
            </w:pPr>
            <w:r w:rsidRPr="0017726A">
              <w:rPr>
                <w:rFonts w:cs="Arial"/>
                <w:sz w:val="18"/>
                <w:szCs w:val="18"/>
              </w:rPr>
              <w:t>846 (21.1)</w:t>
            </w:r>
          </w:p>
        </w:tc>
        <w:tc>
          <w:tcPr>
            <w:tcW w:w="1701" w:type="dxa"/>
          </w:tcPr>
          <w:p w14:paraId="3157F675" w14:textId="77777777" w:rsidR="00895784" w:rsidRPr="00737A30" w:rsidRDefault="00895784" w:rsidP="00951116">
            <w:pPr>
              <w:widowControl/>
              <w:spacing w:before="0" w:beforeAutospacing="0" w:after="0" w:afterAutospacing="0" w:line="276" w:lineRule="auto"/>
              <w:jc w:val="center"/>
              <w:rPr>
                <w:rFonts w:cs="Arial"/>
                <w:sz w:val="18"/>
                <w:szCs w:val="18"/>
              </w:rPr>
            </w:pPr>
            <w:r w:rsidRPr="004F5DEA">
              <w:rPr>
                <w:rFonts w:cs="Arial"/>
                <w:sz w:val="18"/>
                <w:szCs w:val="18"/>
              </w:rPr>
              <w:t>&lt;0.001</w:t>
            </w:r>
          </w:p>
        </w:tc>
      </w:tr>
      <w:tr w:rsidR="00895784" w:rsidRPr="00737A30" w14:paraId="611347BC" w14:textId="77777777" w:rsidTr="00951116">
        <w:trPr>
          <w:trHeight w:val="23"/>
        </w:trPr>
        <w:tc>
          <w:tcPr>
            <w:tcW w:w="3402" w:type="dxa"/>
          </w:tcPr>
          <w:p w14:paraId="2BCEB626" w14:textId="77777777" w:rsidR="00895784" w:rsidRPr="00737A30" w:rsidRDefault="00895784" w:rsidP="00951116">
            <w:pPr>
              <w:widowControl/>
              <w:spacing w:before="0" w:beforeAutospacing="0" w:after="0" w:afterAutospacing="0" w:line="276" w:lineRule="auto"/>
              <w:rPr>
                <w:rFonts w:cs="Arial"/>
                <w:sz w:val="18"/>
                <w:szCs w:val="18"/>
              </w:rPr>
            </w:pPr>
            <w:r w:rsidRPr="006347D9">
              <w:rPr>
                <w:rFonts w:cs="Arial"/>
                <w:sz w:val="18"/>
                <w:szCs w:val="18"/>
              </w:rPr>
              <w:t>Cerebrovascular disease</w:t>
            </w:r>
          </w:p>
        </w:tc>
        <w:tc>
          <w:tcPr>
            <w:tcW w:w="1985" w:type="dxa"/>
          </w:tcPr>
          <w:p w14:paraId="342E9A5C" w14:textId="77777777" w:rsidR="00895784" w:rsidRPr="00737A30" w:rsidRDefault="00895784" w:rsidP="00951116">
            <w:pPr>
              <w:widowControl/>
              <w:spacing w:before="0" w:beforeAutospacing="0" w:after="0" w:afterAutospacing="0" w:line="276" w:lineRule="auto"/>
              <w:jc w:val="center"/>
              <w:rPr>
                <w:rFonts w:cs="Arial"/>
                <w:sz w:val="18"/>
                <w:szCs w:val="18"/>
              </w:rPr>
            </w:pPr>
            <w:r w:rsidRPr="00E50E4F">
              <w:rPr>
                <w:rFonts w:cs="Arial"/>
                <w:sz w:val="18"/>
                <w:szCs w:val="18"/>
              </w:rPr>
              <w:t>2,843 (27.5)</w:t>
            </w:r>
          </w:p>
        </w:tc>
        <w:tc>
          <w:tcPr>
            <w:tcW w:w="1984" w:type="dxa"/>
          </w:tcPr>
          <w:p w14:paraId="7AE48AFE" w14:textId="77777777" w:rsidR="00895784" w:rsidRPr="00737A30" w:rsidRDefault="00895784" w:rsidP="00951116">
            <w:pPr>
              <w:widowControl/>
              <w:spacing w:before="0" w:beforeAutospacing="0" w:after="0" w:afterAutospacing="0" w:line="276" w:lineRule="auto"/>
              <w:jc w:val="center"/>
              <w:rPr>
                <w:rFonts w:cs="Arial"/>
                <w:sz w:val="18"/>
                <w:szCs w:val="18"/>
              </w:rPr>
            </w:pPr>
            <w:r w:rsidRPr="00E50E4F">
              <w:rPr>
                <w:rFonts w:cs="Arial"/>
                <w:sz w:val="18"/>
                <w:szCs w:val="18"/>
              </w:rPr>
              <w:t>377 (26.5)</w:t>
            </w:r>
          </w:p>
        </w:tc>
        <w:tc>
          <w:tcPr>
            <w:tcW w:w="1984" w:type="dxa"/>
          </w:tcPr>
          <w:p w14:paraId="2CB52EBB" w14:textId="77777777" w:rsidR="00895784" w:rsidRPr="00737A30" w:rsidRDefault="00895784" w:rsidP="00951116">
            <w:pPr>
              <w:widowControl/>
              <w:spacing w:before="0" w:beforeAutospacing="0" w:after="0" w:afterAutospacing="0" w:line="276" w:lineRule="auto"/>
              <w:jc w:val="center"/>
              <w:rPr>
                <w:rFonts w:cs="Arial"/>
                <w:sz w:val="18"/>
                <w:szCs w:val="18"/>
              </w:rPr>
            </w:pPr>
            <w:r w:rsidRPr="00E50E4F">
              <w:rPr>
                <w:rFonts w:cs="Arial"/>
                <w:sz w:val="18"/>
                <w:szCs w:val="18"/>
              </w:rPr>
              <w:t>1,384 (28.3)</w:t>
            </w:r>
          </w:p>
        </w:tc>
        <w:tc>
          <w:tcPr>
            <w:tcW w:w="1985" w:type="dxa"/>
          </w:tcPr>
          <w:p w14:paraId="3DCE8A89"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1</w:t>
            </w:r>
            <w:r w:rsidRPr="00E50E4F">
              <w:rPr>
                <w:rFonts w:cs="Arial"/>
                <w:sz w:val="18"/>
                <w:szCs w:val="18"/>
              </w:rPr>
              <w:t>,082 (27.0)</w:t>
            </w:r>
          </w:p>
        </w:tc>
        <w:tc>
          <w:tcPr>
            <w:tcW w:w="1701" w:type="dxa"/>
          </w:tcPr>
          <w:p w14:paraId="37A57200"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0.300</w:t>
            </w:r>
          </w:p>
        </w:tc>
      </w:tr>
      <w:tr w:rsidR="00895784" w:rsidRPr="00737A30" w14:paraId="4A69A0EF" w14:textId="77777777" w:rsidTr="00951116">
        <w:trPr>
          <w:trHeight w:val="23"/>
        </w:trPr>
        <w:tc>
          <w:tcPr>
            <w:tcW w:w="3402" w:type="dxa"/>
          </w:tcPr>
          <w:p w14:paraId="3BB3DA0E" w14:textId="77777777" w:rsidR="00895784" w:rsidRPr="00737A30" w:rsidRDefault="00895784" w:rsidP="00951116">
            <w:pPr>
              <w:widowControl/>
              <w:spacing w:before="0" w:beforeAutospacing="0" w:after="0" w:afterAutospacing="0" w:line="276" w:lineRule="auto"/>
              <w:rPr>
                <w:rFonts w:cs="Arial"/>
                <w:sz w:val="18"/>
                <w:szCs w:val="18"/>
              </w:rPr>
            </w:pPr>
            <w:r w:rsidRPr="006347D9">
              <w:rPr>
                <w:rFonts w:cs="Arial"/>
                <w:sz w:val="18"/>
                <w:szCs w:val="18"/>
              </w:rPr>
              <w:t>Dementia</w:t>
            </w:r>
          </w:p>
        </w:tc>
        <w:tc>
          <w:tcPr>
            <w:tcW w:w="1985" w:type="dxa"/>
          </w:tcPr>
          <w:p w14:paraId="7DC10DFE" w14:textId="77777777" w:rsidR="00895784" w:rsidRPr="00737A30" w:rsidRDefault="00895784" w:rsidP="00951116">
            <w:pPr>
              <w:widowControl/>
              <w:spacing w:before="0" w:beforeAutospacing="0" w:after="0" w:afterAutospacing="0" w:line="276" w:lineRule="auto"/>
              <w:jc w:val="center"/>
              <w:rPr>
                <w:rFonts w:cs="Arial"/>
                <w:sz w:val="18"/>
                <w:szCs w:val="18"/>
              </w:rPr>
            </w:pPr>
            <w:r w:rsidRPr="00EA7131">
              <w:rPr>
                <w:rFonts w:cs="Arial"/>
                <w:sz w:val="18"/>
                <w:szCs w:val="18"/>
              </w:rPr>
              <w:t>488 (4.7)</w:t>
            </w:r>
          </w:p>
        </w:tc>
        <w:tc>
          <w:tcPr>
            <w:tcW w:w="1984" w:type="dxa"/>
          </w:tcPr>
          <w:p w14:paraId="7242D157" w14:textId="77777777" w:rsidR="00895784" w:rsidRPr="00737A30" w:rsidRDefault="00895784" w:rsidP="00951116">
            <w:pPr>
              <w:widowControl/>
              <w:spacing w:before="0" w:beforeAutospacing="0" w:after="0" w:afterAutospacing="0" w:line="276" w:lineRule="auto"/>
              <w:jc w:val="center"/>
              <w:rPr>
                <w:rFonts w:cs="Arial"/>
                <w:sz w:val="18"/>
                <w:szCs w:val="18"/>
              </w:rPr>
            </w:pPr>
            <w:r w:rsidRPr="006905A6">
              <w:rPr>
                <w:rFonts w:cs="Arial"/>
                <w:sz w:val="18"/>
                <w:szCs w:val="18"/>
              </w:rPr>
              <w:t>85 (6.0)</w:t>
            </w:r>
          </w:p>
        </w:tc>
        <w:tc>
          <w:tcPr>
            <w:tcW w:w="1984" w:type="dxa"/>
          </w:tcPr>
          <w:p w14:paraId="0865F16B" w14:textId="77777777" w:rsidR="00895784" w:rsidRPr="00737A30" w:rsidRDefault="00895784" w:rsidP="00951116">
            <w:pPr>
              <w:widowControl/>
              <w:spacing w:before="0" w:beforeAutospacing="0" w:after="0" w:afterAutospacing="0" w:line="276" w:lineRule="auto"/>
              <w:jc w:val="center"/>
              <w:rPr>
                <w:rFonts w:cs="Arial"/>
                <w:sz w:val="18"/>
                <w:szCs w:val="18"/>
              </w:rPr>
            </w:pPr>
            <w:r w:rsidRPr="006905A6">
              <w:rPr>
                <w:rFonts w:cs="Arial"/>
                <w:sz w:val="18"/>
                <w:szCs w:val="18"/>
              </w:rPr>
              <w:t>226 (4.6)</w:t>
            </w:r>
          </w:p>
        </w:tc>
        <w:tc>
          <w:tcPr>
            <w:tcW w:w="1985" w:type="dxa"/>
          </w:tcPr>
          <w:p w14:paraId="49EB3E42" w14:textId="77777777" w:rsidR="00895784" w:rsidRPr="00737A30" w:rsidRDefault="00895784" w:rsidP="00951116">
            <w:pPr>
              <w:widowControl/>
              <w:spacing w:before="0" w:beforeAutospacing="0" w:after="0" w:afterAutospacing="0" w:line="276" w:lineRule="auto"/>
              <w:jc w:val="center"/>
              <w:rPr>
                <w:rFonts w:cs="Arial"/>
                <w:sz w:val="18"/>
                <w:szCs w:val="18"/>
              </w:rPr>
            </w:pPr>
            <w:r w:rsidRPr="006905A6">
              <w:rPr>
                <w:rFonts w:cs="Arial"/>
                <w:sz w:val="18"/>
                <w:szCs w:val="18"/>
              </w:rPr>
              <w:t>177 (4.4)</w:t>
            </w:r>
          </w:p>
        </w:tc>
        <w:tc>
          <w:tcPr>
            <w:tcW w:w="1701" w:type="dxa"/>
          </w:tcPr>
          <w:p w14:paraId="60C04024" w14:textId="77777777" w:rsidR="00895784" w:rsidRPr="00737A30" w:rsidRDefault="00895784" w:rsidP="00951116">
            <w:pPr>
              <w:widowControl/>
              <w:spacing w:before="0" w:beforeAutospacing="0" w:after="0" w:afterAutospacing="0" w:line="276" w:lineRule="auto"/>
              <w:jc w:val="center"/>
              <w:rPr>
                <w:rFonts w:cs="Arial"/>
                <w:sz w:val="18"/>
                <w:szCs w:val="18"/>
              </w:rPr>
            </w:pPr>
            <w:r w:rsidRPr="00CD7EC3">
              <w:rPr>
                <w:rFonts w:cs="Arial"/>
                <w:sz w:val="18"/>
                <w:szCs w:val="18"/>
              </w:rPr>
              <w:t>0.053</w:t>
            </w:r>
          </w:p>
        </w:tc>
      </w:tr>
      <w:tr w:rsidR="00895784" w:rsidRPr="00737A30" w14:paraId="3FAD26EB" w14:textId="77777777" w:rsidTr="00951116">
        <w:trPr>
          <w:trHeight w:val="23"/>
        </w:trPr>
        <w:tc>
          <w:tcPr>
            <w:tcW w:w="3402" w:type="dxa"/>
          </w:tcPr>
          <w:p w14:paraId="514FD454" w14:textId="77777777" w:rsidR="00895784" w:rsidRPr="00737A30" w:rsidRDefault="00895784" w:rsidP="00951116">
            <w:pPr>
              <w:widowControl/>
              <w:spacing w:before="0" w:beforeAutospacing="0" w:after="0" w:afterAutospacing="0" w:line="276" w:lineRule="auto"/>
              <w:rPr>
                <w:rFonts w:cs="Arial"/>
                <w:sz w:val="18"/>
                <w:szCs w:val="18"/>
              </w:rPr>
            </w:pPr>
            <w:r w:rsidRPr="006347D9">
              <w:rPr>
                <w:rFonts w:cs="Arial"/>
                <w:sz w:val="18"/>
                <w:szCs w:val="18"/>
              </w:rPr>
              <w:t>Chronic pulmonary disease</w:t>
            </w:r>
          </w:p>
        </w:tc>
        <w:tc>
          <w:tcPr>
            <w:tcW w:w="1985" w:type="dxa"/>
          </w:tcPr>
          <w:p w14:paraId="7E917CBE" w14:textId="77777777" w:rsidR="00895784" w:rsidRPr="00737A30" w:rsidRDefault="00895784" w:rsidP="00951116">
            <w:pPr>
              <w:widowControl/>
              <w:spacing w:before="0" w:beforeAutospacing="0" w:after="0" w:afterAutospacing="0" w:line="276" w:lineRule="auto"/>
              <w:jc w:val="center"/>
              <w:rPr>
                <w:rFonts w:cs="Arial"/>
                <w:sz w:val="18"/>
                <w:szCs w:val="18"/>
              </w:rPr>
            </w:pPr>
            <w:r w:rsidRPr="00CD7EC3">
              <w:rPr>
                <w:rFonts w:cs="Arial"/>
                <w:sz w:val="18"/>
                <w:szCs w:val="18"/>
              </w:rPr>
              <w:t>10,279 (99.6)</w:t>
            </w:r>
          </w:p>
        </w:tc>
        <w:tc>
          <w:tcPr>
            <w:tcW w:w="1984" w:type="dxa"/>
          </w:tcPr>
          <w:p w14:paraId="2E6B8A3F"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1</w:t>
            </w:r>
            <w:r w:rsidRPr="00E82AAF">
              <w:rPr>
                <w:rFonts w:cs="Arial"/>
                <w:sz w:val="18"/>
                <w:szCs w:val="18"/>
              </w:rPr>
              <w:t>,416 (99.5)</w:t>
            </w:r>
          </w:p>
        </w:tc>
        <w:tc>
          <w:tcPr>
            <w:tcW w:w="1984" w:type="dxa"/>
          </w:tcPr>
          <w:p w14:paraId="6EA36B3A" w14:textId="77777777" w:rsidR="00895784" w:rsidRPr="00737A30" w:rsidRDefault="00895784" w:rsidP="00951116">
            <w:pPr>
              <w:widowControl/>
              <w:spacing w:before="0" w:beforeAutospacing="0" w:after="0" w:afterAutospacing="0" w:line="276" w:lineRule="auto"/>
              <w:jc w:val="center"/>
              <w:rPr>
                <w:rFonts w:cs="Arial"/>
                <w:sz w:val="18"/>
                <w:szCs w:val="18"/>
              </w:rPr>
            </w:pPr>
            <w:r w:rsidRPr="00E82AAF">
              <w:rPr>
                <w:rFonts w:cs="Arial"/>
                <w:sz w:val="18"/>
                <w:szCs w:val="18"/>
              </w:rPr>
              <w:t>4,873 (99.6)</w:t>
            </w:r>
          </w:p>
        </w:tc>
        <w:tc>
          <w:tcPr>
            <w:tcW w:w="1985" w:type="dxa"/>
          </w:tcPr>
          <w:p w14:paraId="0E556FD5" w14:textId="77777777" w:rsidR="00895784" w:rsidRPr="00737A30" w:rsidRDefault="00895784" w:rsidP="00951116">
            <w:pPr>
              <w:widowControl/>
              <w:spacing w:before="0" w:beforeAutospacing="0" w:after="0" w:afterAutospacing="0" w:line="276" w:lineRule="auto"/>
              <w:jc w:val="center"/>
              <w:rPr>
                <w:rFonts w:cs="Arial"/>
                <w:sz w:val="18"/>
                <w:szCs w:val="18"/>
              </w:rPr>
            </w:pPr>
            <w:r w:rsidRPr="00E82AAF">
              <w:rPr>
                <w:rFonts w:cs="Arial"/>
                <w:sz w:val="18"/>
                <w:szCs w:val="18"/>
              </w:rPr>
              <w:t>3,990 (99.7)</w:t>
            </w:r>
          </w:p>
        </w:tc>
        <w:tc>
          <w:tcPr>
            <w:tcW w:w="1701" w:type="dxa"/>
          </w:tcPr>
          <w:p w14:paraId="7EAFF73F"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0.600</w:t>
            </w:r>
          </w:p>
        </w:tc>
      </w:tr>
      <w:tr w:rsidR="00895784" w:rsidRPr="00737A30" w14:paraId="067177A6" w14:textId="77777777" w:rsidTr="00951116">
        <w:trPr>
          <w:trHeight w:val="23"/>
        </w:trPr>
        <w:tc>
          <w:tcPr>
            <w:tcW w:w="3402" w:type="dxa"/>
          </w:tcPr>
          <w:p w14:paraId="70BAE919" w14:textId="77777777" w:rsidR="00895784" w:rsidRPr="00737A30" w:rsidRDefault="00895784" w:rsidP="00951116">
            <w:pPr>
              <w:widowControl/>
              <w:spacing w:before="0" w:beforeAutospacing="0" w:after="0" w:afterAutospacing="0" w:line="276" w:lineRule="auto"/>
              <w:rPr>
                <w:rFonts w:cs="Arial"/>
                <w:sz w:val="18"/>
                <w:szCs w:val="18"/>
              </w:rPr>
            </w:pPr>
            <w:r w:rsidRPr="006347D9">
              <w:rPr>
                <w:rFonts w:cs="Arial"/>
                <w:sz w:val="18"/>
                <w:szCs w:val="18"/>
              </w:rPr>
              <w:t>Rheumatic disease</w:t>
            </w:r>
          </w:p>
        </w:tc>
        <w:tc>
          <w:tcPr>
            <w:tcW w:w="1985" w:type="dxa"/>
          </w:tcPr>
          <w:p w14:paraId="4D8D5B38" w14:textId="77777777" w:rsidR="00895784" w:rsidRPr="00737A30" w:rsidRDefault="00895784" w:rsidP="00951116">
            <w:pPr>
              <w:widowControl/>
              <w:spacing w:before="0" w:beforeAutospacing="0" w:after="0" w:afterAutospacing="0" w:line="276" w:lineRule="auto"/>
              <w:jc w:val="center"/>
              <w:rPr>
                <w:rFonts w:cs="Arial"/>
                <w:sz w:val="18"/>
                <w:szCs w:val="18"/>
              </w:rPr>
            </w:pPr>
            <w:r w:rsidRPr="00273E7E">
              <w:rPr>
                <w:rFonts w:cs="Arial"/>
                <w:sz w:val="18"/>
                <w:szCs w:val="18"/>
              </w:rPr>
              <w:t>937 (9.1)</w:t>
            </w:r>
          </w:p>
        </w:tc>
        <w:tc>
          <w:tcPr>
            <w:tcW w:w="1984" w:type="dxa"/>
          </w:tcPr>
          <w:p w14:paraId="42F145FD" w14:textId="77777777" w:rsidR="00895784" w:rsidRPr="00737A30" w:rsidRDefault="00895784" w:rsidP="00951116">
            <w:pPr>
              <w:widowControl/>
              <w:spacing w:before="0" w:beforeAutospacing="0" w:after="0" w:afterAutospacing="0" w:line="276" w:lineRule="auto"/>
              <w:jc w:val="center"/>
              <w:rPr>
                <w:rFonts w:cs="Arial"/>
                <w:sz w:val="18"/>
                <w:szCs w:val="18"/>
              </w:rPr>
            </w:pPr>
            <w:r w:rsidRPr="00273E7E">
              <w:rPr>
                <w:rFonts w:cs="Arial"/>
                <w:sz w:val="18"/>
                <w:szCs w:val="18"/>
              </w:rPr>
              <w:t>116 (8.2)</w:t>
            </w:r>
          </w:p>
        </w:tc>
        <w:tc>
          <w:tcPr>
            <w:tcW w:w="1984" w:type="dxa"/>
          </w:tcPr>
          <w:p w14:paraId="3D16E229" w14:textId="77777777" w:rsidR="00895784" w:rsidRPr="00737A30" w:rsidRDefault="00895784" w:rsidP="00951116">
            <w:pPr>
              <w:widowControl/>
              <w:spacing w:before="0" w:beforeAutospacing="0" w:after="0" w:afterAutospacing="0" w:line="276" w:lineRule="auto"/>
              <w:jc w:val="center"/>
              <w:rPr>
                <w:rFonts w:cs="Arial"/>
                <w:sz w:val="18"/>
                <w:szCs w:val="18"/>
              </w:rPr>
            </w:pPr>
            <w:r w:rsidRPr="00273E7E">
              <w:rPr>
                <w:rFonts w:cs="Arial"/>
                <w:sz w:val="18"/>
                <w:szCs w:val="18"/>
              </w:rPr>
              <w:t>428 (8.7)</w:t>
            </w:r>
          </w:p>
        </w:tc>
        <w:tc>
          <w:tcPr>
            <w:tcW w:w="1985" w:type="dxa"/>
          </w:tcPr>
          <w:p w14:paraId="31EF2446" w14:textId="77777777" w:rsidR="00895784" w:rsidRPr="00737A30" w:rsidRDefault="00895784" w:rsidP="00951116">
            <w:pPr>
              <w:widowControl/>
              <w:spacing w:before="0" w:beforeAutospacing="0" w:after="0" w:afterAutospacing="0" w:line="276" w:lineRule="auto"/>
              <w:jc w:val="center"/>
              <w:rPr>
                <w:rFonts w:cs="Arial"/>
                <w:sz w:val="18"/>
                <w:szCs w:val="18"/>
              </w:rPr>
            </w:pPr>
            <w:r w:rsidRPr="00273E7E">
              <w:rPr>
                <w:rFonts w:cs="Arial"/>
                <w:sz w:val="18"/>
                <w:szCs w:val="18"/>
              </w:rPr>
              <w:t>393 (9.8)</w:t>
            </w:r>
          </w:p>
        </w:tc>
        <w:tc>
          <w:tcPr>
            <w:tcW w:w="1701" w:type="dxa"/>
          </w:tcPr>
          <w:p w14:paraId="3E4F620E"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0.091</w:t>
            </w:r>
          </w:p>
        </w:tc>
      </w:tr>
      <w:tr w:rsidR="00895784" w:rsidRPr="00737A30" w14:paraId="11DA09B0" w14:textId="77777777" w:rsidTr="00951116">
        <w:trPr>
          <w:trHeight w:val="23"/>
        </w:trPr>
        <w:tc>
          <w:tcPr>
            <w:tcW w:w="3402" w:type="dxa"/>
          </w:tcPr>
          <w:p w14:paraId="4A07D67F" w14:textId="77777777" w:rsidR="00895784" w:rsidRPr="00737A30" w:rsidRDefault="00895784" w:rsidP="00951116">
            <w:pPr>
              <w:widowControl/>
              <w:spacing w:before="0" w:beforeAutospacing="0" w:after="0" w:afterAutospacing="0" w:line="276" w:lineRule="auto"/>
              <w:rPr>
                <w:rFonts w:cs="Arial"/>
                <w:sz w:val="18"/>
                <w:szCs w:val="18"/>
              </w:rPr>
            </w:pPr>
            <w:r w:rsidRPr="00C1007A">
              <w:rPr>
                <w:rFonts w:cs="Arial"/>
                <w:sz w:val="18"/>
                <w:szCs w:val="18"/>
              </w:rPr>
              <w:t>Peptic ulcer disease</w:t>
            </w:r>
          </w:p>
        </w:tc>
        <w:tc>
          <w:tcPr>
            <w:tcW w:w="1985" w:type="dxa"/>
          </w:tcPr>
          <w:p w14:paraId="29BCB302" w14:textId="77777777" w:rsidR="00895784" w:rsidRPr="00737A30" w:rsidRDefault="00895784" w:rsidP="00951116">
            <w:pPr>
              <w:widowControl/>
              <w:spacing w:before="0" w:beforeAutospacing="0" w:after="0" w:afterAutospacing="0" w:line="276" w:lineRule="auto"/>
              <w:jc w:val="center"/>
              <w:rPr>
                <w:rFonts w:cs="Arial"/>
                <w:sz w:val="18"/>
                <w:szCs w:val="18"/>
              </w:rPr>
            </w:pPr>
            <w:r w:rsidRPr="00A62D4C">
              <w:rPr>
                <w:rFonts w:cs="Arial"/>
                <w:sz w:val="18"/>
                <w:szCs w:val="18"/>
              </w:rPr>
              <w:t>4,017 (38.9)</w:t>
            </w:r>
          </w:p>
        </w:tc>
        <w:tc>
          <w:tcPr>
            <w:tcW w:w="1984" w:type="dxa"/>
          </w:tcPr>
          <w:p w14:paraId="472C2AA5" w14:textId="77777777" w:rsidR="00895784" w:rsidRPr="00737A30" w:rsidRDefault="00895784" w:rsidP="00951116">
            <w:pPr>
              <w:widowControl/>
              <w:spacing w:before="0" w:beforeAutospacing="0" w:after="0" w:afterAutospacing="0" w:line="276" w:lineRule="auto"/>
              <w:jc w:val="center"/>
              <w:rPr>
                <w:rFonts w:cs="Arial"/>
                <w:sz w:val="18"/>
                <w:szCs w:val="18"/>
              </w:rPr>
            </w:pPr>
            <w:r w:rsidRPr="00A62D4C">
              <w:rPr>
                <w:rFonts w:cs="Arial"/>
                <w:sz w:val="18"/>
                <w:szCs w:val="18"/>
              </w:rPr>
              <w:t>531 (37.3)</w:t>
            </w:r>
          </w:p>
        </w:tc>
        <w:tc>
          <w:tcPr>
            <w:tcW w:w="1984" w:type="dxa"/>
          </w:tcPr>
          <w:p w14:paraId="046CCA65" w14:textId="77777777" w:rsidR="00895784" w:rsidRPr="00737A30" w:rsidRDefault="00895784" w:rsidP="00951116">
            <w:pPr>
              <w:widowControl/>
              <w:spacing w:before="0" w:beforeAutospacing="0" w:after="0" w:afterAutospacing="0" w:line="276" w:lineRule="auto"/>
              <w:jc w:val="center"/>
              <w:rPr>
                <w:rFonts w:cs="Arial"/>
                <w:sz w:val="18"/>
                <w:szCs w:val="18"/>
              </w:rPr>
            </w:pPr>
            <w:r w:rsidRPr="00A62D4C">
              <w:rPr>
                <w:rFonts w:cs="Arial"/>
                <w:sz w:val="18"/>
                <w:szCs w:val="18"/>
              </w:rPr>
              <w:t>1,859 (38.0)</w:t>
            </w:r>
          </w:p>
        </w:tc>
        <w:tc>
          <w:tcPr>
            <w:tcW w:w="1985" w:type="dxa"/>
          </w:tcPr>
          <w:p w14:paraId="5C9D3EFC" w14:textId="77777777" w:rsidR="00895784" w:rsidRPr="00737A30" w:rsidRDefault="00895784" w:rsidP="00951116">
            <w:pPr>
              <w:widowControl/>
              <w:spacing w:before="0" w:beforeAutospacing="0" w:after="0" w:afterAutospacing="0" w:line="276" w:lineRule="auto"/>
              <w:jc w:val="center"/>
              <w:rPr>
                <w:rFonts w:cs="Arial"/>
                <w:sz w:val="18"/>
                <w:szCs w:val="18"/>
              </w:rPr>
            </w:pPr>
            <w:r w:rsidRPr="00A62D4C">
              <w:rPr>
                <w:rFonts w:cs="Arial"/>
                <w:sz w:val="18"/>
                <w:szCs w:val="18"/>
              </w:rPr>
              <w:t>1,627 (40.6)</w:t>
            </w:r>
          </w:p>
        </w:tc>
        <w:tc>
          <w:tcPr>
            <w:tcW w:w="1701" w:type="dxa"/>
          </w:tcPr>
          <w:p w14:paraId="17862F87"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0.015</w:t>
            </w:r>
          </w:p>
        </w:tc>
      </w:tr>
      <w:tr w:rsidR="00895784" w:rsidRPr="00737A30" w14:paraId="2D04F7F4" w14:textId="77777777" w:rsidTr="00951116">
        <w:trPr>
          <w:trHeight w:val="23"/>
        </w:trPr>
        <w:tc>
          <w:tcPr>
            <w:tcW w:w="3402" w:type="dxa"/>
          </w:tcPr>
          <w:p w14:paraId="74B26EE4" w14:textId="77777777" w:rsidR="00895784" w:rsidRPr="00737A30" w:rsidRDefault="00895784" w:rsidP="00951116">
            <w:pPr>
              <w:widowControl/>
              <w:spacing w:before="0" w:beforeAutospacing="0" w:after="0" w:afterAutospacing="0" w:line="276" w:lineRule="auto"/>
              <w:rPr>
                <w:rFonts w:cs="Arial"/>
                <w:sz w:val="18"/>
                <w:szCs w:val="18"/>
              </w:rPr>
            </w:pPr>
            <w:r w:rsidRPr="00C1007A">
              <w:rPr>
                <w:rFonts w:cs="Arial"/>
                <w:sz w:val="18"/>
                <w:szCs w:val="18"/>
              </w:rPr>
              <w:t>Mild liver disease</w:t>
            </w:r>
          </w:p>
        </w:tc>
        <w:tc>
          <w:tcPr>
            <w:tcW w:w="1985" w:type="dxa"/>
          </w:tcPr>
          <w:p w14:paraId="7C550561" w14:textId="77777777" w:rsidR="00895784" w:rsidRPr="00737A30" w:rsidRDefault="00895784" w:rsidP="00951116">
            <w:pPr>
              <w:widowControl/>
              <w:spacing w:before="0" w:beforeAutospacing="0" w:after="0" w:afterAutospacing="0" w:line="276" w:lineRule="auto"/>
              <w:jc w:val="center"/>
              <w:rPr>
                <w:rFonts w:cs="Arial"/>
                <w:sz w:val="18"/>
                <w:szCs w:val="18"/>
              </w:rPr>
            </w:pPr>
            <w:r w:rsidRPr="00A35F7A">
              <w:rPr>
                <w:rFonts w:cs="Arial"/>
                <w:sz w:val="18"/>
                <w:szCs w:val="18"/>
              </w:rPr>
              <w:t>2,801 (27.1)</w:t>
            </w:r>
          </w:p>
        </w:tc>
        <w:tc>
          <w:tcPr>
            <w:tcW w:w="1984" w:type="dxa"/>
          </w:tcPr>
          <w:p w14:paraId="64BC5173" w14:textId="77777777" w:rsidR="00895784" w:rsidRPr="00737A30" w:rsidRDefault="00895784" w:rsidP="00951116">
            <w:pPr>
              <w:widowControl/>
              <w:spacing w:before="0" w:beforeAutospacing="0" w:after="0" w:afterAutospacing="0" w:line="276" w:lineRule="auto"/>
              <w:jc w:val="center"/>
              <w:rPr>
                <w:rFonts w:cs="Arial"/>
                <w:sz w:val="18"/>
                <w:szCs w:val="18"/>
              </w:rPr>
            </w:pPr>
            <w:r w:rsidRPr="00A35F7A">
              <w:rPr>
                <w:rFonts w:cs="Arial"/>
                <w:sz w:val="18"/>
                <w:szCs w:val="18"/>
              </w:rPr>
              <w:t>380 (26.7)</w:t>
            </w:r>
          </w:p>
        </w:tc>
        <w:tc>
          <w:tcPr>
            <w:tcW w:w="1984" w:type="dxa"/>
          </w:tcPr>
          <w:p w14:paraId="278D8252" w14:textId="77777777" w:rsidR="00895784" w:rsidRPr="00737A30" w:rsidRDefault="00895784" w:rsidP="00951116">
            <w:pPr>
              <w:widowControl/>
              <w:spacing w:before="0" w:beforeAutospacing="0" w:after="0" w:afterAutospacing="0" w:line="276" w:lineRule="auto"/>
              <w:jc w:val="center"/>
              <w:rPr>
                <w:rFonts w:cs="Arial"/>
                <w:sz w:val="18"/>
                <w:szCs w:val="18"/>
              </w:rPr>
            </w:pPr>
            <w:r w:rsidRPr="00A35F7A">
              <w:rPr>
                <w:rFonts w:cs="Arial"/>
                <w:sz w:val="18"/>
                <w:szCs w:val="18"/>
              </w:rPr>
              <w:t>1,343 (27.4)</w:t>
            </w:r>
          </w:p>
        </w:tc>
        <w:tc>
          <w:tcPr>
            <w:tcW w:w="1985" w:type="dxa"/>
          </w:tcPr>
          <w:p w14:paraId="7ACD3996" w14:textId="77777777" w:rsidR="00895784" w:rsidRPr="00737A30" w:rsidRDefault="00895784" w:rsidP="00951116">
            <w:pPr>
              <w:widowControl/>
              <w:spacing w:before="0" w:beforeAutospacing="0" w:after="0" w:afterAutospacing="0" w:line="276" w:lineRule="auto"/>
              <w:jc w:val="center"/>
              <w:rPr>
                <w:rFonts w:cs="Arial"/>
                <w:sz w:val="18"/>
                <w:szCs w:val="18"/>
              </w:rPr>
            </w:pPr>
            <w:r w:rsidRPr="00A35F7A">
              <w:rPr>
                <w:rFonts w:cs="Arial"/>
                <w:sz w:val="18"/>
                <w:szCs w:val="18"/>
              </w:rPr>
              <w:t>1,078 (26.9)</w:t>
            </w:r>
          </w:p>
        </w:tc>
        <w:tc>
          <w:tcPr>
            <w:tcW w:w="1701" w:type="dxa"/>
          </w:tcPr>
          <w:p w14:paraId="2E27195E"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0.800</w:t>
            </w:r>
          </w:p>
        </w:tc>
      </w:tr>
      <w:tr w:rsidR="00895784" w:rsidRPr="00737A30" w14:paraId="16BC208B" w14:textId="77777777" w:rsidTr="00951116">
        <w:trPr>
          <w:trHeight w:val="23"/>
        </w:trPr>
        <w:tc>
          <w:tcPr>
            <w:tcW w:w="3402" w:type="dxa"/>
          </w:tcPr>
          <w:p w14:paraId="32A90616" w14:textId="77777777" w:rsidR="00895784" w:rsidRPr="00737A30" w:rsidRDefault="00895784" w:rsidP="00951116">
            <w:pPr>
              <w:widowControl/>
              <w:spacing w:before="0" w:beforeAutospacing="0" w:after="0" w:afterAutospacing="0" w:line="276" w:lineRule="auto"/>
              <w:rPr>
                <w:rFonts w:cs="Arial"/>
                <w:sz w:val="18"/>
                <w:szCs w:val="18"/>
              </w:rPr>
            </w:pPr>
            <w:r w:rsidRPr="00C1007A">
              <w:rPr>
                <w:rFonts w:cs="Arial"/>
                <w:sz w:val="18"/>
                <w:szCs w:val="18"/>
              </w:rPr>
              <w:t>Diabetes without chronic complication</w:t>
            </w:r>
          </w:p>
        </w:tc>
        <w:tc>
          <w:tcPr>
            <w:tcW w:w="1985" w:type="dxa"/>
          </w:tcPr>
          <w:p w14:paraId="195B478C" w14:textId="77777777" w:rsidR="00895784" w:rsidRPr="00737A30" w:rsidRDefault="00895784" w:rsidP="00951116">
            <w:pPr>
              <w:widowControl/>
              <w:spacing w:before="0" w:beforeAutospacing="0" w:after="0" w:afterAutospacing="0" w:line="276" w:lineRule="auto"/>
              <w:jc w:val="center"/>
              <w:rPr>
                <w:rFonts w:cs="Arial"/>
                <w:sz w:val="18"/>
                <w:szCs w:val="18"/>
              </w:rPr>
            </w:pPr>
            <w:r w:rsidRPr="004C246F">
              <w:rPr>
                <w:rFonts w:cs="Arial"/>
                <w:sz w:val="18"/>
                <w:szCs w:val="18"/>
              </w:rPr>
              <w:t>759 (7.4)</w:t>
            </w:r>
          </w:p>
        </w:tc>
        <w:tc>
          <w:tcPr>
            <w:tcW w:w="1984" w:type="dxa"/>
          </w:tcPr>
          <w:p w14:paraId="5DD47942" w14:textId="77777777" w:rsidR="00895784" w:rsidRPr="00737A30" w:rsidRDefault="00895784" w:rsidP="00951116">
            <w:pPr>
              <w:widowControl/>
              <w:spacing w:before="0" w:beforeAutospacing="0" w:after="0" w:afterAutospacing="0" w:line="276" w:lineRule="auto"/>
              <w:jc w:val="center"/>
              <w:rPr>
                <w:rFonts w:cs="Arial"/>
                <w:sz w:val="18"/>
                <w:szCs w:val="18"/>
              </w:rPr>
            </w:pPr>
            <w:r w:rsidRPr="004C246F">
              <w:rPr>
                <w:rFonts w:cs="Arial"/>
                <w:sz w:val="18"/>
                <w:szCs w:val="18"/>
              </w:rPr>
              <w:t>87 (6.1)</w:t>
            </w:r>
          </w:p>
        </w:tc>
        <w:tc>
          <w:tcPr>
            <w:tcW w:w="1984" w:type="dxa"/>
          </w:tcPr>
          <w:p w14:paraId="3B3CCA0B" w14:textId="77777777" w:rsidR="00895784" w:rsidRPr="00737A30" w:rsidRDefault="00895784" w:rsidP="00951116">
            <w:pPr>
              <w:widowControl/>
              <w:spacing w:before="0" w:beforeAutospacing="0" w:after="0" w:afterAutospacing="0" w:line="276" w:lineRule="auto"/>
              <w:jc w:val="center"/>
              <w:rPr>
                <w:rFonts w:cs="Arial"/>
                <w:sz w:val="18"/>
                <w:szCs w:val="18"/>
              </w:rPr>
            </w:pPr>
            <w:r w:rsidRPr="004C246F">
              <w:rPr>
                <w:rFonts w:cs="Arial"/>
                <w:sz w:val="18"/>
                <w:szCs w:val="18"/>
              </w:rPr>
              <w:t>344 (7.0)</w:t>
            </w:r>
          </w:p>
        </w:tc>
        <w:tc>
          <w:tcPr>
            <w:tcW w:w="1985" w:type="dxa"/>
          </w:tcPr>
          <w:p w14:paraId="261FE582" w14:textId="77777777" w:rsidR="00895784" w:rsidRPr="00737A30" w:rsidRDefault="00895784" w:rsidP="00951116">
            <w:pPr>
              <w:widowControl/>
              <w:spacing w:before="0" w:beforeAutospacing="0" w:after="0" w:afterAutospacing="0" w:line="276" w:lineRule="auto"/>
              <w:jc w:val="center"/>
              <w:rPr>
                <w:rFonts w:cs="Arial"/>
                <w:sz w:val="18"/>
                <w:szCs w:val="18"/>
              </w:rPr>
            </w:pPr>
            <w:r w:rsidRPr="004C246F">
              <w:rPr>
                <w:rFonts w:cs="Arial"/>
                <w:sz w:val="18"/>
                <w:szCs w:val="18"/>
              </w:rPr>
              <w:t>328 (8.2)</w:t>
            </w:r>
          </w:p>
        </w:tc>
        <w:tc>
          <w:tcPr>
            <w:tcW w:w="1701" w:type="dxa"/>
          </w:tcPr>
          <w:p w14:paraId="30B47A14"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0.017</w:t>
            </w:r>
          </w:p>
        </w:tc>
      </w:tr>
      <w:tr w:rsidR="00895784" w:rsidRPr="00737A30" w14:paraId="518ACD76" w14:textId="77777777" w:rsidTr="00951116">
        <w:trPr>
          <w:trHeight w:val="23"/>
        </w:trPr>
        <w:tc>
          <w:tcPr>
            <w:tcW w:w="3402" w:type="dxa"/>
          </w:tcPr>
          <w:p w14:paraId="4A392EB7" w14:textId="77777777" w:rsidR="00895784" w:rsidRPr="00737A30" w:rsidRDefault="00895784" w:rsidP="00951116">
            <w:pPr>
              <w:widowControl/>
              <w:spacing w:before="0" w:beforeAutospacing="0" w:after="0" w:afterAutospacing="0" w:line="276" w:lineRule="auto"/>
              <w:rPr>
                <w:rFonts w:cs="Arial"/>
                <w:sz w:val="18"/>
                <w:szCs w:val="18"/>
              </w:rPr>
            </w:pPr>
            <w:r w:rsidRPr="00302B36">
              <w:rPr>
                <w:rFonts w:cs="Arial"/>
                <w:sz w:val="18"/>
                <w:szCs w:val="18"/>
              </w:rPr>
              <w:t>Diabetes with chronic complication</w:t>
            </w:r>
          </w:p>
        </w:tc>
        <w:tc>
          <w:tcPr>
            <w:tcW w:w="1985" w:type="dxa"/>
          </w:tcPr>
          <w:p w14:paraId="0EC2017E" w14:textId="77777777" w:rsidR="00895784" w:rsidRPr="00737A30" w:rsidRDefault="00895784" w:rsidP="00951116">
            <w:pPr>
              <w:widowControl/>
              <w:spacing w:before="0" w:beforeAutospacing="0" w:after="0" w:afterAutospacing="0" w:line="276" w:lineRule="auto"/>
              <w:jc w:val="center"/>
              <w:rPr>
                <w:rFonts w:cs="Arial"/>
                <w:sz w:val="18"/>
                <w:szCs w:val="18"/>
              </w:rPr>
            </w:pPr>
            <w:r w:rsidRPr="00506C91">
              <w:rPr>
                <w:rFonts w:cs="Arial"/>
                <w:sz w:val="18"/>
                <w:szCs w:val="18"/>
              </w:rPr>
              <w:t>954 (9.2)</w:t>
            </w:r>
          </w:p>
        </w:tc>
        <w:tc>
          <w:tcPr>
            <w:tcW w:w="1984" w:type="dxa"/>
          </w:tcPr>
          <w:p w14:paraId="43BFFE8A" w14:textId="77777777" w:rsidR="00895784" w:rsidRPr="00737A30" w:rsidRDefault="00895784" w:rsidP="00951116">
            <w:pPr>
              <w:widowControl/>
              <w:spacing w:before="0" w:beforeAutospacing="0" w:after="0" w:afterAutospacing="0" w:line="276" w:lineRule="auto"/>
              <w:jc w:val="center"/>
              <w:rPr>
                <w:rFonts w:cs="Arial"/>
                <w:sz w:val="18"/>
                <w:szCs w:val="18"/>
              </w:rPr>
            </w:pPr>
            <w:r w:rsidRPr="00B74982">
              <w:rPr>
                <w:rFonts w:cs="Arial"/>
                <w:sz w:val="18"/>
                <w:szCs w:val="18"/>
              </w:rPr>
              <w:t>93 (6.5)</w:t>
            </w:r>
          </w:p>
        </w:tc>
        <w:tc>
          <w:tcPr>
            <w:tcW w:w="1984" w:type="dxa"/>
          </w:tcPr>
          <w:p w14:paraId="3794BDB7" w14:textId="77777777" w:rsidR="00895784" w:rsidRPr="00737A30" w:rsidRDefault="00895784" w:rsidP="00951116">
            <w:pPr>
              <w:widowControl/>
              <w:spacing w:before="0" w:beforeAutospacing="0" w:after="0" w:afterAutospacing="0" w:line="276" w:lineRule="auto"/>
              <w:jc w:val="center"/>
              <w:rPr>
                <w:rFonts w:cs="Arial"/>
                <w:sz w:val="18"/>
                <w:szCs w:val="18"/>
              </w:rPr>
            </w:pPr>
            <w:r w:rsidRPr="00B74982">
              <w:rPr>
                <w:rFonts w:cs="Arial"/>
                <w:sz w:val="18"/>
                <w:szCs w:val="18"/>
              </w:rPr>
              <w:t>407 (8.3)</w:t>
            </w:r>
          </w:p>
        </w:tc>
        <w:tc>
          <w:tcPr>
            <w:tcW w:w="1985" w:type="dxa"/>
          </w:tcPr>
          <w:p w14:paraId="603ED731" w14:textId="77777777" w:rsidR="00895784" w:rsidRPr="00737A30" w:rsidRDefault="00895784" w:rsidP="00951116">
            <w:pPr>
              <w:widowControl/>
              <w:spacing w:before="0" w:beforeAutospacing="0" w:after="0" w:afterAutospacing="0" w:line="276" w:lineRule="auto"/>
              <w:jc w:val="center"/>
              <w:rPr>
                <w:rFonts w:cs="Arial"/>
                <w:sz w:val="18"/>
                <w:szCs w:val="18"/>
              </w:rPr>
            </w:pPr>
            <w:r w:rsidRPr="00B74982">
              <w:rPr>
                <w:rFonts w:cs="Arial"/>
                <w:sz w:val="18"/>
                <w:szCs w:val="18"/>
              </w:rPr>
              <w:t>454 (11.3)</w:t>
            </w:r>
          </w:p>
        </w:tc>
        <w:tc>
          <w:tcPr>
            <w:tcW w:w="1701" w:type="dxa"/>
          </w:tcPr>
          <w:p w14:paraId="65D2581A" w14:textId="77777777" w:rsidR="00895784" w:rsidRPr="00737A30" w:rsidRDefault="00895784" w:rsidP="00951116">
            <w:pPr>
              <w:widowControl/>
              <w:spacing w:before="0" w:beforeAutospacing="0" w:after="0" w:afterAutospacing="0" w:line="276" w:lineRule="auto"/>
              <w:jc w:val="center"/>
              <w:rPr>
                <w:rFonts w:cs="Arial"/>
                <w:sz w:val="18"/>
                <w:szCs w:val="18"/>
              </w:rPr>
            </w:pPr>
            <w:r w:rsidRPr="00506C91">
              <w:rPr>
                <w:rFonts w:cs="Arial"/>
                <w:sz w:val="18"/>
                <w:szCs w:val="18"/>
              </w:rPr>
              <w:t>&lt;0.001</w:t>
            </w:r>
          </w:p>
        </w:tc>
      </w:tr>
      <w:tr w:rsidR="00895784" w:rsidRPr="00737A30" w14:paraId="7880AEA1" w14:textId="77777777" w:rsidTr="00951116">
        <w:trPr>
          <w:trHeight w:val="23"/>
        </w:trPr>
        <w:tc>
          <w:tcPr>
            <w:tcW w:w="3402" w:type="dxa"/>
          </w:tcPr>
          <w:p w14:paraId="54F916E9" w14:textId="77777777" w:rsidR="00895784" w:rsidRPr="00737A30" w:rsidRDefault="00895784" w:rsidP="00951116">
            <w:pPr>
              <w:widowControl/>
              <w:spacing w:before="0" w:beforeAutospacing="0" w:after="0" w:afterAutospacing="0" w:line="276" w:lineRule="auto"/>
              <w:rPr>
                <w:rFonts w:cs="Arial"/>
                <w:sz w:val="18"/>
                <w:szCs w:val="18"/>
              </w:rPr>
            </w:pPr>
            <w:r w:rsidRPr="00302B36">
              <w:rPr>
                <w:rFonts w:cs="Arial"/>
                <w:sz w:val="18"/>
                <w:szCs w:val="18"/>
              </w:rPr>
              <w:t>Hemiplegia or paraplegia</w:t>
            </w:r>
          </w:p>
        </w:tc>
        <w:tc>
          <w:tcPr>
            <w:tcW w:w="1985" w:type="dxa"/>
          </w:tcPr>
          <w:p w14:paraId="72F0C9D3" w14:textId="77777777" w:rsidR="00895784" w:rsidRPr="00737A30" w:rsidRDefault="00895784" w:rsidP="00951116">
            <w:pPr>
              <w:widowControl/>
              <w:spacing w:before="0" w:beforeAutospacing="0" w:after="0" w:afterAutospacing="0" w:line="276" w:lineRule="auto"/>
              <w:jc w:val="center"/>
              <w:rPr>
                <w:rFonts w:cs="Arial"/>
                <w:sz w:val="18"/>
                <w:szCs w:val="18"/>
              </w:rPr>
            </w:pPr>
            <w:r w:rsidRPr="006A5A5F">
              <w:rPr>
                <w:rFonts w:cs="Arial"/>
                <w:sz w:val="18"/>
                <w:szCs w:val="18"/>
              </w:rPr>
              <w:t>198 (1.9)</w:t>
            </w:r>
          </w:p>
        </w:tc>
        <w:tc>
          <w:tcPr>
            <w:tcW w:w="1984" w:type="dxa"/>
          </w:tcPr>
          <w:p w14:paraId="1A7B940C" w14:textId="77777777" w:rsidR="00895784" w:rsidRPr="00737A30" w:rsidRDefault="00895784" w:rsidP="00951116">
            <w:pPr>
              <w:widowControl/>
              <w:spacing w:before="0" w:beforeAutospacing="0" w:after="0" w:afterAutospacing="0" w:line="276" w:lineRule="auto"/>
              <w:jc w:val="center"/>
              <w:rPr>
                <w:rFonts w:cs="Arial"/>
                <w:sz w:val="18"/>
                <w:szCs w:val="18"/>
              </w:rPr>
            </w:pPr>
            <w:r w:rsidRPr="006A5A5F">
              <w:rPr>
                <w:rFonts w:cs="Arial"/>
                <w:sz w:val="18"/>
                <w:szCs w:val="18"/>
              </w:rPr>
              <w:t>30 (2.1)</w:t>
            </w:r>
          </w:p>
        </w:tc>
        <w:tc>
          <w:tcPr>
            <w:tcW w:w="1984" w:type="dxa"/>
          </w:tcPr>
          <w:p w14:paraId="11EB5585" w14:textId="77777777" w:rsidR="00895784" w:rsidRPr="00737A30" w:rsidRDefault="00895784" w:rsidP="00951116">
            <w:pPr>
              <w:widowControl/>
              <w:spacing w:before="0" w:beforeAutospacing="0" w:after="0" w:afterAutospacing="0" w:line="276" w:lineRule="auto"/>
              <w:jc w:val="center"/>
              <w:rPr>
                <w:rFonts w:cs="Arial"/>
                <w:sz w:val="18"/>
                <w:szCs w:val="18"/>
              </w:rPr>
            </w:pPr>
            <w:r w:rsidRPr="006A5A5F">
              <w:rPr>
                <w:rFonts w:cs="Arial"/>
                <w:sz w:val="18"/>
                <w:szCs w:val="18"/>
              </w:rPr>
              <w:t>85 (1.7)</w:t>
            </w:r>
          </w:p>
        </w:tc>
        <w:tc>
          <w:tcPr>
            <w:tcW w:w="1985" w:type="dxa"/>
          </w:tcPr>
          <w:p w14:paraId="0C3C9BE6" w14:textId="77777777" w:rsidR="00895784" w:rsidRPr="00737A30" w:rsidRDefault="00895784" w:rsidP="00951116">
            <w:pPr>
              <w:widowControl/>
              <w:spacing w:before="0" w:beforeAutospacing="0" w:after="0" w:afterAutospacing="0" w:line="276" w:lineRule="auto"/>
              <w:jc w:val="center"/>
              <w:rPr>
                <w:rFonts w:cs="Arial"/>
                <w:sz w:val="18"/>
                <w:szCs w:val="18"/>
              </w:rPr>
            </w:pPr>
            <w:r w:rsidRPr="006A5A5F">
              <w:rPr>
                <w:rFonts w:cs="Arial"/>
                <w:sz w:val="18"/>
                <w:szCs w:val="18"/>
              </w:rPr>
              <w:t>83 (2.1)</w:t>
            </w:r>
          </w:p>
        </w:tc>
        <w:tc>
          <w:tcPr>
            <w:tcW w:w="1701" w:type="dxa"/>
          </w:tcPr>
          <w:p w14:paraId="0C356C19"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0.400</w:t>
            </w:r>
          </w:p>
        </w:tc>
      </w:tr>
      <w:tr w:rsidR="00895784" w:rsidRPr="00737A30" w14:paraId="3AF36756" w14:textId="77777777" w:rsidTr="00951116">
        <w:trPr>
          <w:trHeight w:val="23"/>
        </w:trPr>
        <w:tc>
          <w:tcPr>
            <w:tcW w:w="3402" w:type="dxa"/>
          </w:tcPr>
          <w:p w14:paraId="7BB8557D" w14:textId="77777777" w:rsidR="00895784" w:rsidRPr="00737A30" w:rsidRDefault="00895784" w:rsidP="00951116">
            <w:pPr>
              <w:widowControl/>
              <w:spacing w:before="0" w:beforeAutospacing="0" w:after="0" w:afterAutospacing="0" w:line="276" w:lineRule="auto"/>
              <w:rPr>
                <w:rFonts w:cs="Arial"/>
                <w:sz w:val="18"/>
                <w:szCs w:val="18"/>
              </w:rPr>
            </w:pPr>
            <w:r w:rsidRPr="00302B36">
              <w:rPr>
                <w:rFonts w:cs="Arial"/>
                <w:sz w:val="18"/>
                <w:szCs w:val="18"/>
              </w:rPr>
              <w:t>Renal disease</w:t>
            </w:r>
          </w:p>
        </w:tc>
        <w:tc>
          <w:tcPr>
            <w:tcW w:w="1985" w:type="dxa"/>
          </w:tcPr>
          <w:p w14:paraId="69B4981D" w14:textId="77777777" w:rsidR="00895784" w:rsidRPr="00737A30" w:rsidRDefault="00895784" w:rsidP="00951116">
            <w:pPr>
              <w:widowControl/>
              <w:spacing w:before="0" w:beforeAutospacing="0" w:after="0" w:afterAutospacing="0" w:line="276" w:lineRule="auto"/>
              <w:jc w:val="center"/>
              <w:rPr>
                <w:rFonts w:cs="Arial"/>
                <w:sz w:val="18"/>
                <w:szCs w:val="18"/>
              </w:rPr>
            </w:pPr>
            <w:r w:rsidRPr="00122917">
              <w:rPr>
                <w:rFonts w:cs="Arial"/>
                <w:sz w:val="18"/>
                <w:szCs w:val="18"/>
              </w:rPr>
              <w:t>950 (9.2)</w:t>
            </w:r>
          </w:p>
        </w:tc>
        <w:tc>
          <w:tcPr>
            <w:tcW w:w="1984" w:type="dxa"/>
          </w:tcPr>
          <w:p w14:paraId="503C8C8A" w14:textId="77777777" w:rsidR="00895784" w:rsidRPr="00737A30" w:rsidRDefault="00895784" w:rsidP="00951116">
            <w:pPr>
              <w:widowControl/>
              <w:spacing w:before="0" w:beforeAutospacing="0" w:after="0" w:afterAutospacing="0" w:line="276" w:lineRule="auto"/>
              <w:jc w:val="center"/>
              <w:rPr>
                <w:rFonts w:cs="Arial"/>
                <w:sz w:val="18"/>
                <w:szCs w:val="18"/>
              </w:rPr>
            </w:pPr>
            <w:r w:rsidRPr="00122917">
              <w:rPr>
                <w:rFonts w:cs="Arial"/>
                <w:sz w:val="18"/>
                <w:szCs w:val="18"/>
              </w:rPr>
              <w:t>85 (6.0)</w:t>
            </w:r>
          </w:p>
        </w:tc>
        <w:tc>
          <w:tcPr>
            <w:tcW w:w="1984" w:type="dxa"/>
          </w:tcPr>
          <w:p w14:paraId="3DE87B93" w14:textId="77777777" w:rsidR="00895784" w:rsidRPr="00737A30" w:rsidRDefault="00895784" w:rsidP="00951116">
            <w:pPr>
              <w:widowControl/>
              <w:spacing w:before="0" w:beforeAutospacing="0" w:after="0" w:afterAutospacing="0" w:line="276" w:lineRule="auto"/>
              <w:jc w:val="center"/>
              <w:rPr>
                <w:rFonts w:cs="Arial"/>
                <w:sz w:val="18"/>
                <w:szCs w:val="18"/>
              </w:rPr>
            </w:pPr>
            <w:r w:rsidRPr="00122917">
              <w:rPr>
                <w:rFonts w:cs="Arial"/>
                <w:sz w:val="18"/>
                <w:szCs w:val="18"/>
              </w:rPr>
              <w:t>379 (7.7)</w:t>
            </w:r>
          </w:p>
        </w:tc>
        <w:tc>
          <w:tcPr>
            <w:tcW w:w="1985" w:type="dxa"/>
          </w:tcPr>
          <w:p w14:paraId="1AD99065" w14:textId="77777777" w:rsidR="00895784" w:rsidRPr="00737A30" w:rsidRDefault="00895784" w:rsidP="00951116">
            <w:pPr>
              <w:widowControl/>
              <w:spacing w:before="0" w:beforeAutospacing="0" w:after="0" w:afterAutospacing="0" w:line="276" w:lineRule="auto"/>
              <w:jc w:val="center"/>
              <w:rPr>
                <w:rFonts w:cs="Arial"/>
                <w:sz w:val="18"/>
                <w:szCs w:val="18"/>
              </w:rPr>
            </w:pPr>
            <w:r w:rsidRPr="00122917">
              <w:rPr>
                <w:rFonts w:cs="Arial"/>
                <w:sz w:val="18"/>
                <w:szCs w:val="18"/>
              </w:rPr>
              <w:t>486 (12.1)</w:t>
            </w:r>
          </w:p>
        </w:tc>
        <w:tc>
          <w:tcPr>
            <w:tcW w:w="1701" w:type="dxa"/>
          </w:tcPr>
          <w:p w14:paraId="27852BF0" w14:textId="77777777" w:rsidR="00895784" w:rsidRPr="00737A30" w:rsidRDefault="00895784" w:rsidP="00951116">
            <w:pPr>
              <w:widowControl/>
              <w:spacing w:before="0" w:beforeAutospacing="0" w:after="0" w:afterAutospacing="0" w:line="276" w:lineRule="auto"/>
              <w:jc w:val="center"/>
              <w:rPr>
                <w:rFonts w:cs="Arial"/>
                <w:sz w:val="18"/>
                <w:szCs w:val="18"/>
              </w:rPr>
            </w:pPr>
            <w:r w:rsidRPr="00506C91">
              <w:rPr>
                <w:rFonts w:cs="Arial"/>
                <w:sz w:val="18"/>
                <w:szCs w:val="18"/>
              </w:rPr>
              <w:t>&lt;0.001</w:t>
            </w:r>
          </w:p>
        </w:tc>
      </w:tr>
      <w:tr w:rsidR="00895784" w:rsidRPr="00737A30" w14:paraId="6EE02BE6" w14:textId="77777777" w:rsidTr="00951116">
        <w:trPr>
          <w:trHeight w:val="23"/>
        </w:trPr>
        <w:tc>
          <w:tcPr>
            <w:tcW w:w="3402" w:type="dxa"/>
          </w:tcPr>
          <w:p w14:paraId="26D01D38" w14:textId="77777777" w:rsidR="00895784" w:rsidRPr="00737A30" w:rsidRDefault="00895784" w:rsidP="00951116">
            <w:pPr>
              <w:widowControl/>
              <w:spacing w:before="0" w:beforeAutospacing="0" w:after="0" w:afterAutospacing="0" w:line="276" w:lineRule="auto"/>
              <w:rPr>
                <w:rFonts w:cs="Arial"/>
                <w:sz w:val="18"/>
                <w:szCs w:val="18"/>
              </w:rPr>
            </w:pPr>
            <w:r w:rsidRPr="00302B36">
              <w:rPr>
                <w:rFonts w:cs="Arial"/>
                <w:sz w:val="18"/>
                <w:szCs w:val="18"/>
              </w:rPr>
              <w:t>Any malignancy</w:t>
            </w:r>
          </w:p>
        </w:tc>
        <w:tc>
          <w:tcPr>
            <w:tcW w:w="1985" w:type="dxa"/>
          </w:tcPr>
          <w:p w14:paraId="18FDB20E" w14:textId="77777777" w:rsidR="00895784" w:rsidRPr="00737A30" w:rsidRDefault="00895784" w:rsidP="00951116">
            <w:pPr>
              <w:widowControl/>
              <w:spacing w:before="0" w:beforeAutospacing="0" w:after="0" w:afterAutospacing="0" w:line="276" w:lineRule="auto"/>
              <w:jc w:val="center"/>
              <w:rPr>
                <w:rFonts w:cs="Arial"/>
                <w:sz w:val="18"/>
                <w:szCs w:val="18"/>
              </w:rPr>
            </w:pPr>
            <w:r w:rsidRPr="005330F1">
              <w:rPr>
                <w:rFonts w:cs="Arial"/>
                <w:sz w:val="18"/>
                <w:szCs w:val="18"/>
              </w:rPr>
              <w:t>4,512 (43.7)</w:t>
            </w:r>
          </w:p>
        </w:tc>
        <w:tc>
          <w:tcPr>
            <w:tcW w:w="1984" w:type="dxa"/>
          </w:tcPr>
          <w:p w14:paraId="57A48C37" w14:textId="77777777" w:rsidR="00895784" w:rsidRPr="00737A30" w:rsidRDefault="00895784" w:rsidP="00951116">
            <w:pPr>
              <w:widowControl/>
              <w:spacing w:before="0" w:beforeAutospacing="0" w:after="0" w:afterAutospacing="0" w:line="276" w:lineRule="auto"/>
              <w:jc w:val="center"/>
              <w:rPr>
                <w:rFonts w:cs="Arial"/>
                <w:sz w:val="18"/>
                <w:szCs w:val="18"/>
              </w:rPr>
            </w:pPr>
            <w:r w:rsidRPr="005330F1">
              <w:rPr>
                <w:rFonts w:cs="Arial"/>
                <w:sz w:val="18"/>
                <w:szCs w:val="18"/>
              </w:rPr>
              <w:t>646 (45.4)</w:t>
            </w:r>
          </w:p>
        </w:tc>
        <w:tc>
          <w:tcPr>
            <w:tcW w:w="1984" w:type="dxa"/>
          </w:tcPr>
          <w:p w14:paraId="5EA3FE9C" w14:textId="77777777" w:rsidR="00895784" w:rsidRPr="00737A30" w:rsidRDefault="00895784" w:rsidP="00951116">
            <w:pPr>
              <w:widowControl/>
              <w:spacing w:before="0" w:beforeAutospacing="0" w:after="0" w:afterAutospacing="0" w:line="276" w:lineRule="auto"/>
              <w:jc w:val="center"/>
              <w:rPr>
                <w:rFonts w:cs="Arial"/>
                <w:sz w:val="18"/>
                <w:szCs w:val="18"/>
              </w:rPr>
            </w:pPr>
            <w:r w:rsidRPr="005330F1">
              <w:rPr>
                <w:rFonts w:cs="Arial"/>
                <w:sz w:val="18"/>
                <w:szCs w:val="18"/>
              </w:rPr>
              <w:t>2,151 (43.9)</w:t>
            </w:r>
          </w:p>
        </w:tc>
        <w:tc>
          <w:tcPr>
            <w:tcW w:w="1985" w:type="dxa"/>
          </w:tcPr>
          <w:p w14:paraId="546B7E56" w14:textId="77777777" w:rsidR="00895784" w:rsidRPr="00737A30" w:rsidRDefault="00895784" w:rsidP="00951116">
            <w:pPr>
              <w:widowControl/>
              <w:spacing w:before="0" w:beforeAutospacing="0" w:after="0" w:afterAutospacing="0" w:line="276" w:lineRule="auto"/>
              <w:jc w:val="center"/>
              <w:rPr>
                <w:rFonts w:cs="Arial"/>
                <w:sz w:val="18"/>
                <w:szCs w:val="18"/>
              </w:rPr>
            </w:pPr>
            <w:r w:rsidRPr="005330F1">
              <w:rPr>
                <w:rFonts w:cs="Arial"/>
                <w:sz w:val="18"/>
                <w:szCs w:val="18"/>
              </w:rPr>
              <w:t>1,715 (42.8)</w:t>
            </w:r>
          </w:p>
        </w:tc>
        <w:tc>
          <w:tcPr>
            <w:tcW w:w="1701" w:type="dxa"/>
          </w:tcPr>
          <w:p w14:paraId="3ADA9703"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0.200</w:t>
            </w:r>
          </w:p>
        </w:tc>
      </w:tr>
      <w:tr w:rsidR="00895784" w:rsidRPr="00737A30" w14:paraId="064AF5C4" w14:textId="77777777" w:rsidTr="00951116">
        <w:trPr>
          <w:trHeight w:val="23"/>
        </w:trPr>
        <w:tc>
          <w:tcPr>
            <w:tcW w:w="3402" w:type="dxa"/>
          </w:tcPr>
          <w:p w14:paraId="29010048" w14:textId="77777777" w:rsidR="00895784" w:rsidRPr="00737A30" w:rsidRDefault="00895784" w:rsidP="00951116">
            <w:pPr>
              <w:widowControl/>
              <w:spacing w:before="0" w:beforeAutospacing="0" w:after="0" w:afterAutospacing="0" w:line="276" w:lineRule="auto"/>
              <w:rPr>
                <w:rFonts w:cs="Arial"/>
                <w:sz w:val="18"/>
                <w:szCs w:val="18"/>
              </w:rPr>
            </w:pPr>
            <w:r w:rsidRPr="00894789">
              <w:rPr>
                <w:rFonts w:cs="Arial"/>
                <w:sz w:val="18"/>
                <w:szCs w:val="18"/>
              </w:rPr>
              <w:t>Moderate or severe liver disease</w:t>
            </w:r>
          </w:p>
        </w:tc>
        <w:tc>
          <w:tcPr>
            <w:tcW w:w="1985" w:type="dxa"/>
          </w:tcPr>
          <w:p w14:paraId="26748906" w14:textId="77777777" w:rsidR="00895784" w:rsidRPr="00737A30" w:rsidRDefault="00895784" w:rsidP="00951116">
            <w:pPr>
              <w:widowControl/>
              <w:spacing w:before="0" w:beforeAutospacing="0" w:after="0" w:afterAutospacing="0" w:line="276" w:lineRule="auto"/>
              <w:jc w:val="center"/>
              <w:rPr>
                <w:rFonts w:cs="Arial"/>
                <w:sz w:val="18"/>
                <w:szCs w:val="18"/>
              </w:rPr>
            </w:pPr>
            <w:r w:rsidRPr="004E3AF5">
              <w:rPr>
                <w:rFonts w:cs="Arial"/>
                <w:sz w:val="18"/>
                <w:szCs w:val="18"/>
              </w:rPr>
              <w:t>157 (1.5)</w:t>
            </w:r>
          </w:p>
        </w:tc>
        <w:tc>
          <w:tcPr>
            <w:tcW w:w="1984" w:type="dxa"/>
          </w:tcPr>
          <w:p w14:paraId="5FB96DDD" w14:textId="77777777" w:rsidR="00895784" w:rsidRPr="00737A30" w:rsidRDefault="00895784" w:rsidP="00951116">
            <w:pPr>
              <w:widowControl/>
              <w:spacing w:before="0" w:beforeAutospacing="0" w:after="0" w:afterAutospacing="0" w:line="276" w:lineRule="auto"/>
              <w:jc w:val="center"/>
              <w:rPr>
                <w:rFonts w:cs="Arial"/>
                <w:sz w:val="18"/>
                <w:szCs w:val="18"/>
              </w:rPr>
            </w:pPr>
            <w:r w:rsidRPr="004E3AF5">
              <w:rPr>
                <w:rFonts w:cs="Arial"/>
                <w:sz w:val="18"/>
                <w:szCs w:val="18"/>
              </w:rPr>
              <w:t>26 (1.8)</w:t>
            </w:r>
          </w:p>
        </w:tc>
        <w:tc>
          <w:tcPr>
            <w:tcW w:w="1984" w:type="dxa"/>
          </w:tcPr>
          <w:p w14:paraId="67B8AA73" w14:textId="77777777" w:rsidR="00895784" w:rsidRPr="00737A30" w:rsidRDefault="00895784" w:rsidP="00951116">
            <w:pPr>
              <w:widowControl/>
              <w:spacing w:before="0" w:beforeAutospacing="0" w:after="0" w:afterAutospacing="0" w:line="276" w:lineRule="auto"/>
              <w:jc w:val="center"/>
              <w:rPr>
                <w:rFonts w:cs="Arial"/>
                <w:sz w:val="18"/>
                <w:szCs w:val="18"/>
              </w:rPr>
            </w:pPr>
            <w:r w:rsidRPr="004E3AF5">
              <w:rPr>
                <w:rFonts w:cs="Arial"/>
                <w:sz w:val="18"/>
                <w:szCs w:val="18"/>
              </w:rPr>
              <w:t>73 (1.5)</w:t>
            </w:r>
          </w:p>
        </w:tc>
        <w:tc>
          <w:tcPr>
            <w:tcW w:w="1985" w:type="dxa"/>
          </w:tcPr>
          <w:p w14:paraId="326FDE96" w14:textId="77777777" w:rsidR="00895784" w:rsidRPr="00737A30" w:rsidRDefault="00895784" w:rsidP="00951116">
            <w:pPr>
              <w:widowControl/>
              <w:spacing w:before="0" w:beforeAutospacing="0" w:after="0" w:afterAutospacing="0" w:line="276" w:lineRule="auto"/>
              <w:jc w:val="center"/>
              <w:rPr>
                <w:rFonts w:cs="Arial"/>
                <w:sz w:val="18"/>
                <w:szCs w:val="18"/>
              </w:rPr>
            </w:pPr>
            <w:r w:rsidRPr="004E3AF5">
              <w:rPr>
                <w:rFonts w:cs="Arial"/>
                <w:sz w:val="18"/>
                <w:szCs w:val="18"/>
              </w:rPr>
              <w:t>58 (1.4)</w:t>
            </w:r>
          </w:p>
        </w:tc>
        <w:tc>
          <w:tcPr>
            <w:tcW w:w="1701" w:type="dxa"/>
          </w:tcPr>
          <w:p w14:paraId="08BAEE0C"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0.600</w:t>
            </w:r>
          </w:p>
        </w:tc>
      </w:tr>
      <w:tr w:rsidR="00895784" w:rsidRPr="00737A30" w14:paraId="65E3B509" w14:textId="77777777" w:rsidTr="00951116">
        <w:trPr>
          <w:trHeight w:val="23"/>
        </w:trPr>
        <w:tc>
          <w:tcPr>
            <w:tcW w:w="3402" w:type="dxa"/>
          </w:tcPr>
          <w:p w14:paraId="04C3048C" w14:textId="77777777" w:rsidR="00895784" w:rsidRPr="00737A30" w:rsidRDefault="00895784" w:rsidP="00951116">
            <w:pPr>
              <w:widowControl/>
              <w:spacing w:before="0" w:beforeAutospacing="0" w:after="0" w:afterAutospacing="0" w:line="276" w:lineRule="auto"/>
              <w:rPr>
                <w:rFonts w:cs="Arial"/>
                <w:sz w:val="18"/>
                <w:szCs w:val="18"/>
              </w:rPr>
            </w:pPr>
            <w:r w:rsidRPr="00894789">
              <w:rPr>
                <w:rFonts w:cs="Arial"/>
                <w:sz w:val="18"/>
                <w:szCs w:val="18"/>
              </w:rPr>
              <w:t>Metastatic solid tumor</w:t>
            </w:r>
          </w:p>
        </w:tc>
        <w:tc>
          <w:tcPr>
            <w:tcW w:w="1985" w:type="dxa"/>
          </w:tcPr>
          <w:p w14:paraId="48922602" w14:textId="77777777" w:rsidR="00895784" w:rsidRPr="00737A30" w:rsidRDefault="00895784" w:rsidP="00951116">
            <w:pPr>
              <w:widowControl/>
              <w:spacing w:before="0" w:beforeAutospacing="0" w:after="0" w:afterAutospacing="0" w:line="276" w:lineRule="auto"/>
              <w:jc w:val="center"/>
              <w:rPr>
                <w:rFonts w:cs="Arial"/>
                <w:sz w:val="18"/>
                <w:szCs w:val="18"/>
              </w:rPr>
            </w:pPr>
            <w:r w:rsidRPr="006F1CE7">
              <w:rPr>
                <w:rFonts w:cs="Arial"/>
                <w:sz w:val="18"/>
                <w:szCs w:val="18"/>
              </w:rPr>
              <w:t>650 (6.3)</w:t>
            </w:r>
          </w:p>
        </w:tc>
        <w:tc>
          <w:tcPr>
            <w:tcW w:w="1984" w:type="dxa"/>
          </w:tcPr>
          <w:p w14:paraId="29C8E894" w14:textId="77777777" w:rsidR="00895784" w:rsidRPr="00737A30" w:rsidRDefault="00895784" w:rsidP="00951116">
            <w:pPr>
              <w:widowControl/>
              <w:spacing w:before="0" w:beforeAutospacing="0" w:after="0" w:afterAutospacing="0" w:line="276" w:lineRule="auto"/>
              <w:jc w:val="center"/>
              <w:rPr>
                <w:rFonts w:cs="Arial"/>
                <w:sz w:val="18"/>
                <w:szCs w:val="18"/>
              </w:rPr>
            </w:pPr>
            <w:r w:rsidRPr="006F1CE7">
              <w:rPr>
                <w:rFonts w:cs="Arial"/>
                <w:sz w:val="18"/>
                <w:szCs w:val="18"/>
              </w:rPr>
              <w:t>90 (6.3)</w:t>
            </w:r>
          </w:p>
        </w:tc>
        <w:tc>
          <w:tcPr>
            <w:tcW w:w="1984" w:type="dxa"/>
          </w:tcPr>
          <w:p w14:paraId="1B8F450B" w14:textId="77777777" w:rsidR="00895784" w:rsidRPr="00737A30" w:rsidRDefault="00895784" w:rsidP="00951116">
            <w:pPr>
              <w:widowControl/>
              <w:spacing w:before="0" w:beforeAutospacing="0" w:after="0" w:afterAutospacing="0" w:line="276" w:lineRule="auto"/>
              <w:jc w:val="center"/>
              <w:rPr>
                <w:rFonts w:cs="Arial"/>
                <w:sz w:val="18"/>
                <w:szCs w:val="18"/>
              </w:rPr>
            </w:pPr>
            <w:r w:rsidRPr="006F1CE7">
              <w:rPr>
                <w:rFonts w:cs="Arial"/>
                <w:sz w:val="18"/>
                <w:szCs w:val="18"/>
              </w:rPr>
              <w:t>295 (6.0)</w:t>
            </w:r>
          </w:p>
        </w:tc>
        <w:tc>
          <w:tcPr>
            <w:tcW w:w="1985" w:type="dxa"/>
          </w:tcPr>
          <w:p w14:paraId="62587137" w14:textId="77777777" w:rsidR="00895784" w:rsidRPr="00737A30" w:rsidRDefault="00895784" w:rsidP="00951116">
            <w:pPr>
              <w:widowControl/>
              <w:spacing w:before="0" w:beforeAutospacing="0" w:after="0" w:afterAutospacing="0" w:line="276" w:lineRule="auto"/>
              <w:jc w:val="center"/>
              <w:rPr>
                <w:rFonts w:cs="Arial"/>
                <w:sz w:val="18"/>
                <w:szCs w:val="18"/>
              </w:rPr>
            </w:pPr>
            <w:r w:rsidRPr="006F1CE7">
              <w:rPr>
                <w:rFonts w:cs="Arial"/>
                <w:sz w:val="18"/>
                <w:szCs w:val="18"/>
              </w:rPr>
              <w:t>265 (6.6)</w:t>
            </w:r>
          </w:p>
        </w:tc>
        <w:tc>
          <w:tcPr>
            <w:tcW w:w="1701" w:type="dxa"/>
          </w:tcPr>
          <w:p w14:paraId="75FC29FD"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0.500</w:t>
            </w:r>
          </w:p>
        </w:tc>
      </w:tr>
      <w:tr w:rsidR="00895784" w:rsidRPr="00737A30" w14:paraId="35117B70" w14:textId="77777777" w:rsidTr="00951116">
        <w:trPr>
          <w:trHeight w:val="23"/>
        </w:trPr>
        <w:tc>
          <w:tcPr>
            <w:tcW w:w="3402" w:type="dxa"/>
            <w:tcBorders>
              <w:bottom w:val="single" w:sz="4" w:space="0" w:color="auto"/>
            </w:tcBorders>
          </w:tcPr>
          <w:p w14:paraId="6BA50A49" w14:textId="77777777" w:rsidR="00895784" w:rsidRPr="00737A30" w:rsidRDefault="00895784" w:rsidP="00951116">
            <w:pPr>
              <w:widowControl/>
              <w:spacing w:before="0" w:beforeAutospacing="0" w:after="0" w:afterAutospacing="0" w:line="276" w:lineRule="auto"/>
              <w:rPr>
                <w:rFonts w:cs="Arial"/>
                <w:sz w:val="18"/>
                <w:szCs w:val="18"/>
              </w:rPr>
            </w:pPr>
            <w:r w:rsidRPr="00894789">
              <w:rPr>
                <w:rFonts w:cs="Arial"/>
                <w:sz w:val="18"/>
                <w:szCs w:val="18"/>
              </w:rPr>
              <w:t>AIDS/HIV</w:t>
            </w:r>
          </w:p>
        </w:tc>
        <w:tc>
          <w:tcPr>
            <w:tcW w:w="1985" w:type="dxa"/>
            <w:tcBorders>
              <w:bottom w:val="single" w:sz="4" w:space="0" w:color="auto"/>
            </w:tcBorders>
          </w:tcPr>
          <w:p w14:paraId="35888190"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0</w:t>
            </w:r>
          </w:p>
        </w:tc>
        <w:tc>
          <w:tcPr>
            <w:tcW w:w="1984" w:type="dxa"/>
            <w:tcBorders>
              <w:bottom w:val="single" w:sz="4" w:space="0" w:color="auto"/>
            </w:tcBorders>
            <w:noWrap/>
          </w:tcPr>
          <w:p w14:paraId="50DF52A5"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0</w:t>
            </w:r>
          </w:p>
        </w:tc>
        <w:tc>
          <w:tcPr>
            <w:tcW w:w="1984" w:type="dxa"/>
            <w:tcBorders>
              <w:bottom w:val="single" w:sz="4" w:space="0" w:color="auto"/>
            </w:tcBorders>
            <w:noWrap/>
          </w:tcPr>
          <w:p w14:paraId="22725BE9"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0</w:t>
            </w:r>
          </w:p>
        </w:tc>
        <w:tc>
          <w:tcPr>
            <w:tcW w:w="1985" w:type="dxa"/>
            <w:tcBorders>
              <w:bottom w:val="single" w:sz="4" w:space="0" w:color="auto"/>
            </w:tcBorders>
            <w:noWrap/>
          </w:tcPr>
          <w:p w14:paraId="183CB690" w14:textId="77777777" w:rsidR="00895784" w:rsidRPr="00737A30" w:rsidRDefault="00895784" w:rsidP="00951116">
            <w:pPr>
              <w:widowControl/>
              <w:spacing w:before="0" w:beforeAutospacing="0" w:after="0" w:afterAutospacing="0" w:line="276" w:lineRule="auto"/>
              <w:jc w:val="center"/>
              <w:rPr>
                <w:rFonts w:cs="Arial"/>
                <w:sz w:val="18"/>
                <w:szCs w:val="18"/>
              </w:rPr>
            </w:pPr>
            <w:r>
              <w:rPr>
                <w:rFonts w:cs="Arial"/>
                <w:sz w:val="18"/>
                <w:szCs w:val="18"/>
              </w:rPr>
              <w:t>0</w:t>
            </w:r>
          </w:p>
        </w:tc>
        <w:tc>
          <w:tcPr>
            <w:tcW w:w="1701" w:type="dxa"/>
            <w:tcBorders>
              <w:bottom w:val="single" w:sz="4" w:space="0" w:color="auto"/>
            </w:tcBorders>
          </w:tcPr>
          <w:p w14:paraId="6C347FA3" w14:textId="77777777" w:rsidR="00895784" w:rsidRPr="00737A30" w:rsidRDefault="00895784" w:rsidP="00951116">
            <w:pPr>
              <w:widowControl/>
              <w:spacing w:before="0" w:beforeAutospacing="0" w:after="0" w:afterAutospacing="0" w:line="276" w:lineRule="auto"/>
              <w:jc w:val="center"/>
              <w:rPr>
                <w:rFonts w:cs="Arial"/>
                <w:sz w:val="18"/>
                <w:szCs w:val="18"/>
              </w:rPr>
            </w:pPr>
          </w:p>
        </w:tc>
      </w:tr>
    </w:tbl>
    <w:p w14:paraId="7AB94ED3" w14:textId="77777777" w:rsidR="00895784" w:rsidRPr="00380AB0" w:rsidRDefault="00895784" w:rsidP="00895784">
      <w:pPr>
        <w:spacing w:before="0" w:beforeAutospacing="0" w:after="0" w:afterAutospacing="0" w:line="276" w:lineRule="auto"/>
        <w:rPr>
          <w:rFonts w:cs="Arial"/>
          <w:sz w:val="18"/>
          <w:szCs w:val="18"/>
        </w:rPr>
      </w:pPr>
      <w:r w:rsidRPr="00380AB0">
        <w:rPr>
          <w:rFonts w:cs="Arial"/>
          <w:sz w:val="18"/>
          <w:szCs w:val="18"/>
          <w:vertAlign w:val="superscript"/>
        </w:rPr>
        <w:t>a</w:t>
      </w:r>
      <w:r w:rsidRPr="00380AB0">
        <w:rPr>
          <w:rFonts w:cs="Arial"/>
          <w:sz w:val="18"/>
          <w:szCs w:val="18"/>
        </w:rPr>
        <w:t>p-values for χ2 tests (binary/categorical variables).</w:t>
      </w:r>
    </w:p>
    <w:p w14:paraId="1AA249AF" w14:textId="7D53C5C7" w:rsidR="00973990" w:rsidRDefault="00895784" w:rsidP="00895784">
      <w:pPr>
        <w:widowControl/>
        <w:spacing w:before="0" w:beforeAutospacing="0" w:after="160" w:afterAutospacing="0" w:line="278" w:lineRule="auto"/>
        <w:rPr>
          <w:rFonts w:eastAsiaTheme="majorEastAsia" w:cstheme="majorBidi"/>
          <w:b/>
          <w:bCs/>
          <w:color w:val="000000" w:themeColor="text1"/>
          <w:szCs w:val="20"/>
          <w:lang w:eastAsia="ja-JP"/>
        </w:rPr>
      </w:pPr>
      <w:r w:rsidRPr="00380AB0">
        <w:rPr>
          <w:rFonts w:cs="Arial"/>
          <w:b/>
          <w:bCs/>
          <w:sz w:val="18"/>
          <w:szCs w:val="18"/>
        </w:rPr>
        <w:t xml:space="preserve">Abbreviations: </w:t>
      </w:r>
      <w:r w:rsidRPr="00380AB0">
        <w:rPr>
          <w:rFonts w:cs="Arial"/>
          <w:sz w:val="18"/>
          <w:szCs w:val="18"/>
        </w:rPr>
        <w:t>AIDS, acquired immunodeficiency syndrome; HIV, human immunodeficiency virus</w:t>
      </w:r>
      <w:r w:rsidR="00973990">
        <w:rPr>
          <w:b/>
          <w:bCs/>
          <w:color w:val="000000" w:themeColor="text1"/>
          <w:szCs w:val="20"/>
          <w:lang w:eastAsia="ja-JP"/>
        </w:rPr>
        <w:br w:type="page"/>
      </w:r>
    </w:p>
    <w:p w14:paraId="2C26530E" w14:textId="4AB2BB94" w:rsidR="00D250E5" w:rsidRPr="00C35227" w:rsidRDefault="00D250E5" w:rsidP="00C35227">
      <w:pPr>
        <w:pStyle w:val="Heading3"/>
        <w:rPr>
          <w:b/>
          <w:bCs/>
          <w:color w:val="000000" w:themeColor="text1"/>
          <w:sz w:val="20"/>
          <w:szCs w:val="20"/>
          <w:lang w:eastAsia="ja-JP"/>
        </w:rPr>
      </w:pPr>
      <w:r w:rsidRPr="00D250E5">
        <w:rPr>
          <w:b/>
          <w:bCs/>
          <w:color w:val="000000" w:themeColor="text1"/>
          <w:sz w:val="20"/>
          <w:szCs w:val="20"/>
          <w:lang w:eastAsia="ja-JP"/>
        </w:rPr>
        <w:lastRenderedPageBreak/>
        <w:t xml:space="preserve">Supplementary Table </w:t>
      </w:r>
      <w:r w:rsidR="00895784">
        <w:rPr>
          <w:b/>
          <w:bCs/>
          <w:color w:val="000000" w:themeColor="text1"/>
          <w:sz w:val="20"/>
          <w:szCs w:val="20"/>
          <w:lang w:eastAsia="ja-JP"/>
        </w:rPr>
        <w:t>4</w:t>
      </w:r>
      <w:r w:rsidRPr="00737A30">
        <w:rPr>
          <w:lang w:eastAsia="ja-JP"/>
        </w:rPr>
        <w:t xml:space="preserve"> </w:t>
      </w:r>
      <w:r w:rsidRPr="00C35227">
        <w:rPr>
          <w:b/>
          <w:bCs/>
          <w:color w:val="000000" w:themeColor="text1"/>
          <w:sz w:val="20"/>
          <w:szCs w:val="20"/>
          <w:lang w:eastAsia="ja-JP"/>
        </w:rPr>
        <w:t>Incidence rates and rate ratios for COPD exacerbations by type 2 inflammation status overall and in patients with or without bronchial asthma</w:t>
      </w:r>
    </w:p>
    <w:tbl>
      <w:tblPr>
        <w:tblW w:w="0" w:type="auto"/>
        <w:tblInd w:w="-49" w:type="dxa"/>
        <w:tblLayout w:type="fixed"/>
        <w:tblCellMar>
          <w:left w:w="99" w:type="dxa"/>
          <w:right w:w="99" w:type="dxa"/>
        </w:tblCellMar>
        <w:tblLook w:val="04A0" w:firstRow="1" w:lastRow="0" w:firstColumn="1" w:lastColumn="0" w:noHBand="0" w:noVBand="1"/>
      </w:tblPr>
      <w:tblGrid>
        <w:gridCol w:w="4302"/>
        <w:gridCol w:w="992"/>
        <w:gridCol w:w="992"/>
        <w:gridCol w:w="1418"/>
        <w:gridCol w:w="1575"/>
        <w:gridCol w:w="1576"/>
        <w:gridCol w:w="1576"/>
        <w:gridCol w:w="1576"/>
      </w:tblGrid>
      <w:tr w:rsidR="00D250E5" w:rsidRPr="00737A30" w14:paraId="46F89567" w14:textId="77777777" w:rsidTr="002D2677">
        <w:trPr>
          <w:trHeight w:val="23"/>
        </w:trPr>
        <w:tc>
          <w:tcPr>
            <w:tcW w:w="4302" w:type="dxa"/>
            <w:tcBorders>
              <w:top w:val="single" w:sz="4" w:space="0" w:color="auto"/>
              <w:left w:val="nil"/>
              <w:bottom w:val="single" w:sz="4" w:space="0" w:color="auto"/>
              <w:right w:val="nil"/>
            </w:tcBorders>
            <w:noWrap/>
          </w:tcPr>
          <w:p w14:paraId="554D1AC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92" w:type="dxa"/>
            <w:tcBorders>
              <w:top w:val="single" w:sz="4" w:space="0" w:color="auto"/>
              <w:left w:val="nil"/>
              <w:bottom w:val="single" w:sz="4" w:space="0" w:color="auto"/>
              <w:right w:val="nil"/>
            </w:tcBorders>
            <w:noWrap/>
            <w:hideMark/>
          </w:tcPr>
          <w:p w14:paraId="0A08095A"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Patients, n</w:t>
            </w:r>
          </w:p>
        </w:tc>
        <w:tc>
          <w:tcPr>
            <w:tcW w:w="992" w:type="dxa"/>
            <w:tcBorders>
              <w:top w:val="single" w:sz="4" w:space="0" w:color="auto"/>
              <w:left w:val="nil"/>
              <w:bottom w:val="single" w:sz="4" w:space="0" w:color="auto"/>
              <w:right w:val="nil"/>
            </w:tcBorders>
            <w:noWrap/>
            <w:hideMark/>
          </w:tcPr>
          <w:p w14:paraId="715B6DC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Events, n</w:t>
            </w:r>
          </w:p>
        </w:tc>
        <w:tc>
          <w:tcPr>
            <w:tcW w:w="1418" w:type="dxa"/>
            <w:tcBorders>
              <w:top w:val="single" w:sz="4" w:space="0" w:color="auto"/>
              <w:left w:val="nil"/>
              <w:bottom w:val="single" w:sz="4" w:space="0" w:color="auto"/>
              <w:right w:val="nil"/>
            </w:tcBorders>
            <w:hideMark/>
          </w:tcPr>
          <w:p w14:paraId="5B8E577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Follow-up, patient-years</w:t>
            </w:r>
          </w:p>
        </w:tc>
        <w:tc>
          <w:tcPr>
            <w:tcW w:w="1575" w:type="dxa"/>
            <w:tcBorders>
              <w:top w:val="single" w:sz="4" w:space="0" w:color="auto"/>
              <w:left w:val="nil"/>
              <w:bottom w:val="single" w:sz="4" w:space="0" w:color="auto"/>
              <w:right w:val="nil"/>
            </w:tcBorders>
            <w:noWrap/>
            <w:hideMark/>
          </w:tcPr>
          <w:p w14:paraId="7EBE155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Crude incidence</w:t>
            </w:r>
            <w:r w:rsidRPr="00685413">
              <w:rPr>
                <w:rFonts w:eastAsia="Yu Gothic" w:cs="Arial"/>
                <w:color w:val="000000"/>
                <w:sz w:val="18"/>
                <w:szCs w:val="18"/>
                <w:lang w:eastAsia="ja-JP"/>
              </w:rPr>
              <w:br/>
              <w:t>(95% CI)</w:t>
            </w:r>
            <w:r w:rsidRPr="00685413">
              <w:rPr>
                <w:rFonts w:eastAsia="Yu Gothic" w:cs="Arial"/>
                <w:color w:val="000000"/>
                <w:sz w:val="18"/>
                <w:szCs w:val="18"/>
                <w:vertAlign w:val="superscript"/>
                <w:lang w:eastAsia="ja-JP"/>
              </w:rPr>
              <w:t>a</w:t>
            </w:r>
          </w:p>
        </w:tc>
        <w:tc>
          <w:tcPr>
            <w:tcW w:w="1576" w:type="dxa"/>
            <w:tcBorders>
              <w:top w:val="single" w:sz="4" w:space="0" w:color="auto"/>
              <w:left w:val="nil"/>
              <w:bottom w:val="single" w:sz="4" w:space="0" w:color="auto"/>
              <w:right w:val="nil"/>
            </w:tcBorders>
            <w:noWrap/>
            <w:hideMark/>
          </w:tcPr>
          <w:p w14:paraId="5D44C14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Adjusted incidence</w:t>
            </w:r>
            <w:r w:rsidRPr="00685413">
              <w:rPr>
                <w:rFonts w:eastAsia="Yu Gothic" w:cs="Arial"/>
                <w:color w:val="000000"/>
                <w:sz w:val="18"/>
                <w:szCs w:val="18"/>
                <w:vertAlign w:val="superscript"/>
                <w:lang w:eastAsia="ja-JP"/>
              </w:rPr>
              <w:br/>
            </w:r>
            <w:r w:rsidRPr="00685413">
              <w:rPr>
                <w:rFonts w:eastAsia="Yu Gothic" w:cs="Arial"/>
                <w:color w:val="000000"/>
                <w:sz w:val="18"/>
                <w:szCs w:val="18"/>
                <w:lang w:eastAsia="ja-JP"/>
              </w:rPr>
              <w:t>(95% CI)</w:t>
            </w:r>
            <w:r w:rsidRPr="00685413">
              <w:rPr>
                <w:rFonts w:eastAsia="Yu Gothic" w:cs="Arial"/>
                <w:color w:val="000000"/>
                <w:sz w:val="18"/>
                <w:szCs w:val="18"/>
                <w:vertAlign w:val="superscript"/>
                <w:lang w:eastAsia="ja-JP"/>
              </w:rPr>
              <w:t>a</w:t>
            </w:r>
          </w:p>
        </w:tc>
        <w:tc>
          <w:tcPr>
            <w:tcW w:w="1576" w:type="dxa"/>
            <w:tcBorders>
              <w:top w:val="single" w:sz="4" w:space="0" w:color="auto"/>
              <w:left w:val="nil"/>
              <w:bottom w:val="single" w:sz="4" w:space="0" w:color="auto"/>
              <w:right w:val="nil"/>
            </w:tcBorders>
            <w:noWrap/>
            <w:hideMark/>
          </w:tcPr>
          <w:p w14:paraId="31B6CC2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Rate ratio vs Intermediate</w:t>
            </w:r>
            <w:r w:rsidRPr="00685413">
              <w:rPr>
                <w:rFonts w:eastAsia="Yu Gothic" w:cs="Arial"/>
                <w:color w:val="000000"/>
                <w:sz w:val="18"/>
                <w:szCs w:val="18"/>
                <w:vertAlign w:val="superscript"/>
                <w:lang w:eastAsia="ja-JP"/>
              </w:rPr>
              <w:br/>
            </w:r>
            <w:r w:rsidRPr="00685413">
              <w:rPr>
                <w:rFonts w:eastAsia="Yu Gothic" w:cs="Arial"/>
                <w:color w:val="000000"/>
                <w:sz w:val="18"/>
                <w:szCs w:val="18"/>
                <w:lang w:eastAsia="ja-JP"/>
              </w:rPr>
              <w:t>(95% CI)</w:t>
            </w:r>
          </w:p>
        </w:tc>
        <w:tc>
          <w:tcPr>
            <w:tcW w:w="1576" w:type="dxa"/>
            <w:tcBorders>
              <w:top w:val="single" w:sz="4" w:space="0" w:color="auto"/>
              <w:left w:val="nil"/>
              <w:bottom w:val="single" w:sz="4" w:space="0" w:color="auto"/>
              <w:right w:val="nil"/>
            </w:tcBorders>
            <w:hideMark/>
          </w:tcPr>
          <w:p w14:paraId="4CC1EEF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Rate ratio</w:t>
            </w:r>
            <w:r w:rsidRPr="00685413">
              <w:rPr>
                <w:rFonts w:eastAsia="Yu Gothic" w:cs="Arial"/>
                <w:color w:val="000000"/>
                <w:sz w:val="18"/>
                <w:szCs w:val="18"/>
                <w:lang w:eastAsia="ja-JP"/>
              </w:rPr>
              <w:br/>
              <w:t>(95% CI)</w:t>
            </w:r>
            <w:r w:rsidRPr="00685413">
              <w:rPr>
                <w:rFonts w:eastAsia="Yu Gothic" w:cs="Arial"/>
                <w:color w:val="000000"/>
                <w:sz w:val="18"/>
                <w:szCs w:val="18"/>
                <w:lang w:eastAsia="ja-JP"/>
              </w:rPr>
              <w:br/>
              <w:t>(High vs low)</w:t>
            </w:r>
          </w:p>
        </w:tc>
      </w:tr>
      <w:tr w:rsidR="00D250E5" w:rsidRPr="00737A30" w14:paraId="2527A460" w14:textId="77777777" w:rsidTr="002D2677">
        <w:trPr>
          <w:trHeight w:val="23"/>
        </w:trPr>
        <w:tc>
          <w:tcPr>
            <w:tcW w:w="4302" w:type="dxa"/>
            <w:tcBorders>
              <w:top w:val="single" w:sz="4" w:space="0" w:color="auto"/>
              <w:left w:val="nil"/>
              <w:bottom w:val="single" w:sz="4" w:space="0" w:color="auto"/>
              <w:right w:val="nil"/>
            </w:tcBorders>
            <w:noWrap/>
          </w:tcPr>
          <w:p w14:paraId="498861F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Overall population</w:t>
            </w:r>
          </w:p>
        </w:tc>
        <w:tc>
          <w:tcPr>
            <w:tcW w:w="992" w:type="dxa"/>
            <w:tcBorders>
              <w:top w:val="single" w:sz="4" w:space="0" w:color="auto"/>
              <w:left w:val="nil"/>
              <w:bottom w:val="single" w:sz="4" w:space="0" w:color="auto"/>
              <w:right w:val="nil"/>
            </w:tcBorders>
            <w:noWrap/>
          </w:tcPr>
          <w:p w14:paraId="1022260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92" w:type="dxa"/>
            <w:tcBorders>
              <w:top w:val="single" w:sz="4" w:space="0" w:color="auto"/>
              <w:left w:val="nil"/>
              <w:bottom w:val="single" w:sz="4" w:space="0" w:color="auto"/>
              <w:right w:val="nil"/>
            </w:tcBorders>
            <w:noWrap/>
          </w:tcPr>
          <w:p w14:paraId="0918CAD6"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single" w:sz="4" w:space="0" w:color="auto"/>
              <w:left w:val="nil"/>
              <w:bottom w:val="single" w:sz="4" w:space="0" w:color="auto"/>
              <w:right w:val="nil"/>
            </w:tcBorders>
            <w:noWrap/>
          </w:tcPr>
          <w:p w14:paraId="172A1863"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single" w:sz="4" w:space="0" w:color="auto"/>
              <w:left w:val="nil"/>
              <w:bottom w:val="single" w:sz="4" w:space="0" w:color="auto"/>
              <w:right w:val="nil"/>
            </w:tcBorders>
            <w:noWrap/>
          </w:tcPr>
          <w:p w14:paraId="44F63A9F"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single" w:sz="4" w:space="0" w:color="auto"/>
              <w:right w:val="nil"/>
            </w:tcBorders>
            <w:noWrap/>
          </w:tcPr>
          <w:p w14:paraId="3533C97E"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single" w:sz="4" w:space="0" w:color="auto"/>
              <w:right w:val="nil"/>
            </w:tcBorders>
            <w:noWrap/>
          </w:tcPr>
          <w:p w14:paraId="1EC5B78C"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single" w:sz="4" w:space="0" w:color="auto"/>
              <w:right w:val="nil"/>
            </w:tcBorders>
            <w:noWrap/>
          </w:tcPr>
          <w:p w14:paraId="221F485C"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4FEB521C" w14:textId="77777777" w:rsidTr="002D2677">
        <w:trPr>
          <w:trHeight w:val="23"/>
        </w:trPr>
        <w:tc>
          <w:tcPr>
            <w:tcW w:w="4302" w:type="dxa"/>
            <w:tcBorders>
              <w:top w:val="single" w:sz="4" w:space="0" w:color="auto"/>
              <w:left w:val="nil"/>
              <w:bottom w:val="nil"/>
              <w:right w:val="nil"/>
            </w:tcBorders>
            <w:noWrap/>
            <w:hideMark/>
          </w:tcPr>
          <w:p w14:paraId="7CD9BE2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Moderate COPD exacerbation</w:t>
            </w:r>
          </w:p>
        </w:tc>
        <w:tc>
          <w:tcPr>
            <w:tcW w:w="992" w:type="dxa"/>
            <w:tcBorders>
              <w:top w:val="single" w:sz="4" w:space="0" w:color="auto"/>
              <w:left w:val="nil"/>
              <w:bottom w:val="nil"/>
              <w:right w:val="nil"/>
            </w:tcBorders>
            <w:noWrap/>
            <w:hideMark/>
          </w:tcPr>
          <w:p w14:paraId="485FEE3A"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92" w:type="dxa"/>
            <w:tcBorders>
              <w:top w:val="single" w:sz="4" w:space="0" w:color="auto"/>
              <w:left w:val="nil"/>
              <w:bottom w:val="nil"/>
              <w:right w:val="nil"/>
            </w:tcBorders>
            <w:noWrap/>
            <w:hideMark/>
          </w:tcPr>
          <w:p w14:paraId="2342F2D3"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single" w:sz="4" w:space="0" w:color="auto"/>
              <w:left w:val="nil"/>
              <w:bottom w:val="nil"/>
              <w:right w:val="nil"/>
            </w:tcBorders>
            <w:noWrap/>
            <w:hideMark/>
          </w:tcPr>
          <w:p w14:paraId="5A6A54A1"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single" w:sz="4" w:space="0" w:color="auto"/>
              <w:left w:val="nil"/>
              <w:bottom w:val="nil"/>
              <w:right w:val="nil"/>
            </w:tcBorders>
            <w:noWrap/>
            <w:hideMark/>
          </w:tcPr>
          <w:p w14:paraId="3C3D855F"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nil"/>
              <w:right w:val="nil"/>
            </w:tcBorders>
            <w:noWrap/>
            <w:hideMark/>
          </w:tcPr>
          <w:p w14:paraId="1F326208"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nil"/>
              <w:right w:val="nil"/>
            </w:tcBorders>
            <w:noWrap/>
            <w:hideMark/>
          </w:tcPr>
          <w:p w14:paraId="6AE7A28C"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nil"/>
              <w:right w:val="nil"/>
            </w:tcBorders>
            <w:noWrap/>
            <w:hideMark/>
          </w:tcPr>
          <w:p w14:paraId="5353C64D"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3298D083" w14:textId="77777777" w:rsidTr="002D2677">
        <w:trPr>
          <w:trHeight w:val="23"/>
        </w:trPr>
        <w:tc>
          <w:tcPr>
            <w:tcW w:w="4302" w:type="dxa"/>
            <w:tcBorders>
              <w:top w:val="nil"/>
              <w:left w:val="nil"/>
              <w:bottom w:val="nil"/>
              <w:right w:val="nil"/>
            </w:tcBorders>
            <w:noWrap/>
            <w:hideMark/>
          </w:tcPr>
          <w:p w14:paraId="11B9E9B8"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Low</w:t>
            </w:r>
          </w:p>
        </w:tc>
        <w:tc>
          <w:tcPr>
            <w:tcW w:w="992" w:type="dxa"/>
            <w:tcBorders>
              <w:top w:val="nil"/>
              <w:left w:val="nil"/>
              <w:bottom w:val="nil"/>
              <w:right w:val="nil"/>
            </w:tcBorders>
            <w:noWrap/>
            <w:hideMark/>
          </w:tcPr>
          <w:p w14:paraId="244800C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1,423</w:t>
            </w:r>
          </w:p>
        </w:tc>
        <w:tc>
          <w:tcPr>
            <w:tcW w:w="992" w:type="dxa"/>
            <w:tcBorders>
              <w:top w:val="nil"/>
              <w:left w:val="nil"/>
              <w:bottom w:val="nil"/>
              <w:right w:val="nil"/>
            </w:tcBorders>
            <w:noWrap/>
            <w:hideMark/>
          </w:tcPr>
          <w:p w14:paraId="79519578"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1,447</w:t>
            </w:r>
          </w:p>
        </w:tc>
        <w:tc>
          <w:tcPr>
            <w:tcW w:w="1418" w:type="dxa"/>
            <w:tcBorders>
              <w:top w:val="nil"/>
              <w:left w:val="nil"/>
              <w:bottom w:val="nil"/>
              <w:right w:val="nil"/>
            </w:tcBorders>
            <w:noWrap/>
            <w:hideMark/>
          </w:tcPr>
          <w:p w14:paraId="49E026FC"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3,402.1</w:t>
            </w:r>
          </w:p>
        </w:tc>
        <w:tc>
          <w:tcPr>
            <w:tcW w:w="1575" w:type="dxa"/>
            <w:tcBorders>
              <w:top w:val="nil"/>
              <w:left w:val="nil"/>
              <w:bottom w:val="nil"/>
              <w:right w:val="nil"/>
            </w:tcBorders>
            <w:noWrap/>
            <w:hideMark/>
          </w:tcPr>
          <w:p w14:paraId="37447E4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42.5 (40.4, 44.8)</w:t>
            </w:r>
          </w:p>
        </w:tc>
        <w:tc>
          <w:tcPr>
            <w:tcW w:w="1576" w:type="dxa"/>
            <w:tcBorders>
              <w:top w:val="nil"/>
              <w:left w:val="nil"/>
              <w:bottom w:val="nil"/>
              <w:right w:val="nil"/>
            </w:tcBorders>
            <w:noWrap/>
            <w:hideMark/>
          </w:tcPr>
          <w:p w14:paraId="59ACE60C"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41.6 (37.7, 46.0)</w:t>
            </w:r>
          </w:p>
        </w:tc>
        <w:tc>
          <w:tcPr>
            <w:tcW w:w="1576" w:type="dxa"/>
            <w:tcBorders>
              <w:top w:val="nil"/>
              <w:left w:val="nil"/>
              <w:bottom w:val="nil"/>
              <w:right w:val="nil"/>
            </w:tcBorders>
            <w:noWrap/>
            <w:hideMark/>
          </w:tcPr>
          <w:p w14:paraId="5902310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0.94 (0.84, 1.05)</w:t>
            </w:r>
          </w:p>
        </w:tc>
        <w:tc>
          <w:tcPr>
            <w:tcW w:w="1576" w:type="dxa"/>
            <w:tcBorders>
              <w:top w:val="nil"/>
              <w:left w:val="nil"/>
              <w:bottom w:val="nil"/>
              <w:right w:val="nil"/>
            </w:tcBorders>
            <w:noWrap/>
            <w:hideMark/>
          </w:tcPr>
          <w:p w14:paraId="44209FA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r>
      <w:tr w:rsidR="00D250E5" w:rsidRPr="00737A30" w14:paraId="4B25F7C4" w14:textId="77777777" w:rsidTr="002D2677">
        <w:trPr>
          <w:trHeight w:val="23"/>
        </w:trPr>
        <w:tc>
          <w:tcPr>
            <w:tcW w:w="4302" w:type="dxa"/>
            <w:tcBorders>
              <w:top w:val="nil"/>
              <w:left w:val="nil"/>
              <w:bottom w:val="nil"/>
              <w:right w:val="nil"/>
            </w:tcBorders>
            <w:noWrap/>
            <w:hideMark/>
          </w:tcPr>
          <w:p w14:paraId="2B83F015"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Intermediate</w:t>
            </w:r>
          </w:p>
        </w:tc>
        <w:tc>
          <w:tcPr>
            <w:tcW w:w="992" w:type="dxa"/>
            <w:tcBorders>
              <w:top w:val="nil"/>
              <w:left w:val="nil"/>
              <w:bottom w:val="nil"/>
              <w:right w:val="nil"/>
            </w:tcBorders>
            <w:noWrap/>
            <w:hideMark/>
          </w:tcPr>
          <w:p w14:paraId="7F9E1BD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4,895</w:t>
            </w:r>
          </w:p>
        </w:tc>
        <w:tc>
          <w:tcPr>
            <w:tcW w:w="992" w:type="dxa"/>
            <w:tcBorders>
              <w:top w:val="nil"/>
              <w:left w:val="nil"/>
              <w:bottom w:val="nil"/>
              <w:right w:val="nil"/>
            </w:tcBorders>
            <w:noWrap/>
            <w:hideMark/>
          </w:tcPr>
          <w:p w14:paraId="6F9EC22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5,244</w:t>
            </w:r>
          </w:p>
        </w:tc>
        <w:tc>
          <w:tcPr>
            <w:tcW w:w="1418" w:type="dxa"/>
            <w:tcBorders>
              <w:top w:val="nil"/>
              <w:left w:val="nil"/>
              <w:bottom w:val="nil"/>
              <w:right w:val="nil"/>
            </w:tcBorders>
            <w:noWrap/>
            <w:hideMark/>
          </w:tcPr>
          <w:p w14:paraId="388B0AB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12,068.4</w:t>
            </w:r>
          </w:p>
        </w:tc>
        <w:tc>
          <w:tcPr>
            <w:tcW w:w="1575" w:type="dxa"/>
            <w:tcBorders>
              <w:top w:val="nil"/>
              <w:left w:val="nil"/>
              <w:bottom w:val="nil"/>
              <w:right w:val="nil"/>
            </w:tcBorders>
            <w:noWrap/>
            <w:hideMark/>
          </w:tcPr>
          <w:p w14:paraId="4927D3E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43.5 (42.3, 44.6)</w:t>
            </w:r>
          </w:p>
        </w:tc>
        <w:tc>
          <w:tcPr>
            <w:tcW w:w="1576" w:type="dxa"/>
            <w:tcBorders>
              <w:top w:val="nil"/>
              <w:left w:val="nil"/>
              <w:bottom w:val="nil"/>
              <w:right w:val="nil"/>
            </w:tcBorders>
            <w:noWrap/>
            <w:hideMark/>
          </w:tcPr>
          <w:p w14:paraId="17F8CCD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44.2 (42.0, 46.6)</w:t>
            </w:r>
          </w:p>
        </w:tc>
        <w:tc>
          <w:tcPr>
            <w:tcW w:w="1576" w:type="dxa"/>
            <w:tcBorders>
              <w:top w:val="nil"/>
              <w:left w:val="nil"/>
              <w:bottom w:val="nil"/>
              <w:right w:val="nil"/>
            </w:tcBorders>
            <w:noWrap/>
            <w:hideMark/>
          </w:tcPr>
          <w:p w14:paraId="3ED7F78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c>
          <w:tcPr>
            <w:tcW w:w="1576" w:type="dxa"/>
            <w:tcBorders>
              <w:top w:val="nil"/>
              <w:left w:val="nil"/>
              <w:bottom w:val="nil"/>
              <w:right w:val="nil"/>
            </w:tcBorders>
            <w:noWrap/>
            <w:hideMark/>
          </w:tcPr>
          <w:p w14:paraId="7E3ED2B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w:t>
            </w:r>
          </w:p>
        </w:tc>
      </w:tr>
      <w:tr w:rsidR="00D250E5" w:rsidRPr="00737A30" w14:paraId="60F02A93" w14:textId="77777777" w:rsidTr="002D2677">
        <w:trPr>
          <w:trHeight w:val="23"/>
        </w:trPr>
        <w:tc>
          <w:tcPr>
            <w:tcW w:w="4302" w:type="dxa"/>
            <w:tcBorders>
              <w:top w:val="nil"/>
              <w:left w:val="nil"/>
              <w:bottom w:val="nil"/>
              <w:right w:val="nil"/>
            </w:tcBorders>
            <w:noWrap/>
            <w:hideMark/>
          </w:tcPr>
          <w:p w14:paraId="0A9EF2D9"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High</w:t>
            </w:r>
          </w:p>
        </w:tc>
        <w:tc>
          <w:tcPr>
            <w:tcW w:w="992" w:type="dxa"/>
            <w:tcBorders>
              <w:top w:val="nil"/>
              <w:left w:val="nil"/>
              <w:bottom w:val="nil"/>
              <w:right w:val="nil"/>
            </w:tcBorders>
            <w:noWrap/>
            <w:hideMark/>
          </w:tcPr>
          <w:p w14:paraId="0ED71DBE"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4,003</w:t>
            </w:r>
          </w:p>
        </w:tc>
        <w:tc>
          <w:tcPr>
            <w:tcW w:w="992" w:type="dxa"/>
            <w:tcBorders>
              <w:top w:val="nil"/>
              <w:left w:val="nil"/>
              <w:bottom w:val="nil"/>
              <w:right w:val="nil"/>
            </w:tcBorders>
            <w:noWrap/>
            <w:hideMark/>
          </w:tcPr>
          <w:p w14:paraId="6D9CAA4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5,123</w:t>
            </w:r>
          </w:p>
        </w:tc>
        <w:tc>
          <w:tcPr>
            <w:tcW w:w="1418" w:type="dxa"/>
            <w:tcBorders>
              <w:top w:val="nil"/>
              <w:left w:val="nil"/>
              <w:bottom w:val="nil"/>
              <w:right w:val="nil"/>
            </w:tcBorders>
            <w:noWrap/>
            <w:hideMark/>
          </w:tcPr>
          <w:p w14:paraId="2E3C949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9,836.1</w:t>
            </w:r>
          </w:p>
        </w:tc>
        <w:tc>
          <w:tcPr>
            <w:tcW w:w="1575" w:type="dxa"/>
            <w:tcBorders>
              <w:top w:val="nil"/>
              <w:left w:val="nil"/>
              <w:bottom w:val="nil"/>
              <w:right w:val="nil"/>
            </w:tcBorders>
            <w:noWrap/>
            <w:hideMark/>
          </w:tcPr>
          <w:p w14:paraId="651C82C6"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52.1 (50.7, 53.5)</w:t>
            </w:r>
          </w:p>
        </w:tc>
        <w:tc>
          <w:tcPr>
            <w:tcW w:w="1576" w:type="dxa"/>
            <w:tcBorders>
              <w:top w:val="nil"/>
              <w:left w:val="nil"/>
              <w:bottom w:val="nil"/>
              <w:right w:val="nil"/>
            </w:tcBorders>
            <w:noWrap/>
            <w:hideMark/>
          </w:tcPr>
          <w:p w14:paraId="11D1C8B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52.0 (49.1, 55.0)</w:t>
            </w:r>
          </w:p>
        </w:tc>
        <w:tc>
          <w:tcPr>
            <w:tcW w:w="1576" w:type="dxa"/>
            <w:tcBorders>
              <w:top w:val="nil"/>
              <w:left w:val="nil"/>
              <w:bottom w:val="nil"/>
              <w:right w:val="nil"/>
            </w:tcBorders>
            <w:noWrap/>
            <w:hideMark/>
          </w:tcPr>
          <w:p w14:paraId="380CCAD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1.17 (1.09, 1.27)</w:t>
            </w:r>
          </w:p>
        </w:tc>
        <w:tc>
          <w:tcPr>
            <w:tcW w:w="1576" w:type="dxa"/>
            <w:tcBorders>
              <w:top w:val="nil"/>
              <w:left w:val="nil"/>
              <w:bottom w:val="nil"/>
              <w:right w:val="nil"/>
            </w:tcBorders>
            <w:noWrap/>
            <w:hideMark/>
          </w:tcPr>
          <w:p w14:paraId="5DCEC88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1.25 (1.09, 1.43)</w:t>
            </w:r>
          </w:p>
        </w:tc>
      </w:tr>
      <w:tr w:rsidR="00D250E5" w:rsidRPr="00737A30" w14:paraId="0097D730" w14:textId="77777777" w:rsidTr="002D2677">
        <w:trPr>
          <w:trHeight w:val="23"/>
        </w:trPr>
        <w:tc>
          <w:tcPr>
            <w:tcW w:w="4302" w:type="dxa"/>
            <w:tcBorders>
              <w:top w:val="nil"/>
              <w:left w:val="nil"/>
              <w:bottom w:val="nil"/>
              <w:right w:val="nil"/>
            </w:tcBorders>
            <w:noWrap/>
            <w:hideMark/>
          </w:tcPr>
          <w:p w14:paraId="789E3E7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Severe COPD exacerbation</w:t>
            </w:r>
          </w:p>
        </w:tc>
        <w:tc>
          <w:tcPr>
            <w:tcW w:w="992" w:type="dxa"/>
            <w:tcBorders>
              <w:top w:val="nil"/>
              <w:left w:val="nil"/>
              <w:bottom w:val="nil"/>
              <w:right w:val="nil"/>
            </w:tcBorders>
            <w:noWrap/>
            <w:hideMark/>
          </w:tcPr>
          <w:p w14:paraId="69CE443F"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992" w:type="dxa"/>
            <w:tcBorders>
              <w:top w:val="nil"/>
              <w:left w:val="nil"/>
              <w:bottom w:val="nil"/>
              <w:right w:val="nil"/>
            </w:tcBorders>
            <w:noWrap/>
            <w:hideMark/>
          </w:tcPr>
          <w:p w14:paraId="291D24F1"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nil"/>
              <w:left w:val="nil"/>
              <w:bottom w:val="nil"/>
              <w:right w:val="nil"/>
            </w:tcBorders>
            <w:noWrap/>
            <w:hideMark/>
          </w:tcPr>
          <w:p w14:paraId="5E1EF549"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nil"/>
              <w:left w:val="nil"/>
              <w:bottom w:val="nil"/>
              <w:right w:val="nil"/>
            </w:tcBorders>
            <w:noWrap/>
            <w:hideMark/>
          </w:tcPr>
          <w:p w14:paraId="64B4D326"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08154CA6"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342A28BD"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5069A97C"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673E8F10" w14:textId="77777777" w:rsidTr="002D2677">
        <w:trPr>
          <w:trHeight w:val="23"/>
        </w:trPr>
        <w:tc>
          <w:tcPr>
            <w:tcW w:w="4302" w:type="dxa"/>
            <w:tcBorders>
              <w:top w:val="nil"/>
              <w:left w:val="nil"/>
              <w:bottom w:val="nil"/>
              <w:right w:val="nil"/>
            </w:tcBorders>
            <w:noWrap/>
            <w:hideMark/>
          </w:tcPr>
          <w:p w14:paraId="5C26F772"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Low</w:t>
            </w:r>
          </w:p>
        </w:tc>
        <w:tc>
          <w:tcPr>
            <w:tcW w:w="992" w:type="dxa"/>
            <w:tcBorders>
              <w:top w:val="nil"/>
              <w:left w:val="nil"/>
              <w:bottom w:val="nil"/>
              <w:right w:val="nil"/>
            </w:tcBorders>
            <w:noWrap/>
            <w:hideMark/>
          </w:tcPr>
          <w:p w14:paraId="5DEFB44B"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1,423</w:t>
            </w:r>
          </w:p>
        </w:tc>
        <w:tc>
          <w:tcPr>
            <w:tcW w:w="992" w:type="dxa"/>
            <w:tcBorders>
              <w:top w:val="nil"/>
              <w:left w:val="nil"/>
              <w:bottom w:val="nil"/>
              <w:right w:val="nil"/>
            </w:tcBorders>
            <w:noWrap/>
            <w:hideMark/>
          </w:tcPr>
          <w:p w14:paraId="4FE48B6B"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367</w:t>
            </w:r>
          </w:p>
        </w:tc>
        <w:tc>
          <w:tcPr>
            <w:tcW w:w="1418" w:type="dxa"/>
            <w:tcBorders>
              <w:top w:val="nil"/>
              <w:left w:val="nil"/>
              <w:bottom w:val="nil"/>
              <w:right w:val="nil"/>
            </w:tcBorders>
            <w:noWrap/>
            <w:hideMark/>
          </w:tcPr>
          <w:p w14:paraId="0DC5707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3,402.1</w:t>
            </w:r>
          </w:p>
        </w:tc>
        <w:tc>
          <w:tcPr>
            <w:tcW w:w="1575" w:type="dxa"/>
            <w:tcBorders>
              <w:top w:val="nil"/>
              <w:left w:val="nil"/>
              <w:bottom w:val="nil"/>
              <w:right w:val="nil"/>
            </w:tcBorders>
            <w:noWrap/>
            <w:hideMark/>
          </w:tcPr>
          <w:p w14:paraId="6A789B4F"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10.8 (9.7, 12.0)</w:t>
            </w:r>
          </w:p>
        </w:tc>
        <w:tc>
          <w:tcPr>
            <w:tcW w:w="1576" w:type="dxa"/>
            <w:tcBorders>
              <w:top w:val="nil"/>
              <w:left w:val="nil"/>
              <w:bottom w:val="nil"/>
              <w:right w:val="nil"/>
            </w:tcBorders>
            <w:noWrap/>
            <w:hideMark/>
          </w:tcPr>
          <w:p w14:paraId="2FEB1F3C"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10.3 (8.9, 11.9)</w:t>
            </w:r>
          </w:p>
        </w:tc>
        <w:tc>
          <w:tcPr>
            <w:tcW w:w="1576" w:type="dxa"/>
            <w:tcBorders>
              <w:top w:val="nil"/>
              <w:left w:val="nil"/>
              <w:bottom w:val="nil"/>
              <w:right w:val="nil"/>
            </w:tcBorders>
            <w:noWrap/>
            <w:hideMark/>
          </w:tcPr>
          <w:p w14:paraId="6A1A0C1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0.97 (0.83, 1.15)</w:t>
            </w:r>
          </w:p>
        </w:tc>
        <w:tc>
          <w:tcPr>
            <w:tcW w:w="1576" w:type="dxa"/>
            <w:tcBorders>
              <w:top w:val="nil"/>
              <w:left w:val="nil"/>
              <w:bottom w:val="nil"/>
              <w:right w:val="nil"/>
            </w:tcBorders>
            <w:noWrap/>
            <w:hideMark/>
          </w:tcPr>
          <w:p w14:paraId="044F09FB"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r>
      <w:tr w:rsidR="00D250E5" w:rsidRPr="00737A30" w14:paraId="3AFE765C" w14:textId="77777777" w:rsidTr="002D2677">
        <w:trPr>
          <w:trHeight w:val="23"/>
        </w:trPr>
        <w:tc>
          <w:tcPr>
            <w:tcW w:w="4302" w:type="dxa"/>
            <w:tcBorders>
              <w:top w:val="nil"/>
              <w:left w:val="nil"/>
              <w:bottom w:val="nil"/>
              <w:right w:val="nil"/>
            </w:tcBorders>
            <w:noWrap/>
            <w:hideMark/>
          </w:tcPr>
          <w:p w14:paraId="66035172"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Intermediate</w:t>
            </w:r>
          </w:p>
        </w:tc>
        <w:tc>
          <w:tcPr>
            <w:tcW w:w="992" w:type="dxa"/>
            <w:tcBorders>
              <w:top w:val="nil"/>
              <w:left w:val="nil"/>
              <w:bottom w:val="nil"/>
              <w:right w:val="nil"/>
            </w:tcBorders>
            <w:noWrap/>
            <w:hideMark/>
          </w:tcPr>
          <w:p w14:paraId="28586D3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4,895</w:t>
            </w:r>
          </w:p>
        </w:tc>
        <w:tc>
          <w:tcPr>
            <w:tcW w:w="992" w:type="dxa"/>
            <w:tcBorders>
              <w:top w:val="nil"/>
              <w:left w:val="nil"/>
              <w:bottom w:val="nil"/>
              <w:right w:val="nil"/>
            </w:tcBorders>
            <w:noWrap/>
            <w:hideMark/>
          </w:tcPr>
          <w:p w14:paraId="63619E0E"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1,299</w:t>
            </w:r>
          </w:p>
        </w:tc>
        <w:tc>
          <w:tcPr>
            <w:tcW w:w="1418" w:type="dxa"/>
            <w:tcBorders>
              <w:top w:val="nil"/>
              <w:left w:val="nil"/>
              <w:bottom w:val="nil"/>
              <w:right w:val="nil"/>
            </w:tcBorders>
            <w:noWrap/>
            <w:hideMark/>
          </w:tcPr>
          <w:p w14:paraId="32F9743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12,068.4</w:t>
            </w:r>
          </w:p>
        </w:tc>
        <w:tc>
          <w:tcPr>
            <w:tcW w:w="1575" w:type="dxa"/>
            <w:tcBorders>
              <w:top w:val="nil"/>
              <w:left w:val="nil"/>
              <w:bottom w:val="nil"/>
              <w:right w:val="nil"/>
            </w:tcBorders>
            <w:noWrap/>
            <w:hideMark/>
          </w:tcPr>
          <w:p w14:paraId="26EB9EB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10.8 (10.2, 11.4)</w:t>
            </w:r>
          </w:p>
        </w:tc>
        <w:tc>
          <w:tcPr>
            <w:tcW w:w="1576" w:type="dxa"/>
            <w:tcBorders>
              <w:top w:val="nil"/>
              <w:left w:val="nil"/>
              <w:bottom w:val="nil"/>
              <w:right w:val="nil"/>
            </w:tcBorders>
            <w:noWrap/>
            <w:hideMark/>
          </w:tcPr>
          <w:p w14:paraId="3833E828"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10.5 (9.8, 11.4)</w:t>
            </w:r>
          </w:p>
        </w:tc>
        <w:tc>
          <w:tcPr>
            <w:tcW w:w="1576" w:type="dxa"/>
            <w:tcBorders>
              <w:top w:val="nil"/>
              <w:left w:val="nil"/>
              <w:bottom w:val="nil"/>
              <w:right w:val="nil"/>
            </w:tcBorders>
            <w:noWrap/>
            <w:hideMark/>
          </w:tcPr>
          <w:p w14:paraId="3A5E2A0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c>
          <w:tcPr>
            <w:tcW w:w="1576" w:type="dxa"/>
            <w:tcBorders>
              <w:top w:val="nil"/>
              <w:left w:val="nil"/>
              <w:bottom w:val="nil"/>
              <w:right w:val="nil"/>
            </w:tcBorders>
            <w:noWrap/>
            <w:hideMark/>
          </w:tcPr>
          <w:p w14:paraId="497F7D8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w:t>
            </w:r>
          </w:p>
        </w:tc>
      </w:tr>
      <w:tr w:rsidR="00D250E5" w:rsidRPr="00737A30" w14:paraId="312AD829" w14:textId="77777777" w:rsidTr="002D2677">
        <w:trPr>
          <w:trHeight w:val="23"/>
        </w:trPr>
        <w:tc>
          <w:tcPr>
            <w:tcW w:w="4302" w:type="dxa"/>
            <w:tcBorders>
              <w:top w:val="nil"/>
              <w:left w:val="nil"/>
              <w:bottom w:val="nil"/>
              <w:right w:val="nil"/>
            </w:tcBorders>
            <w:noWrap/>
            <w:hideMark/>
          </w:tcPr>
          <w:p w14:paraId="4F0F7F9D"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High</w:t>
            </w:r>
          </w:p>
        </w:tc>
        <w:tc>
          <w:tcPr>
            <w:tcW w:w="992" w:type="dxa"/>
            <w:tcBorders>
              <w:top w:val="nil"/>
              <w:left w:val="nil"/>
              <w:bottom w:val="nil"/>
              <w:right w:val="nil"/>
            </w:tcBorders>
            <w:noWrap/>
            <w:hideMark/>
          </w:tcPr>
          <w:p w14:paraId="209F7BDC"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4,003</w:t>
            </w:r>
          </w:p>
        </w:tc>
        <w:tc>
          <w:tcPr>
            <w:tcW w:w="992" w:type="dxa"/>
            <w:tcBorders>
              <w:top w:val="nil"/>
              <w:left w:val="nil"/>
              <w:bottom w:val="nil"/>
              <w:right w:val="nil"/>
            </w:tcBorders>
            <w:noWrap/>
            <w:hideMark/>
          </w:tcPr>
          <w:p w14:paraId="215F67E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1,147</w:t>
            </w:r>
          </w:p>
        </w:tc>
        <w:tc>
          <w:tcPr>
            <w:tcW w:w="1418" w:type="dxa"/>
            <w:tcBorders>
              <w:top w:val="nil"/>
              <w:left w:val="nil"/>
              <w:bottom w:val="nil"/>
              <w:right w:val="nil"/>
            </w:tcBorders>
            <w:noWrap/>
            <w:hideMark/>
          </w:tcPr>
          <w:p w14:paraId="6421357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9,836.1</w:t>
            </w:r>
          </w:p>
        </w:tc>
        <w:tc>
          <w:tcPr>
            <w:tcW w:w="1575" w:type="dxa"/>
            <w:tcBorders>
              <w:top w:val="nil"/>
              <w:left w:val="nil"/>
              <w:bottom w:val="nil"/>
              <w:right w:val="nil"/>
            </w:tcBorders>
            <w:noWrap/>
            <w:hideMark/>
          </w:tcPr>
          <w:p w14:paraId="690C4947"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11.7 (11.0, 12.4)</w:t>
            </w:r>
          </w:p>
        </w:tc>
        <w:tc>
          <w:tcPr>
            <w:tcW w:w="1576" w:type="dxa"/>
            <w:tcBorders>
              <w:top w:val="nil"/>
              <w:left w:val="nil"/>
              <w:bottom w:val="nil"/>
              <w:right w:val="nil"/>
            </w:tcBorders>
            <w:noWrap/>
            <w:hideMark/>
          </w:tcPr>
          <w:p w14:paraId="17641418"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11.8 (10.8, 12.8)</w:t>
            </w:r>
          </w:p>
        </w:tc>
        <w:tc>
          <w:tcPr>
            <w:tcW w:w="1576" w:type="dxa"/>
            <w:tcBorders>
              <w:top w:val="nil"/>
              <w:left w:val="nil"/>
              <w:bottom w:val="nil"/>
              <w:right w:val="nil"/>
            </w:tcBorders>
            <w:noWrap/>
            <w:hideMark/>
          </w:tcPr>
          <w:p w14:paraId="7563946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1.12 (1.00, 1.25)</w:t>
            </w:r>
          </w:p>
        </w:tc>
        <w:tc>
          <w:tcPr>
            <w:tcW w:w="1576" w:type="dxa"/>
            <w:tcBorders>
              <w:top w:val="nil"/>
              <w:left w:val="nil"/>
              <w:bottom w:val="nil"/>
              <w:right w:val="nil"/>
            </w:tcBorders>
            <w:noWrap/>
            <w:hideMark/>
          </w:tcPr>
          <w:p w14:paraId="0840989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1.14 (0.94, 1.39)</w:t>
            </w:r>
          </w:p>
        </w:tc>
      </w:tr>
      <w:tr w:rsidR="00D250E5" w:rsidRPr="00737A30" w14:paraId="6882A34B" w14:textId="77777777" w:rsidTr="002D2677">
        <w:trPr>
          <w:trHeight w:val="23"/>
        </w:trPr>
        <w:tc>
          <w:tcPr>
            <w:tcW w:w="4302" w:type="dxa"/>
            <w:tcBorders>
              <w:top w:val="nil"/>
              <w:left w:val="nil"/>
              <w:bottom w:val="nil"/>
              <w:right w:val="nil"/>
            </w:tcBorders>
            <w:noWrap/>
            <w:hideMark/>
          </w:tcPr>
          <w:p w14:paraId="53B367AC"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Moderate or severe COPD exacerbation</w:t>
            </w:r>
          </w:p>
        </w:tc>
        <w:tc>
          <w:tcPr>
            <w:tcW w:w="992" w:type="dxa"/>
            <w:tcBorders>
              <w:top w:val="nil"/>
              <w:left w:val="nil"/>
              <w:bottom w:val="nil"/>
              <w:right w:val="nil"/>
            </w:tcBorders>
            <w:noWrap/>
            <w:hideMark/>
          </w:tcPr>
          <w:p w14:paraId="249D15F7"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92" w:type="dxa"/>
            <w:tcBorders>
              <w:top w:val="nil"/>
              <w:left w:val="nil"/>
              <w:bottom w:val="nil"/>
              <w:right w:val="nil"/>
            </w:tcBorders>
            <w:noWrap/>
            <w:hideMark/>
          </w:tcPr>
          <w:p w14:paraId="39606E76"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nil"/>
              <w:left w:val="nil"/>
              <w:bottom w:val="nil"/>
              <w:right w:val="nil"/>
            </w:tcBorders>
            <w:noWrap/>
            <w:hideMark/>
          </w:tcPr>
          <w:p w14:paraId="437A7484"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nil"/>
              <w:left w:val="nil"/>
              <w:bottom w:val="nil"/>
              <w:right w:val="nil"/>
            </w:tcBorders>
            <w:noWrap/>
            <w:hideMark/>
          </w:tcPr>
          <w:p w14:paraId="4BD4C903"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3D3068DB"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05338190"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23FE2949"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4AC4FC35" w14:textId="77777777" w:rsidTr="002D2677">
        <w:trPr>
          <w:trHeight w:val="23"/>
        </w:trPr>
        <w:tc>
          <w:tcPr>
            <w:tcW w:w="4302" w:type="dxa"/>
            <w:tcBorders>
              <w:top w:val="nil"/>
              <w:left w:val="nil"/>
              <w:bottom w:val="nil"/>
              <w:right w:val="nil"/>
            </w:tcBorders>
            <w:noWrap/>
            <w:hideMark/>
          </w:tcPr>
          <w:p w14:paraId="76BF62EA"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Low</w:t>
            </w:r>
          </w:p>
        </w:tc>
        <w:tc>
          <w:tcPr>
            <w:tcW w:w="992" w:type="dxa"/>
            <w:tcBorders>
              <w:top w:val="nil"/>
              <w:left w:val="nil"/>
              <w:bottom w:val="nil"/>
              <w:right w:val="nil"/>
            </w:tcBorders>
            <w:noWrap/>
            <w:hideMark/>
          </w:tcPr>
          <w:p w14:paraId="27428FB7"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1,423</w:t>
            </w:r>
          </w:p>
        </w:tc>
        <w:tc>
          <w:tcPr>
            <w:tcW w:w="992" w:type="dxa"/>
            <w:tcBorders>
              <w:top w:val="nil"/>
              <w:left w:val="nil"/>
              <w:bottom w:val="nil"/>
              <w:right w:val="nil"/>
            </w:tcBorders>
            <w:noWrap/>
            <w:hideMark/>
          </w:tcPr>
          <w:p w14:paraId="3F9017C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1,814</w:t>
            </w:r>
          </w:p>
        </w:tc>
        <w:tc>
          <w:tcPr>
            <w:tcW w:w="1418" w:type="dxa"/>
            <w:tcBorders>
              <w:top w:val="nil"/>
              <w:left w:val="nil"/>
              <w:bottom w:val="nil"/>
              <w:right w:val="nil"/>
            </w:tcBorders>
            <w:noWrap/>
            <w:hideMark/>
          </w:tcPr>
          <w:p w14:paraId="15EC0A67"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3,402.1</w:t>
            </w:r>
          </w:p>
        </w:tc>
        <w:tc>
          <w:tcPr>
            <w:tcW w:w="1575" w:type="dxa"/>
            <w:tcBorders>
              <w:top w:val="nil"/>
              <w:left w:val="nil"/>
              <w:bottom w:val="nil"/>
              <w:right w:val="nil"/>
            </w:tcBorders>
            <w:noWrap/>
            <w:hideMark/>
          </w:tcPr>
          <w:p w14:paraId="1B57C93E"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53.3 (50.9, 55.8)</w:t>
            </w:r>
          </w:p>
        </w:tc>
        <w:tc>
          <w:tcPr>
            <w:tcW w:w="1576" w:type="dxa"/>
            <w:tcBorders>
              <w:top w:val="nil"/>
              <w:left w:val="nil"/>
              <w:bottom w:val="nil"/>
              <w:right w:val="nil"/>
            </w:tcBorders>
            <w:noWrap/>
            <w:hideMark/>
          </w:tcPr>
          <w:p w14:paraId="11D00F5E"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54.6 (50.0, 59.6)</w:t>
            </w:r>
          </w:p>
        </w:tc>
        <w:tc>
          <w:tcPr>
            <w:tcW w:w="1576" w:type="dxa"/>
            <w:tcBorders>
              <w:top w:val="nil"/>
              <w:left w:val="nil"/>
              <w:bottom w:val="nil"/>
              <w:right w:val="nil"/>
            </w:tcBorders>
            <w:noWrap/>
            <w:hideMark/>
          </w:tcPr>
          <w:p w14:paraId="75EA335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0.95 (0.86, 1.05)</w:t>
            </w:r>
          </w:p>
        </w:tc>
        <w:tc>
          <w:tcPr>
            <w:tcW w:w="1576" w:type="dxa"/>
            <w:tcBorders>
              <w:top w:val="nil"/>
              <w:left w:val="nil"/>
              <w:bottom w:val="nil"/>
              <w:right w:val="nil"/>
            </w:tcBorders>
            <w:noWrap/>
            <w:hideMark/>
          </w:tcPr>
          <w:p w14:paraId="34C027D6"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r>
      <w:tr w:rsidR="00D250E5" w:rsidRPr="00737A30" w14:paraId="40E5A275" w14:textId="77777777" w:rsidTr="002D2677">
        <w:trPr>
          <w:trHeight w:val="23"/>
        </w:trPr>
        <w:tc>
          <w:tcPr>
            <w:tcW w:w="4302" w:type="dxa"/>
            <w:tcBorders>
              <w:top w:val="nil"/>
              <w:left w:val="nil"/>
              <w:bottom w:val="nil"/>
              <w:right w:val="nil"/>
            </w:tcBorders>
            <w:noWrap/>
            <w:hideMark/>
          </w:tcPr>
          <w:p w14:paraId="020C5154"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Intermediate</w:t>
            </w:r>
          </w:p>
        </w:tc>
        <w:tc>
          <w:tcPr>
            <w:tcW w:w="992" w:type="dxa"/>
            <w:tcBorders>
              <w:top w:val="nil"/>
              <w:left w:val="nil"/>
              <w:bottom w:val="nil"/>
              <w:right w:val="nil"/>
            </w:tcBorders>
            <w:noWrap/>
            <w:hideMark/>
          </w:tcPr>
          <w:p w14:paraId="2D98AF5A"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4,895</w:t>
            </w:r>
          </w:p>
        </w:tc>
        <w:tc>
          <w:tcPr>
            <w:tcW w:w="992" w:type="dxa"/>
            <w:tcBorders>
              <w:top w:val="nil"/>
              <w:left w:val="nil"/>
              <w:bottom w:val="nil"/>
              <w:right w:val="nil"/>
            </w:tcBorders>
            <w:noWrap/>
            <w:hideMark/>
          </w:tcPr>
          <w:p w14:paraId="558BCD2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6,543</w:t>
            </w:r>
          </w:p>
        </w:tc>
        <w:tc>
          <w:tcPr>
            <w:tcW w:w="1418" w:type="dxa"/>
            <w:tcBorders>
              <w:top w:val="nil"/>
              <w:left w:val="nil"/>
              <w:bottom w:val="nil"/>
              <w:right w:val="nil"/>
            </w:tcBorders>
            <w:noWrap/>
            <w:hideMark/>
          </w:tcPr>
          <w:p w14:paraId="6F49A67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12,068.4</w:t>
            </w:r>
          </w:p>
        </w:tc>
        <w:tc>
          <w:tcPr>
            <w:tcW w:w="1575" w:type="dxa"/>
            <w:tcBorders>
              <w:top w:val="nil"/>
              <w:left w:val="nil"/>
              <w:bottom w:val="nil"/>
              <w:right w:val="nil"/>
            </w:tcBorders>
            <w:noWrap/>
            <w:hideMark/>
          </w:tcPr>
          <w:p w14:paraId="7783C22C"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54.2 (52.9, 55.6)</w:t>
            </w:r>
          </w:p>
        </w:tc>
        <w:tc>
          <w:tcPr>
            <w:tcW w:w="1576" w:type="dxa"/>
            <w:tcBorders>
              <w:top w:val="nil"/>
              <w:left w:val="nil"/>
              <w:bottom w:val="nil"/>
              <w:right w:val="nil"/>
            </w:tcBorders>
            <w:noWrap/>
            <w:hideMark/>
          </w:tcPr>
          <w:p w14:paraId="14BD12F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57.2 (54.6, 59.9)</w:t>
            </w:r>
          </w:p>
        </w:tc>
        <w:tc>
          <w:tcPr>
            <w:tcW w:w="1576" w:type="dxa"/>
            <w:tcBorders>
              <w:top w:val="nil"/>
              <w:left w:val="nil"/>
              <w:bottom w:val="nil"/>
              <w:right w:val="nil"/>
            </w:tcBorders>
            <w:noWrap/>
            <w:hideMark/>
          </w:tcPr>
          <w:p w14:paraId="348C4BE4"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c>
          <w:tcPr>
            <w:tcW w:w="1576" w:type="dxa"/>
            <w:tcBorders>
              <w:top w:val="nil"/>
              <w:left w:val="nil"/>
              <w:bottom w:val="nil"/>
              <w:right w:val="nil"/>
            </w:tcBorders>
            <w:noWrap/>
            <w:hideMark/>
          </w:tcPr>
          <w:p w14:paraId="05484758"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w:t>
            </w:r>
          </w:p>
        </w:tc>
      </w:tr>
      <w:tr w:rsidR="00D250E5" w:rsidRPr="00737A30" w14:paraId="0ADE6647" w14:textId="77777777" w:rsidTr="002D2677">
        <w:trPr>
          <w:trHeight w:val="23"/>
        </w:trPr>
        <w:tc>
          <w:tcPr>
            <w:tcW w:w="4302" w:type="dxa"/>
            <w:tcBorders>
              <w:top w:val="nil"/>
              <w:left w:val="nil"/>
              <w:bottom w:val="single" w:sz="4" w:space="0" w:color="auto"/>
              <w:right w:val="nil"/>
            </w:tcBorders>
            <w:noWrap/>
            <w:hideMark/>
          </w:tcPr>
          <w:p w14:paraId="449631C7"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High</w:t>
            </w:r>
          </w:p>
        </w:tc>
        <w:tc>
          <w:tcPr>
            <w:tcW w:w="992" w:type="dxa"/>
            <w:tcBorders>
              <w:top w:val="nil"/>
              <w:left w:val="nil"/>
              <w:bottom w:val="single" w:sz="4" w:space="0" w:color="auto"/>
              <w:right w:val="nil"/>
            </w:tcBorders>
            <w:noWrap/>
            <w:hideMark/>
          </w:tcPr>
          <w:p w14:paraId="51007FE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4,003</w:t>
            </w:r>
          </w:p>
        </w:tc>
        <w:tc>
          <w:tcPr>
            <w:tcW w:w="992" w:type="dxa"/>
            <w:tcBorders>
              <w:top w:val="nil"/>
              <w:left w:val="nil"/>
              <w:bottom w:val="single" w:sz="4" w:space="0" w:color="auto"/>
              <w:right w:val="nil"/>
            </w:tcBorders>
            <w:noWrap/>
            <w:hideMark/>
          </w:tcPr>
          <w:p w14:paraId="1B36936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6,270</w:t>
            </w:r>
          </w:p>
        </w:tc>
        <w:tc>
          <w:tcPr>
            <w:tcW w:w="1418" w:type="dxa"/>
            <w:tcBorders>
              <w:top w:val="nil"/>
              <w:left w:val="nil"/>
              <w:bottom w:val="single" w:sz="4" w:space="0" w:color="auto"/>
              <w:right w:val="nil"/>
            </w:tcBorders>
            <w:noWrap/>
            <w:hideMark/>
          </w:tcPr>
          <w:p w14:paraId="17C0FCBB"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9,836.1</w:t>
            </w:r>
          </w:p>
        </w:tc>
        <w:tc>
          <w:tcPr>
            <w:tcW w:w="1575" w:type="dxa"/>
            <w:tcBorders>
              <w:top w:val="nil"/>
              <w:left w:val="nil"/>
              <w:bottom w:val="single" w:sz="4" w:space="0" w:color="auto"/>
              <w:right w:val="nil"/>
            </w:tcBorders>
            <w:noWrap/>
            <w:hideMark/>
          </w:tcPr>
          <w:p w14:paraId="61AC5B8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63.7 (62.2, 65.3)</w:t>
            </w:r>
          </w:p>
        </w:tc>
        <w:tc>
          <w:tcPr>
            <w:tcW w:w="1576" w:type="dxa"/>
            <w:tcBorders>
              <w:top w:val="nil"/>
              <w:left w:val="nil"/>
              <w:bottom w:val="single" w:sz="4" w:space="0" w:color="auto"/>
              <w:right w:val="nil"/>
            </w:tcBorders>
            <w:noWrap/>
            <w:hideMark/>
          </w:tcPr>
          <w:p w14:paraId="2C3F98AB"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66.3 (63.0, 69.7)</w:t>
            </w:r>
          </w:p>
        </w:tc>
        <w:tc>
          <w:tcPr>
            <w:tcW w:w="1576" w:type="dxa"/>
            <w:tcBorders>
              <w:top w:val="nil"/>
              <w:left w:val="nil"/>
              <w:bottom w:val="single" w:sz="4" w:space="0" w:color="auto"/>
              <w:right w:val="nil"/>
            </w:tcBorders>
            <w:noWrap/>
            <w:hideMark/>
          </w:tcPr>
          <w:p w14:paraId="1ED0971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1.16 (1.08, 1.24)</w:t>
            </w:r>
          </w:p>
        </w:tc>
        <w:tc>
          <w:tcPr>
            <w:tcW w:w="1576" w:type="dxa"/>
            <w:tcBorders>
              <w:top w:val="nil"/>
              <w:left w:val="nil"/>
              <w:bottom w:val="single" w:sz="4" w:space="0" w:color="auto"/>
              <w:right w:val="nil"/>
            </w:tcBorders>
            <w:noWrap/>
            <w:hideMark/>
          </w:tcPr>
          <w:p w14:paraId="43400A78"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1.21 (1.08, 1.37)</w:t>
            </w:r>
          </w:p>
        </w:tc>
      </w:tr>
      <w:tr w:rsidR="00D250E5" w:rsidRPr="00737A30" w14:paraId="6C0FA501" w14:textId="77777777" w:rsidTr="002D2677">
        <w:trPr>
          <w:trHeight w:val="23"/>
        </w:trPr>
        <w:tc>
          <w:tcPr>
            <w:tcW w:w="4302" w:type="dxa"/>
            <w:tcBorders>
              <w:top w:val="single" w:sz="4" w:space="0" w:color="auto"/>
              <w:left w:val="nil"/>
              <w:bottom w:val="single" w:sz="4" w:space="0" w:color="auto"/>
              <w:right w:val="nil"/>
            </w:tcBorders>
            <w:noWrap/>
          </w:tcPr>
          <w:p w14:paraId="11066C9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In patients without bronchial asthma</w:t>
            </w:r>
          </w:p>
        </w:tc>
        <w:tc>
          <w:tcPr>
            <w:tcW w:w="992" w:type="dxa"/>
            <w:tcBorders>
              <w:top w:val="single" w:sz="4" w:space="0" w:color="auto"/>
              <w:left w:val="nil"/>
              <w:bottom w:val="single" w:sz="4" w:space="0" w:color="auto"/>
              <w:right w:val="nil"/>
            </w:tcBorders>
            <w:noWrap/>
          </w:tcPr>
          <w:p w14:paraId="3E818D1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92" w:type="dxa"/>
            <w:tcBorders>
              <w:top w:val="single" w:sz="4" w:space="0" w:color="auto"/>
              <w:left w:val="nil"/>
              <w:bottom w:val="single" w:sz="4" w:space="0" w:color="auto"/>
              <w:right w:val="nil"/>
            </w:tcBorders>
            <w:noWrap/>
          </w:tcPr>
          <w:p w14:paraId="0B0D8A57"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single" w:sz="4" w:space="0" w:color="auto"/>
              <w:left w:val="nil"/>
              <w:bottom w:val="single" w:sz="4" w:space="0" w:color="auto"/>
              <w:right w:val="nil"/>
            </w:tcBorders>
            <w:noWrap/>
          </w:tcPr>
          <w:p w14:paraId="2180D1D2"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single" w:sz="4" w:space="0" w:color="auto"/>
              <w:left w:val="nil"/>
              <w:bottom w:val="single" w:sz="4" w:space="0" w:color="auto"/>
              <w:right w:val="nil"/>
            </w:tcBorders>
            <w:noWrap/>
          </w:tcPr>
          <w:p w14:paraId="65FE3130"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single" w:sz="4" w:space="0" w:color="auto"/>
              <w:right w:val="nil"/>
            </w:tcBorders>
            <w:noWrap/>
          </w:tcPr>
          <w:p w14:paraId="63B1FEB6"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single" w:sz="4" w:space="0" w:color="auto"/>
              <w:right w:val="nil"/>
            </w:tcBorders>
            <w:noWrap/>
          </w:tcPr>
          <w:p w14:paraId="3E858B1F"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single" w:sz="4" w:space="0" w:color="auto"/>
              <w:right w:val="nil"/>
            </w:tcBorders>
            <w:noWrap/>
          </w:tcPr>
          <w:p w14:paraId="2436F988"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0F38D380" w14:textId="77777777" w:rsidTr="002D2677">
        <w:trPr>
          <w:trHeight w:val="23"/>
        </w:trPr>
        <w:tc>
          <w:tcPr>
            <w:tcW w:w="4302" w:type="dxa"/>
            <w:tcBorders>
              <w:top w:val="single" w:sz="4" w:space="0" w:color="auto"/>
              <w:left w:val="nil"/>
              <w:bottom w:val="nil"/>
              <w:right w:val="nil"/>
            </w:tcBorders>
            <w:noWrap/>
            <w:hideMark/>
          </w:tcPr>
          <w:p w14:paraId="2F3A05F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Moderate COPD exacerbation</w:t>
            </w:r>
          </w:p>
        </w:tc>
        <w:tc>
          <w:tcPr>
            <w:tcW w:w="992" w:type="dxa"/>
            <w:tcBorders>
              <w:top w:val="single" w:sz="4" w:space="0" w:color="auto"/>
              <w:left w:val="nil"/>
              <w:bottom w:val="nil"/>
              <w:right w:val="nil"/>
            </w:tcBorders>
            <w:noWrap/>
            <w:hideMark/>
          </w:tcPr>
          <w:p w14:paraId="600365B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92" w:type="dxa"/>
            <w:tcBorders>
              <w:top w:val="single" w:sz="4" w:space="0" w:color="auto"/>
              <w:left w:val="nil"/>
              <w:bottom w:val="nil"/>
              <w:right w:val="nil"/>
            </w:tcBorders>
            <w:noWrap/>
            <w:hideMark/>
          </w:tcPr>
          <w:p w14:paraId="7D62E66A"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single" w:sz="4" w:space="0" w:color="auto"/>
              <w:left w:val="nil"/>
              <w:bottom w:val="nil"/>
              <w:right w:val="nil"/>
            </w:tcBorders>
            <w:noWrap/>
            <w:hideMark/>
          </w:tcPr>
          <w:p w14:paraId="562E59C8"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single" w:sz="4" w:space="0" w:color="auto"/>
              <w:left w:val="nil"/>
              <w:bottom w:val="nil"/>
              <w:right w:val="nil"/>
            </w:tcBorders>
            <w:noWrap/>
            <w:hideMark/>
          </w:tcPr>
          <w:p w14:paraId="4B372F70"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nil"/>
              <w:right w:val="nil"/>
            </w:tcBorders>
            <w:noWrap/>
            <w:hideMark/>
          </w:tcPr>
          <w:p w14:paraId="1F23B71A"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nil"/>
              <w:right w:val="nil"/>
            </w:tcBorders>
            <w:noWrap/>
            <w:hideMark/>
          </w:tcPr>
          <w:p w14:paraId="38342B00"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nil"/>
              <w:right w:val="nil"/>
            </w:tcBorders>
            <w:noWrap/>
            <w:hideMark/>
          </w:tcPr>
          <w:p w14:paraId="44626E93"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57E84E2D" w14:textId="77777777" w:rsidTr="002D2677">
        <w:trPr>
          <w:trHeight w:val="23"/>
        </w:trPr>
        <w:tc>
          <w:tcPr>
            <w:tcW w:w="4302" w:type="dxa"/>
            <w:tcBorders>
              <w:top w:val="nil"/>
              <w:left w:val="nil"/>
              <w:bottom w:val="nil"/>
              <w:right w:val="nil"/>
            </w:tcBorders>
            <w:noWrap/>
            <w:hideMark/>
          </w:tcPr>
          <w:p w14:paraId="12167DAA"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Low</w:t>
            </w:r>
          </w:p>
        </w:tc>
        <w:tc>
          <w:tcPr>
            <w:tcW w:w="992" w:type="dxa"/>
            <w:tcBorders>
              <w:top w:val="nil"/>
              <w:left w:val="nil"/>
              <w:bottom w:val="nil"/>
              <w:right w:val="nil"/>
            </w:tcBorders>
            <w:noWrap/>
            <w:hideMark/>
          </w:tcPr>
          <w:p w14:paraId="03DFA406"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805</w:t>
            </w:r>
          </w:p>
        </w:tc>
        <w:tc>
          <w:tcPr>
            <w:tcW w:w="992" w:type="dxa"/>
            <w:tcBorders>
              <w:top w:val="nil"/>
              <w:left w:val="nil"/>
              <w:bottom w:val="nil"/>
              <w:right w:val="nil"/>
            </w:tcBorders>
            <w:noWrap/>
            <w:hideMark/>
          </w:tcPr>
          <w:p w14:paraId="35A435AC"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636</w:t>
            </w:r>
          </w:p>
        </w:tc>
        <w:tc>
          <w:tcPr>
            <w:tcW w:w="1418" w:type="dxa"/>
            <w:tcBorders>
              <w:top w:val="nil"/>
              <w:left w:val="nil"/>
              <w:bottom w:val="nil"/>
              <w:right w:val="nil"/>
            </w:tcBorders>
            <w:noWrap/>
            <w:hideMark/>
          </w:tcPr>
          <w:p w14:paraId="77ABE9D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1,896.6</w:t>
            </w:r>
          </w:p>
        </w:tc>
        <w:tc>
          <w:tcPr>
            <w:tcW w:w="1575" w:type="dxa"/>
            <w:tcBorders>
              <w:top w:val="nil"/>
              <w:left w:val="nil"/>
              <w:bottom w:val="nil"/>
              <w:right w:val="nil"/>
            </w:tcBorders>
            <w:noWrap/>
            <w:hideMark/>
          </w:tcPr>
          <w:p w14:paraId="1937B01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33.5 (31.0, 36.2)</w:t>
            </w:r>
          </w:p>
        </w:tc>
        <w:tc>
          <w:tcPr>
            <w:tcW w:w="1576" w:type="dxa"/>
            <w:tcBorders>
              <w:top w:val="nil"/>
              <w:left w:val="nil"/>
              <w:bottom w:val="nil"/>
              <w:right w:val="nil"/>
            </w:tcBorders>
            <w:noWrap/>
            <w:hideMark/>
          </w:tcPr>
          <w:p w14:paraId="086AE59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33.4 (28.9, 38.5)</w:t>
            </w:r>
          </w:p>
        </w:tc>
        <w:tc>
          <w:tcPr>
            <w:tcW w:w="1576" w:type="dxa"/>
            <w:tcBorders>
              <w:top w:val="nil"/>
              <w:left w:val="nil"/>
              <w:bottom w:val="nil"/>
              <w:right w:val="nil"/>
            </w:tcBorders>
            <w:noWrap/>
            <w:hideMark/>
          </w:tcPr>
          <w:p w14:paraId="07F63157"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0.85 (0.72, 1.00)</w:t>
            </w:r>
          </w:p>
        </w:tc>
        <w:tc>
          <w:tcPr>
            <w:tcW w:w="1576" w:type="dxa"/>
            <w:tcBorders>
              <w:top w:val="nil"/>
              <w:left w:val="nil"/>
              <w:bottom w:val="nil"/>
              <w:right w:val="nil"/>
            </w:tcBorders>
            <w:noWrap/>
          </w:tcPr>
          <w:p w14:paraId="0ACF9087"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r>
      <w:tr w:rsidR="00D250E5" w:rsidRPr="00737A30" w14:paraId="768CC2FA" w14:textId="77777777" w:rsidTr="002D2677">
        <w:trPr>
          <w:trHeight w:val="23"/>
        </w:trPr>
        <w:tc>
          <w:tcPr>
            <w:tcW w:w="4302" w:type="dxa"/>
            <w:tcBorders>
              <w:top w:val="nil"/>
              <w:left w:val="nil"/>
              <w:bottom w:val="nil"/>
              <w:right w:val="nil"/>
            </w:tcBorders>
            <w:noWrap/>
            <w:hideMark/>
          </w:tcPr>
          <w:p w14:paraId="060C0AF7"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Intermediate</w:t>
            </w:r>
          </w:p>
        </w:tc>
        <w:tc>
          <w:tcPr>
            <w:tcW w:w="992" w:type="dxa"/>
            <w:tcBorders>
              <w:top w:val="nil"/>
              <w:left w:val="nil"/>
              <w:bottom w:val="nil"/>
              <w:right w:val="nil"/>
            </w:tcBorders>
            <w:noWrap/>
            <w:hideMark/>
          </w:tcPr>
          <w:p w14:paraId="170D477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2,830</w:t>
            </w:r>
          </w:p>
        </w:tc>
        <w:tc>
          <w:tcPr>
            <w:tcW w:w="992" w:type="dxa"/>
            <w:tcBorders>
              <w:top w:val="nil"/>
              <w:left w:val="nil"/>
              <w:bottom w:val="nil"/>
              <w:right w:val="nil"/>
            </w:tcBorders>
            <w:noWrap/>
            <w:hideMark/>
          </w:tcPr>
          <w:p w14:paraId="737AD69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2,684</w:t>
            </w:r>
          </w:p>
        </w:tc>
        <w:tc>
          <w:tcPr>
            <w:tcW w:w="1418" w:type="dxa"/>
            <w:tcBorders>
              <w:top w:val="nil"/>
              <w:left w:val="nil"/>
              <w:bottom w:val="nil"/>
              <w:right w:val="nil"/>
            </w:tcBorders>
            <w:noWrap/>
            <w:hideMark/>
          </w:tcPr>
          <w:p w14:paraId="4A86B066"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6,901.1</w:t>
            </w:r>
          </w:p>
        </w:tc>
        <w:tc>
          <w:tcPr>
            <w:tcW w:w="1575" w:type="dxa"/>
            <w:tcBorders>
              <w:top w:val="nil"/>
              <w:left w:val="nil"/>
              <w:bottom w:val="nil"/>
              <w:right w:val="nil"/>
            </w:tcBorders>
            <w:noWrap/>
            <w:hideMark/>
          </w:tcPr>
          <w:p w14:paraId="2C2A219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38.9 (37.4, 40.4)</w:t>
            </w:r>
          </w:p>
        </w:tc>
        <w:tc>
          <w:tcPr>
            <w:tcW w:w="1576" w:type="dxa"/>
            <w:tcBorders>
              <w:top w:val="nil"/>
              <w:left w:val="nil"/>
              <w:bottom w:val="nil"/>
              <w:right w:val="nil"/>
            </w:tcBorders>
            <w:noWrap/>
            <w:hideMark/>
          </w:tcPr>
          <w:p w14:paraId="6757138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39.3 (36.5, 42.3)</w:t>
            </w:r>
          </w:p>
        </w:tc>
        <w:tc>
          <w:tcPr>
            <w:tcW w:w="1576" w:type="dxa"/>
            <w:tcBorders>
              <w:top w:val="nil"/>
              <w:left w:val="nil"/>
              <w:bottom w:val="nil"/>
              <w:right w:val="nil"/>
            </w:tcBorders>
            <w:noWrap/>
            <w:hideMark/>
          </w:tcPr>
          <w:p w14:paraId="1294863F"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c>
          <w:tcPr>
            <w:tcW w:w="1576" w:type="dxa"/>
            <w:tcBorders>
              <w:top w:val="nil"/>
              <w:left w:val="nil"/>
              <w:bottom w:val="nil"/>
              <w:right w:val="nil"/>
            </w:tcBorders>
            <w:noWrap/>
            <w:hideMark/>
          </w:tcPr>
          <w:p w14:paraId="66EEE9D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w:t>
            </w:r>
          </w:p>
        </w:tc>
      </w:tr>
      <w:tr w:rsidR="00D250E5" w:rsidRPr="00737A30" w14:paraId="2C6506D3" w14:textId="77777777" w:rsidTr="002D2677">
        <w:trPr>
          <w:trHeight w:val="23"/>
        </w:trPr>
        <w:tc>
          <w:tcPr>
            <w:tcW w:w="4302" w:type="dxa"/>
            <w:tcBorders>
              <w:top w:val="nil"/>
              <w:left w:val="nil"/>
              <w:bottom w:val="nil"/>
              <w:right w:val="nil"/>
            </w:tcBorders>
            <w:noWrap/>
            <w:hideMark/>
          </w:tcPr>
          <w:p w14:paraId="1120D8AD"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High</w:t>
            </w:r>
          </w:p>
        </w:tc>
        <w:tc>
          <w:tcPr>
            <w:tcW w:w="992" w:type="dxa"/>
            <w:tcBorders>
              <w:top w:val="nil"/>
              <w:left w:val="nil"/>
              <w:bottom w:val="nil"/>
              <w:right w:val="nil"/>
            </w:tcBorders>
            <w:noWrap/>
            <w:hideMark/>
          </w:tcPr>
          <w:p w14:paraId="34250F0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1,963</w:t>
            </w:r>
          </w:p>
        </w:tc>
        <w:tc>
          <w:tcPr>
            <w:tcW w:w="992" w:type="dxa"/>
            <w:tcBorders>
              <w:top w:val="nil"/>
              <w:left w:val="nil"/>
              <w:bottom w:val="nil"/>
              <w:right w:val="nil"/>
            </w:tcBorders>
            <w:noWrap/>
            <w:hideMark/>
          </w:tcPr>
          <w:p w14:paraId="0CBE89D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1,921</w:t>
            </w:r>
          </w:p>
        </w:tc>
        <w:tc>
          <w:tcPr>
            <w:tcW w:w="1418" w:type="dxa"/>
            <w:tcBorders>
              <w:top w:val="nil"/>
              <w:left w:val="nil"/>
              <w:bottom w:val="nil"/>
              <w:right w:val="nil"/>
            </w:tcBorders>
            <w:noWrap/>
            <w:hideMark/>
          </w:tcPr>
          <w:p w14:paraId="04BBA29A"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4,673.9</w:t>
            </w:r>
          </w:p>
        </w:tc>
        <w:tc>
          <w:tcPr>
            <w:tcW w:w="1575" w:type="dxa"/>
            <w:tcBorders>
              <w:top w:val="nil"/>
              <w:left w:val="nil"/>
              <w:bottom w:val="nil"/>
              <w:right w:val="nil"/>
            </w:tcBorders>
            <w:noWrap/>
            <w:hideMark/>
          </w:tcPr>
          <w:p w14:paraId="2D59B414"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41.1 (39.3, 43.0)</w:t>
            </w:r>
          </w:p>
        </w:tc>
        <w:tc>
          <w:tcPr>
            <w:tcW w:w="1576" w:type="dxa"/>
            <w:tcBorders>
              <w:top w:val="nil"/>
              <w:left w:val="nil"/>
              <w:bottom w:val="nil"/>
              <w:right w:val="nil"/>
            </w:tcBorders>
            <w:noWrap/>
            <w:hideMark/>
          </w:tcPr>
          <w:p w14:paraId="655E3DB4"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41.7 (38.2, 45.6)</w:t>
            </w:r>
          </w:p>
        </w:tc>
        <w:tc>
          <w:tcPr>
            <w:tcW w:w="1576" w:type="dxa"/>
            <w:tcBorders>
              <w:top w:val="nil"/>
              <w:left w:val="nil"/>
              <w:bottom w:val="nil"/>
              <w:right w:val="nil"/>
            </w:tcBorders>
            <w:noWrap/>
            <w:hideMark/>
          </w:tcPr>
          <w:p w14:paraId="6B72057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1.06 (0.95, 1.19)</w:t>
            </w:r>
          </w:p>
        </w:tc>
        <w:tc>
          <w:tcPr>
            <w:tcW w:w="1576" w:type="dxa"/>
            <w:tcBorders>
              <w:top w:val="nil"/>
              <w:left w:val="nil"/>
              <w:bottom w:val="nil"/>
              <w:right w:val="nil"/>
            </w:tcBorders>
            <w:noWrap/>
            <w:hideMark/>
          </w:tcPr>
          <w:p w14:paraId="1047C534"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1.25 (1.02, 1.53)</w:t>
            </w:r>
          </w:p>
        </w:tc>
      </w:tr>
      <w:tr w:rsidR="00D250E5" w:rsidRPr="00737A30" w14:paraId="19A4BD99" w14:textId="77777777" w:rsidTr="002D2677">
        <w:trPr>
          <w:trHeight w:val="23"/>
        </w:trPr>
        <w:tc>
          <w:tcPr>
            <w:tcW w:w="4302" w:type="dxa"/>
            <w:tcBorders>
              <w:top w:val="nil"/>
              <w:left w:val="nil"/>
              <w:bottom w:val="nil"/>
              <w:right w:val="nil"/>
            </w:tcBorders>
            <w:noWrap/>
            <w:hideMark/>
          </w:tcPr>
          <w:p w14:paraId="3AC3A99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Severe COPD exacerbation</w:t>
            </w:r>
          </w:p>
        </w:tc>
        <w:tc>
          <w:tcPr>
            <w:tcW w:w="992" w:type="dxa"/>
            <w:tcBorders>
              <w:top w:val="nil"/>
              <w:left w:val="nil"/>
              <w:bottom w:val="nil"/>
              <w:right w:val="nil"/>
            </w:tcBorders>
            <w:noWrap/>
            <w:hideMark/>
          </w:tcPr>
          <w:p w14:paraId="7F4CDC24"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992" w:type="dxa"/>
            <w:tcBorders>
              <w:top w:val="nil"/>
              <w:left w:val="nil"/>
              <w:bottom w:val="nil"/>
              <w:right w:val="nil"/>
            </w:tcBorders>
            <w:noWrap/>
            <w:hideMark/>
          </w:tcPr>
          <w:p w14:paraId="42A64152"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nil"/>
              <w:left w:val="nil"/>
              <w:bottom w:val="nil"/>
              <w:right w:val="nil"/>
            </w:tcBorders>
            <w:noWrap/>
            <w:hideMark/>
          </w:tcPr>
          <w:p w14:paraId="7F24C485"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nil"/>
              <w:left w:val="nil"/>
              <w:bottom w:val="nil"/>
              <w:right w:val="nil"/>
            </w:tcBorders>
            <w:noWrap/>
            <w:hideMark/>
          </w:tcPr>
          <w:p w14:paraId="40942B6F"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0F532AC0"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049BD109"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68AEEC1B"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5AD0DC5F" w14:textId="77777777" w:rsidTr="002D2677">
        <w:trPr>
          <w:trHeight w:val="23"/>
        </w:trPr>
        <w:tc>
          <w:tcPr>
            <w:tcW w:w="4302" w:type="dxa"/>
            <w:tcBorders>
              <w:top w:val="nil"/>
              <w:left w:val="nil"/>
              <w:bottom w:val="nil"/>
              <w:right w:val="nil"/>
            </w:tcBorders>
            <w:noWrap/>
            <w:hideMark/>
          </w:tcPr>
          <w:p w14:paraId="600A5EBD"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Low</w:t>
            </w:r>
          </w:p>
        </w:tc>
        <w:tc>
          <w:tcPr>
            <w:tcW w:w="992" w:type="dxa"/>
            <w:tcBorders>
              <w:top w:val="nil"/>
              <w:left w:val="nil"/>
              <w:bottom w:val="nil"/>
              <w:right w:val="nil"/>
            </w:tcBorders>
            <w:noWrap/>
            <w:hideMark/>
          </w:tcPr>
          <w:p w14:paraId="08E14F6E"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805</w:t>
            </w:r>
          </w:p>
        </w:tc>
        <w:tc>
          <w:tcPr>
            <w:tcW w:w="992" w:type="dxa"/>
            <w:tcBorders>
              <w:top w:val="nil"/>
              <w:left w:val="nil"/>
              <w:bottom w:val="nil"/>
              <w:right w:val="nil"/>
            </w:tcBorders>
            <w:noWrap/>
            <w:hideMark/>
          </w:tcPr>
          <w:p w14:paraId="46B0EF7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207</w:t>
            </w:r>
          </w:p>
        </w:tc>
        <w:tc>
          <w:tcPr>
            <w:tcW w:w="1418" w:type="dxa"/>
            <w:tcBorders>
              <w:top w:val="nil"/>
              <w:left w:val="nil"/>
              <w:bottom w:val="nil"/>
              <w:right w:val="nil"/>
            </w:tcBorders>
            <w:noWrap/>
            <w:hideMark/>
          </w:tcPr>
          <w:p w14:paraId="0CDFDDDC"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1,896.6</w:t>
            </w:r>
          </w:p>
        </w:tc>
        <w:tc>
          <w:tcPr>
            <w:tcW w:w="1575" w:type="dxa"/>
            <w:tcBorders>
              <w:top w:val="nil"/>
              <w:left w:val="nil"/>
              <w:bottom w:val="nil"/>
              <w:right w:val="nil"/>
            </w:tcBorders>
            <w:noWrap/>
            <w:hideMark/>
          </w:tcPr>
          <w:p w14:paraId="034EFFCA"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10.9 (9.5, 12.5)</w:t>
            </w:r>
          </w:p>
        </w:tc>
        <w:tc>
          <w:tcPr>
            <w:tcW w:w="1576" w:type="dxa"/>
            <w:tcBorders>
              <w:top w:val="nil"/>
              <w:left w:val="nil"/>
              <w:bottom w:val="nil"/>
              <w:right w:val="nil"/>
            </w:tcBorders>
            <w:noWrap/>
            <w:hideMark/>
          </w:tcPr>
          <w:p w14:paraId="08B7AB1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10.6 (8.8, 12.8)</w:t>
            </w:r>
          </w:p>
        </w:tc>
        <w:tc>
          <w:tcPr>
            <w:tcW w:w="1576" w:type="dxa"/>
            <w:tcBorders>
              <w:top w:val="nil"/>
              <w:left w:val="nil"/>
              <w:bottom w:val="nil"/>
              <w:right w:val="nil"/>
            </w:tcBorders>
            <w:noWrap/>
            <w:hideMark/>
          </w:tcPr>
          <w:p w14:paraId="092A9E5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1.01 (0.82, 1.25)</w:t>
            </w:r>
          </w:p>
        </w:tc>
        <w:tc>
          <w:tcPr>
            <w:tcW w:w="1576" w:type="dxa"/>
            <w:tcBorders>
              <w:top w:val="nil"/>
              <w:left w:val="nil"/>
              <w:bottom w:val="nil"/>
              <w:right w:val="nil"/>
            </w:tcBorders>
            <w:noWrap/>
            <w:hideMark/>
          </w:tcPr>
          <w:p w14:paraId="43096768"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r>
      <w:tr w:rsidR="00D250E5" w:rsidRPr="00737A30" w14:paraId="0439E4A8" w14:textId="77777777" w:rsidTr="002D2677">
        <w:trPr>
          <w:trHeight w:val="23"/>
        </w:trPr>
        <w:tc>
          <w:tcPr>
            <w:tcW w:w="4302" w:type="dxa"/>
            <w:tcBorders>
              <w:top w:val="nil"/>
              <w:left w:val="nil"/>
              <w:bottom w:val="nil"/>
              <w:right w:val="nil"/>
            </w:tcBorders>
            <w:noWrap/>
            <w:hideMark/>
          </w:tcPr>
          <w:p w14:paraId="19A3086C"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Intermediate</w:t>
            </w:r>
          </w:p>
        </w:tc>
        <w:tc>
          <w:tcPr>
            <w:tcW w:w="992" w:type="dxa"/>
            <w:tcBorders>
              <w:top w:val="nil"/>
              <w:left w:val="nil"/>
              <w:bottom w:val="nil"/>
              <w:right w:val="nil"/>
            </w:tcBorders>
            <w:noWrap/>
            <w:hideMark/>
          </w:tcPr>
          <w:p w14:paraId="1E86DDE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2,830</w:t>
            </w:r>
          </w:p>
        </w:tc>
        <w:tc>
          <w:tcPr>
            <w:tcW w:w="992" w:type="dxa"/>
            <w:tcBorders>
              <w:top w:val="nil"/>
              <w:left w:val="nil"/>
              <w:bottom w:val="nil"/>
              <w:right w:val="nil"/>
            </w:tcBorders>
            <w:noWrap/>
            <w:hideMark/>
          </w:tcPr>
          <w:p w14:paraId="36FB58AF"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717</w:t>
            </w:r>
          </w:p>
        </w:tc>
        <w:tc>
          <w:tcPr>
            <w:tcW w:w="1418" w:type="dxa"/>
            <w:tcBorders>
              <w:top w:val="nil"/>
              <w:left w:val="nil"/>
              <w:bottom w:val="nil"/>
              <w:right w:val="nil"/>
            </w:tcBorders>
            <w:noWrap/>
            <w:hideMark/>
          </w:tcPr>
          <w:p w14:paraId="6385F7C8"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6,901.1</w:t>
            </w:r>
          </w:p>
        </w:tc>
        <w:tc>
          <w:tcPr>
            <w:tcW w:w="1575" w:type="dxa"/>
            <w:tcBorders>
              <w:top w:val="nil"/>
              <w:left w:val="nil"/>
              <w:bottom w:val="nil"/>
              <w:right w:val="nil"/>
            </w:tcBorders>
            <w:noWrap/>
            <w:hideMark/>
          </w:tcPr>
          <w:p w14:paraId="257F951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10.4 (9.6, 11.2)</w:t>
            </w:r>
          </w:p>
        </w:tc>
        <w:tc>
          <w:tcPr>
            <w:tcW w:w="1576" w:type="dxa"/>
            <w:tcBorders>
              <w:top w:val="nil"/>
              <w:left w:val="nil"/>
              <w:bottom w:val="nil"/>
              <w:right w:val="nil"/>
            </w:tcBorders>
            <w:noWrap/>
            <w:hideMark/>
          </w:tcPr>
          <w:p w14:paraId="2A8665C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10.5 (9.5, 11.7)</w:t>
            </w:r>
          </w:p>
        </w:tc>
        <w:tc>
          <w:tcPr>
            <w:tcW w:w="1576" w:type="dxa"/>
            <w:tcBorders>
              <w:top w:val="nil"/>
              <w:left w:val="nil"/>
              <w:bottom w:val="nil"/>
              <w:right w:val="nil"/>
            </w:tcBorders>
            <w:noWrap/>
            <w:hideMark/>
          </w:tcPr>
          <w:p w14:paraId="00FA2F8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c>
          <w:tcPr>
            <w:tcW w:w="1576" w:type="dxa"/>
            <w:tcBorders>
              <w:top w:val="nil"/>
              <w:left w:val="nil"/>
              <w:bottom w:val="nil"/>
              <w:right w:val="nil"/>
            </w:tcBorders>
            <w:noWrap/>
            <w:hideMark/>
          </w:tcPr>
          <w:p w14:paraId="18FEDB9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w:t>
            </w:r>
          </w:p>
        </w:tc>
      </w:tr>
      <w:tr w:rsidR="00D250E5" w:rsidRPr="00737A30" w14:paraId="2A125327" w14:textId="77777777" w:rsidTr="002D2677">
        <w:trPr>
          <w:trHeight w:val="23"/>
        </w:trPr>
        <w:tc>
          <w:tcPr>
            <w:tcW w:w="4302" w:type="dxa"/>
            <w:tcBorders>
              <w:top w:val="nil"/>
              <w:left w:val="nil"/>
              <w:bottom w:val="nil"/>
              <w:right w:val="nil"/>
            </w:tcBorders>
            <w:noWrap/>
            <w:hideMark/>
          </w:tcPr>
          <w:p w14:paraId="3C05A8A2"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High</w:t>
            </w:r>
          </w:p>
        </w:tc>
        <w:tc>
          <w:tcPr>
            <w:tcW w:w="992" w:type="dxa"/>
            <w:tcBorders>
              <w:top w:val="nil"/>
              <w:left w:val="nil"/>
              <w:bottom w:val="nil"/>
              <w:right w:val="nil"/>
            </w:tcBorders>
            <w:noWrap/>
            <w:hideMark/>
          </w:tcPr>
          <w:p w14:paraId="40231566"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1,963</w:t>
            </w:r>
          </w:p>
        </w:tc>
        <w:tc>
          <w:tcPr>
            <w:tcW w:w="992" w:type="dxa"/>
            <w:tcBorders>
              <w:top w:val="nil"/>
              <w:left w:val="nil"/>
              <w:bottom w:val="nil"/>
              <w:right w:val="nil"/>
            </w:tcBorders>
            <w:noWrap/>
            <w:hideMark/>
          </w:tcPr>
          <w:p w14:paraId="1CF8B13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501</w:t>
            </w:r>
          </w:p>
        </w:tc>
        <w:tc>
          <w:tcPr>
            <w:tcW w:w="1418" w:type="dxa"/>
            <w:tcBorders>
              <w:top w:val="nil"/>
              <w:left w:val="nil"/>
              <w:bottom w:val="nil"/>
              <w:right w:val="nil"/>
            </w:tcBorders>
            <w:noWrap/>
            <w:hideMark/>
          </w:tcPr>
          <w:p w14:paraId="0BB43A1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4,673.9</w:t>
            </w:r>
          </w:p>
        </w:tc>
        <w:tc>
          <w:tcPr>
            <w:tcW w:w="1575" w:type="dxa"/>
            <w:tcBorders>
              <w:top w:val="nil"/>
              <w:left w:val="nil"/>
              <w:bottom w:val="nil"/>
              <w:right w:val="nil"/>
            </w:tcBorders>
            <w:noWrap/>
            <w:hideMark/>
          </w:tcPr>
          <w:p w14:paraId="1C246DE7"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10.7 (9.8, 11.7)</w:t>
            </w:r>
          </w:p>
        </w:tc>
        <w:tc>
          <w:tcPr>
            <w:tcW w:w="1576" w:type="dxa"/>
            <w:tcBorders>
              <w:top w:val="nil"/>
              <w:left w:val="nil"/>
              <w:bottom w:val="nil"/>
              <w:right w:val="nil"/>
            </w:tcBorders>
            <w:noWrap/>
            <w:hideMark/>
          </w:tcPr>
          <w:p w14:paraId="3C98F496"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11.12 (9.9, 12.5)</w:t>
            </w:r>
          </w:p>
        </w:tc>
        <w:tc>
          <w:tcPr>
            <w:tcW w:w="1576" w:type="dxa"/>
            <w:tcBorders>
              <w:top w:val="nil"/>
              <w:left w:val="nil"/>
              <w:bottom w:val="nil"/>
              <w:right w:val="nil"/>
            </w:tcBorders>
            <w:noWrap/>
            <w:hideMark/>
          </w:tcPr>
          <w:p w14:paraId="52EBE4C6"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1.06 (0.90, 1.23)</w:t>
            </w:r>
          </w:p>
        </w:tc>
        <w:tc>
          <w:tcPr>
            <w:tcW w:w="1576" w:type="dxa"/>
            <w:tcBorders>
              <w:top w:val="nil"/>
              <w:left w:val="nil"/>
              <w:bottom w:val="nil"/>
              <w:right w:val="nil"/>
            </w:tcBorders>
            <w:noWrap/>
            <w:hideMark/>
          </w:tcPr>
          <w:p w14:paraId="3EB4684E"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1.05 (0.80, 1.36)</w:t>
            </w:r>
          </w:p>
        </w:tc>
      </w:tr>
      <w:tr w:rsidR="00D250E5" w:rsidRPr="00737A30" w14:paraId="1AB66EB4" w14:textId="77777777" w:rsidTr="002D2677">
        <w:trPr>
          <w:trHeight w:val="23"/>
        </w:trPr>
        <w:tc>
          <w:tcPr>
            <w:tcW w:w="4302" w:type="dxa"/>
            <w:tcBorders>
              <w:top w:val="nil"/>
              <w:left w:val="nil"/>
              <w:bottom w:val="nil"/>
              <w:right w:val="nil"/>
            </w:tcBorders>
            <w:noWrap/>
            <w:hideMark/>
          </w:tcPr>
          <w:p w14:paraId="1C0CB857"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Moderate or severe COPD exacerbation</w:t>
            </w:r>
          </w:p>
        </w:tc>
        <w:tc>
          <w:tcPr>
            <w:tcW w:w="992" w:type="dxa"/>
            <w:tcBorders>
              <w:top w:val="nil"/>
              <w:left w:val="nil"/>
              <w:bottom w:val="nil"/>
              <w:right w:val="nil"/>
            </w:tcBorders>
            <w:noWrap/>
            <w:hideMark/>
          </w:tcPr>
          <w:p w14:paraId="2F08ABC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92" w:type="dxa"/>
            <w:tcBorders>
              <w:top w:val="nil"/>
              <w:left w:val="nil"/>
              <w:bottom w:val="nil"/>
              <w:right w:val="nil"/>
            </w:tcBorders>
            <w:noWrap/>
            <w:hideMark/>
          </w:tcPr>
          <w:p w14:paraId="7AB3111D"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nil"/>
              <w:left w:val="nil"/>
              <w:bottom w:val="nil"/>
              <w:right w:val="nil"/>
            </w:tcBorders>
            <w:noWrap/>
            <w:hideMark/>
          </w:tcPr>
          <w:p w14:paraId="42A4703C"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nil"/>
              <w:left w:val="nil"/>
              <w:bottom w:val="nil"/>
              <w:right w:val="nil"/>
            </w:tcBorders>
            <w:noWrap/>
            <w:hideMark/>
          </w:tcPr>
          <w:p w14:paraId="39727A73"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77D060A5"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1018961A"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1A43162D"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19083B93" w14:textId="77777777" w:rsidTr="002D2677">
        <w:trPr>
          <w:trHeight w:val="23"/>
        </w:trPr>
        <w:tc>
          <w:tcPr>
            <w:tcW w:w="4302" w:type="dxa"/>
            <w:tcBorders>
              <w:top w:val="nil"/>
              <w:left w:val="nil"/>
              <w:bottom w:val="nil"/>
              <w:right w:val="nil"/>
            </w:tcBorders>
            <w:noWrap/>
            <w:hideMark/>
          </w:tcPr>
          <w:p w14:paraId="63C1A543"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Low</w:t>
            </w:r>
          </w:p>
        </w:tc>
        <w:tc>
          <w:tcPr>
            <w:tcW w:w="992" w:type="dxa"/>
            <w:tcBorders>
              <w:top w:val="nil"/>
              <w:left w:val="nil"/>
              <w:bottom w:val="nil"/>
              <w:right w:val="nil"/>
            </w:tcBorders>
            <w:noWrap/>
            <w:hideMark/>
          </w:tcPr>
          <w:p w14:paraId="16EDEC2F"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805</w:t>
            </w:r>
          </w:p>
        </w:tc>
        <w:tc>
          <w:tcPr>
            <w:tcW w:w="992" w:type="dxa"/>
            <w:tcBorders>
              <w:top w:val="nil"/>
              <w:left w:val="nil"/>
              <w:bottom w:val="nil"/>
              <w:right w:val="nil"/>
            </w:tcBorders>
            <w:noWrap/>
            <w:hideMark/>
          </w:tcPr>
          <w:p w14:paraId="408A8FAE"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843</w:t>
            </w:r>
          </w:p>
        </w:tc>
        <w:tc>
          <w:tcPr>
            <w:tcW w:w="1418" w:type="dxa"/>
            <w:tcBorders>
              <w:top w:val="nil"/>
              <w:left w:val="nil"/>
              <w:bottom w:val="nil"/>
              <w:right w:val="nil"/>
            </w:tcBorders>
            <w:noWrap/>
            <w:hideMark/>
          </w:tcPr>
          <w:p w14:paraId="1EB6E06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1,896.6</w:t>
            </w:r>
          </w:p>
        </w:tc>
        <w:tc>
          <w:tcPr>
            <w:tcW w:w="1575" w:type="dxa"/>
            <w:tcBorders>
              <w:top w:val="nil"/>
              <w:left w:val="nil"/>
              <w:bottom w:val="nil"/>
              <w:right w:val="nil"/>
            </w:tcBorders>
            <w:noWrap/>
            <w:hideMark/>
          </w:tcPr>
          <w:p w14:paraId="68CC83BF"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44.5 (41.5, 47.6)</w:t>
            </w:r>
          </w:p>
        </w:tc>
        <w:tc>
          <w:tcPr>
            <w:tcW w:w="1576" w:type="dxa"/>
            <w:tcBorders>
              <w:top w:val="nil"/>
              <w:left w:val="nil"/>
              <w:bottom w:val="nil"/>
              <w:right w:val="nil"/>
            </w:tcBorders>
            <w:noWrap/>
            <w:hideMark/>
          </w:tcPr>
          <w:p w14:paraId="08E7218A"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46.2 (40.8, 52.2)</w:t>
            </w:r>
          </w:p>
        </w:tc>
        <w:tc>
          <w:tcPr>
            <w:tcW w:w="1576" w:type="dxa"/>
            <w:tcBorders>
              <w:top w:val="nil"/>
              <w:left w:val="nil"/>
              <w:bottom w:val="nil"/>
              <w:right w:val="nil"/>
            </w:tcBorders>
            <w:noWrap/>
            <w:hideMark/>
          </w:tcPr>
          <w:p w14:paraId="25FE54DF"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0.89 (0.77, 1.02)</w:t>
            </w:r>
          </w:p>
        </w:tc>
        <w:tc>
          <w:tcPr>
            <w:tcW w:w="1576" w:type="dxa"/>
            <w:tcBorders>
              <w:top w:val="nil"/>
              <w:left w:val="nil"/>
              <w:bottom w:val="nil"/>
              <w:right w:val="nil"/>
            </w:tcBorders>
            <w:noWrap/>
            <w:hideMark/>
          </w:tcPr>
          <w:p w14:paraId="290AA928"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r>
      <w:tr w:rsidR="00D250E5" w:rsidRPr="00737A30" w14:paraId="3B6348CF" w14:textId="77777777" w:rsidTr="002D2677">
        <w:trPr>
          <w:trHeight w:val="23"/>
        </w:trPr>
        <w:tc>
          <w:tcPr>
            <w:tcW w:w="4302" w:type="dxa"/>
            <w:tcBorders>
              <w:top w:val="nil"/>
              <w:left w:val="nil"/>
              <w:bottom w:val="nil"/>
              <w:right w:val="nil"/>
            </w:tcBorders>
            <w:noWrap/>
            <w:hideMark/>
          </w:tcPr>
          <w:p w14:paraId="6BE23A49"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Intermediate</w:t>
            </w:r>
          </w:p>
        </w:tc>
        <w:tc>
          <w:tcPr>
            <w:tcW w:w="992" w:type="dxa"/>
            <w:tcBorders>
              <w:top w:val="nil"/>
              <w:left w:val="nil"/>
              <w:bottom w:val="nil"/>
              <w:right w:val="nil"/>
            </w:tcBorders>
            <w:noWrap/>
            <w:hideMark/>
          </w:tcPr>
          <w:p w14:paraId="60E2F216"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2,830</w:t>
            </w:r>
          </w:p>
        </w:tc>
        <w:tc>
          <w:tcPr>
            <w:tcW w:w="992" w:type="dxa"/>
            <w:tcBorders>
              <w:top w:val="nil"/>
              <w:left w:val="nil"/>
              <w:bottom w:val="nil"/>
              <w:right w:val="nil"/>
            </w:tcBorders>
            <w:noWrap/>
            <w:hideMark/>
          </w:tcPr>
          <w:p w14:paraId="7D6E21A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3,401</w:t>
            </w:r>
          </w:p>
        </w:tc>
        <w:tc>
          <w:tcPr>
            <w:tcW w:w="1418" w:type="dxa"/>
            <w:tcBorders>
              <w:top w:val="nil"/>
              <w:left w:val="nil"/>
              <w:bottom w:val="nil"/>
              <w:right w:val="nil"/>
            </w:tcBorders>
            <w:noWrap/>
            <w:hideMark/>
          </w:tcPr>
          <w:p w14:paraId="050E5146"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6,901.1</w:t>
            </w:r>
          </w:p>
        </w:tc>
        <w:tc>
          <w:tcPr>
            <w:tcW w:w="1575" w:type="dxa"/>
            <w:tcBorders>
              <w:top w:val="nil"/>
              <w:left w:val="nil"/>
              <w:bottom w:val="nil"/>
              <w:right w:val="nil"/>
            </w:tcBorders>
            <w:noWrap/>
            <w:hideMark/>
          </w:tcPr>
          <w:p w14:paraId="1150AE18"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49.3 (47.6, 51.0)</w:t>
            </w:r>
          </w:p>
        </w:tc>
        <w:tc>
          <w:tcPr>
            <w:tcW w:w="1576" w:type="dxa"/>
            <w:tcBorders>
              <w:top w:val="nil"/>
              <w:left w:val="nil"/>
              <w:bottom w:val="nil"/>
              <w:right w:val="nil"/>
            </w:tcBorders>
            <w:noWrap/>
            <w:hideMark/>
          </w:tcPr>
          <w:p w14:paraId="5F338304"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52.1 (48.9, 55.5)</w:t>
            </w:r>
          </w:p>
        </w:tc>
        <w:tc>
          <w:tcPr>
            <w:tcW w:w="1576" w:type="dxa"/>
            <w:tcBorders>
              <w:top w:val="nil"/>
              <w:left w:val="nil"/>
              <w:bottom w:val="nil"/>
              <w:right w:val="nil"/>
            </w:tcBorders>
            <w:noWrap/>
            <w:hideMark/>
          </w:tcPr>
          <w:p w14:paraId="5636286A"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c>
          <w:tcPr>
            <w:tcW w:w="1576" w:type="dxa"/>
            <w:tcBorders>
              <w:top w:val="nil"/>
              <w:left w:val="nil"/>
              <w:bottom w:val="nil"/>
              <w:right w:val="nil"/>
            </w:tcBorders>
            <w:noWrap/>
            <w:hideMark/>
          </w:tcPr>
          <w:p w14:paraId="76B93CE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w:t>
            </w:r>
          </w:p>
        </w:tc>
      </w:tr>
      <w:tr w:rsidR="00D250E5" w:rsidRPr="00737A30" w14:paraId="0406A8B7" w14:textId="77777777" w:rsidTr="002D2677">
        <w:trPr>
          <w:trHeight w:val="23"/>
        </w:trPr>
        <w:tc>
          <w:tcPr>
            <w:tcW w:w="4302" w:type="dxa"/>
            <w:tcBorders>
              <w:top w:val="nil"/>
              <w:left w:val="nil"/>
              <w:bottom w:val="single" w:sz="4" w:space="0" w:color="auto"/>
              <w:right w:val="nil"/>
            </w:tcBorders>
            <w:noWrap/>
            <w:hideMark/>
          </w:tcPr>
          <w:p w14:paraId="6AECF8A6"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High</w:t>
            </w:r>
          </w:p>
        </w:tc>
        <w:tc>
          <w:tcPr>
            <w:tcW w:w="992" w:type="dxa"/>
            <w:tcBorders>
              <w:top w:val="nil"/>
              <w:left w:val="nil"/>
              <w:bottom w:val="single" w:sz="4" w:space="0" w:color="auto"/>
              <w:right w:val="nil"/>
            </w:tcBorders>
            <w:noWrap/>
            <w:hideMark/>
          </w:tcPr>
          <w:p w14:paraId="200BF52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1,963</w:t>
            </w:r>
          </w:p>
        </w:tc>
        <w:tc>
          <w:tcPr>
            <w:tcW w:w="992" w:type="dxa"/>
            <w:tcBorders>
              <w:top w:val="nil"/>
              <w:left w:val="nil"/>
              <w:bottom w:val="single" w:sz="4" w:space="0" w:color="auto"/>
              <w:right w:val="nil"/>
            </w:tcBorders>
            <w:noWrap/>
            <w:hideMark/>
          </w:tcPr>
          <w:p w14:paraId="05C80ADF"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2,422</w:t>
            </w:r>
          </w:p>
        </w:tc>
        <w:tc>
          <w:tcPr>
            <w:tcW w:w="1418" w:type="dxa"/>
            <w:tcBorders>
              <w:top w:val="nil"/>
              <w:left w:val="nil"/>
              <w:bottom w:val="single" w:sz="4" w:space="0" w:color="auto"/>
              <w:right w:val="nil"/>
            </w:tcBorders>
            <w:noWrap/>
            <w:hideMark/>
          </w:tcPr>
          <w:p w14:paraId="6655C79B"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4,673.9</w:t>
            </w:r>
          </w:p>
        </w:tc>
        <w:tc>
          <w:tcPr>
            <w:tcW w:w="1575" w:type="dxa"/>
            <w:tcBorders>
              <w:top w:val="nil"/>
              <w:left w:val="nil"/>
              <w:bottom w:val="single" w:sz="4" w:space="0" w:color="auto"/>
              <w:right w:val="nil"/>
            </w:tcBorders>
            <w:noWrap/>
            <w:hideMark/>
          </w:tcPr>
          <w:p w14:paraId="03D760C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51.8 (49.8, 53.9)</w:t>
            </w:r>
          </w:p>
        </w:tc>
        <w:tc>
          <w:tcPr>
            <w:tcW w:w="1576" w:type="dxa"/>
            <w:tcBorders>
              <w:top w:val="nil"/>
              <w:left w:val="nil"/>
              <w:bottom w:val="single" w:sz="4" w:space="0" w:color="auto"/>
              <w:right w:val="nil"/>
            </w:tcBorders>
            <w:noWrap/>
            <w:hideMark/>
          </w:tcPr>
          <w:p w14:paraId="78A943A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54.8 (50.8, 59.2)</w:t>
            </w:r>
          </w:p>
        </w:tc>
        <w:tc>
          <w:tcPr>
            <w:tcW w:w="1576" w:type="dxa"/>
            <w:tcBorders>
              <w:top w:val="nil"/>
              <w:left w:val="nil"/>
              <w:bottom w:val="single" w:sz="4" w:space="0" w:color="auto"/>
              <w:right w:val="nil"/>
            </w:tcBorders>
            <w:noWrap/>
            <w:hideMark/>
          </w:tcPr>
          <w:p w14:paraId="1094694F"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1.05 (0.95, 1.16)</w:t>
            </w:r>
          </w:p>
        </w:tc>
        <w:tc>
          <w:tcPr>
            <w:tcW w:w="1576" w:type="dxa"/>
            <w:tcBorders>
              <w:top w:val="nil"/>
              <w:left w:val="nil"/>
              <w:bottom w:val="single" w:sz="4" w:space="0" w:color="auto"/>
              <w:right w:val="nil"/>
            </w:tcBorders>
            <w:noWrap/>
            <w:hideMark/>
          </w:tcPr>
          <w:p w14:paraId="2898ABE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1.19 (1.00, 1.41)</w:t>
            </w:r>
          </w:p>
        </w:tc>
      </w:tr>
      <w:tr w:rsidR="00D250E5" w:rsidRPr="00737A30" w14:paraId="626F8F2C" w14:textId="77777777" w:rsidTr="002D2677">
        <w:trPr>
          <w:trHeight w:val="23"/>
        </w:trPr>
        <w:tc>
          <w:tcPr>
            <w:tcW w:w="4302" w:type="dxa"/>
            <w:tcBorders>
              <w:top w:val="single" w:sz="4" w:space="0" w:color="auto"/>
              <w:left w:val="nil"/>
              <w:bottom w:val="single" w:sz="4" w:space="0" w:color="auto"/>
              <w:right w:val="nil"/>
            </w:tcBorders>
            <w:noWrap/>
            <w:hideMark/>
          </w:tcPr>
          <w:p w14:paraId="0E831D05"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r w:rsidRPr="00685413">
              <w:rPr>
                <w:rFonts w:eastAsia="Yu Gothic" w:cs="Arial"/>
                <w:color w:val="000000"/>
                <w:sz w:val="18"/>
                <w:szCs w:val="18"/>
                <w:lang w:eastAsia="ja-JP"/>
              </w:rPr>
              <w:t>In patients with bronchial asthma</w:t>
            </w:r>
          </w:p>
        </w:tc>
        <w:tc>
          <w:tcPr>
            <w:tcW w:w="992" w:type="dxa"/>
            <w:tcBorders>
              <w:top w:val="single" w:sz="4" w:space="0" w:color="auto"/>
              <w:left w:val="nil"/>
              <w:bottom w:val="single" w:sz="4" w:space="0" w:color="auto"/>
              <w:right w:val="nil"/>
            </w:tcBorders>
            <w:noWrap/>
            <w:hideMark/>
          </w:tcPr>
          <w:p w14:paraId="56FD068E"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992" w:type="dxa"/>
            <w:tcBorders>
              <w:top w:val="single" w:sz="4" w:space="0" w:color="auto"/>
              <w:left w:val="nil"/>
              <w:bottom w:val="single" w:sz="4" w:space="0" w:color="auto"/>
              <w:right w:val="nil"/>
            </w:tcBorders>
            <w:noWrap/>
            <w:hideMark/>
          </w:tcPr>
          <w:p w14:paraId="43F16933"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single" w:sz="4" w:space="0" w:color="auto"/>
              <w:left w:val="nil"/>
              <w:bottom w:val="single" w:sz="4" w:space="0" w:color="auto"/>
              <w:right w:val="nil"/>
            </w:tcBorders>
            <w:noWrap/>
            <w:hideMark/>
          </w:tcPr>
          <w:p w14:paraId="1F5DADC9"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single" w:sz="4" w:space="0" w:color="auto"/>
              <w:left w:val="nil"/>
              <w:bottom w:val="single" w:sz="4" w:space="0" w:color="auto"/>
              <w:right w:val="nil"/>
            </w:tcBorders>
            <w:noWrap/>
            <w:hideMark/>
          </w:tcPr>
          <w:p w14:paraId="67E0ACD8"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single" w:sz="4" w:space="0" w:color="auto"/>
              <w:right w:val="nil"/>
            </w:tcBorders>
            <w:noWrap/>
            <w:hideMark/>
          </w:tcPr>
          <w:p w14:paraId="3153B67B"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single" w:sz="4" w:space="0" w:color="auto"/>
              <w:right w:val="nil"/>
            </w:tcBorders>
            <w:noWrap/>
            <w:hideMark/>
          </w:tcPr>
          <w:p w14:paraId="738C689E"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single" w:sz="4" w:space="0" w:color="auto"/>
              <w:right w:val="nil"/>
            </w:tcBorders>
            <w:noWrap/>
            <w:hideMark/>
          </w:tcPr>
          <w:p w14:paraId="6C9670BA"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039F1AAA" w14:textId="77777777" w:rsidTr="002D2677">
        <w:trPr>
          <w:trHeight w:val="23"/>
        </w:trPr>
        <w:tc>
          <w:tcPr>
            <w:tcW w:w="4302" w:type="dxa"/>
            <w:tcBorders>
              <w:top w:val="single" w:sz="4" w:space="0" w:color="auto"/>
              <w:left w:val="nil"/>
              <w:bottom w:val="nil"/>
              <w:right w:val="nil"/>
            </w:tcBorders>
            <w:noWrap/>
          </w:tcPr>
          <w:p w14:paraId="6CD471B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lastRenderedPageBreak/>
              <w:t>Moderate COPD exacerbation</w:t>
            </w:r>
          </w:p>
        </w:tc>
        <w:tc>
          <w:tcPr>
            <w:tcW w:w="992" w:type="dxa"/>
            <w:tcBorders>
              <w:top w:val="single" w:sz="4" w:space="0" w:color="auto"/>
              <w:left w:val="nil"/>
              <w:bottom w:val="nil"/>
              <w:right w:val="nil"/>
            </w:tcBorders>
            <w:noWrap/>
            <w:hideMark/>
          </w:tcPr>
          <w:p w14:paraId="2D1B2E1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92" w:type="dxa"/>
            <w:tcBorders>
              <w:top w:val="single" w:sz="4" w:space="0" w:color="auto"/>
              <w:left w:val="nil"/>
              <w:bottom w:val="nil"/>
              <w:right w:val="nil"/>
            </w:tcBorders>
            <w:noWrap/>
            <w:hideMark/>
          </w:tcPr>
          <w:p w14:paraId="06C3A2E4"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single" w:sz="4" w:space="0" w:color="auto"/>
              <w:left w:val="nil"/>
              <w:bottom w:val="nil"/>
              <w:right w:val="nil"/>
            </w:tcBorders>
            <w:noWrap/>
            <w:hideMark/>
          </w:tcPr>
          <w:p w14:paraId="1A4CAE57"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single" w:sz="4" w:space="0" w:color="auto"/>
              <w:left w:val="nil"/>
              <w:bottom w:val="nil"/>
              <w:right w:val="nil"/>
            </w:tcBorders>
            <w:noWrap/>
            <w:hideMark/>
          </w:tcPr>
          <w:p w14:paraId="0AC90B36"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nil"/>
              <w:right w:val="nil"/>
            </w:tcBorders>
            <w:noWrap/>
            <w:hideMark/>
          </w:tcPr>
          <w:p w14:paraId="5DBFD4A8"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nil"/>
              <w:right w:val="nil"/>
            </w:tcBorders>
            <w:noWrap/>
            <w:hideMark/>
          </w:tcPr>
          <w:p w14:paraId="234E1A28"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single" w:sz="4" w:space="0" w:color="auto"/>
              <w:left w:val="nil"/>
              <w:bottom w:val="nil"/>
              <w:right w:val="nil"/>
            </w:tcBorders>
            <w:noWrap/>
            <w:hideMark/>
          </w:tcPr>
          <w:p w14:paraId="064E444E"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6D80CF4D" w14:textId="77777777" w:rsidTr="002D2677">
        <w:trPr>
          <w:trHeight w:val="23"/>
        </w:trPr>
        <w:tc>
          <w:tcPr>
            <w:tcW w:w="4302" w:type="dxa"/>
            <w:tcBorders>
              <w:top w:val="nil"/>
              <w:left w:val="nil"/>
              <w:bottom w:val="nil"/>
              <w:right w:val="nil"/>
            </w:tcBorders>
            <w:noWrap/>
          </w:tcPr>
          <w:p w14:paraId="09CE9353"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Low</w:t>
            </w:r>
          </w:p>
        </w:tc>
        <w:tc>
          <w:tcPr>
            <w:tcW w:w="992" w:type="dxa"/>
            <w:tcBorders>
              <w:top w:val="nil"/>
              <w:left w:val="nil"/>
              <w:bottom w:val="nil"/>
              <w:right w:val="nil"/>
            </w:tcBorders>
            <w:noWrap/>
            <w:hideMark/>
          </w:tcPr>
          <w:p w14:paraId="54F68708"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618</w:t>
            </w:r>
          </w:p>
        </w:tc>
        <w:tc>
          <w:tcPr>
            <w:tcW w:w="992" w:type="dxa"/>
            <w:tcBorders>
              <w:top w:val="nil"/>
              <w:left w:val="nil"/>
              <w:bottom w:val="nil"/>
              <w:right w:val="nil"/>
            </w:tcBorders>
            <w:noWrap/>
            <w:hideMark/>
          </w:tcPr>
          <w:p w14:paraId="10A71A5F"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811</w:t>
            </w:r>
          </w:p>
        </w:tc>
        <w:tc>
          <w:tcPr>
            <w:tcW w:w="1418" w:type="dxa"/>
            <w:tcBorders>
              <w:top w:val="nil"/>
              <w:left w:val="nil"/>
              <w:bottom w:val="nil"/>
              <w:right w:val="nil"/>
            </w:tcBorders>
            <w:noWrap/>
            <w:hideMark/>
          </w:tcPr>
          <w:p w14:paraId="75AB6787"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1,505.5</w:t>
            </w:r>
          </w:p>
        </w:tc>
        <w:tc>
          <w:tcPr>
            <w:tcW w:w="1575" w:type="dxa"/>
            <w:tcBorders>
              <w:top w:val="nil"/>
              <w:left w:val="nil"/>
              <w:bottom w:val="nil"/>
              <w:right w:val="nil"/>
            </w:tcBorders>
            <w:noWrap/>
            <w:hideMark/>
          </w:tcPr>
          <w:p w14:paraId="4BAFAF0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53.9 (50.2, 57.7)</w:t>
            </w:r>
          </w:p>
        </w:tc>
        <w:tc>
          <w:tcPr>
            <w:tcW w:w="1576" w:type="dxa"/>
            <w:tcBorders>
              <w:top w:val="nil"/>
              <w:left w:val="nil"/>
              <w:bottom w:val="nil"/>
              <w:right w:val="nil"/>
            </w:tcBorders>
            <w:noWrap/>
            <w:hideMark/>
          </w:tcPr>
          <w:p w14:paraId="2DD9E16E"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52.4 (45.6, 60.2)</w:t>
            </w:r>
          </w:p>
        </w:tc>
        <w:tc>
          <w:tcPr>
            <w:tcW w:w="1576" w:type="dxa"/>
            <w:tcBorders>
              <w:top w:val="nil"/>
              <w:left w:val="nil"/>
              <w:bottom w:val="nil"/>
              <w:right w:val="nil"/>
            </w:tcBorders>
            <w:noWrap/>
            <w:hideMark/>
          </w:tcPr>
          <w:p w14:paraId="1AA9FC8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1.04 (0.89, 1.22)</w:t>
            </w:r>
          </w:p>
        </w:tc>
        <w:tc>
          <w:tcPr>
            <w:tcW w:w="1576" w:type="dxa"/>
            <w:tcBorders>
              <w:top w:val="nil"/>
              <w:left w:val="nil"/>
              <w:bottom w:val="nil"/>
              <w:right w:val="nil"/>
            </w:tcBorders>
            <w:noWrap/>
            <w:hideMark/>
          </w:tcPr>
          <w:p w14:paraId="064A5A8F"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r>
      <w:tr w:rsidR="00D250E5" w:rsidRPr="00737A30" w14:paraId="137B513E" w14:textId="77777777" w:rsidTr="002D2677">
        <w:trPr>
          <w:trHeight w:val="23"/>
        </w:trPr>
        <w:tc>
          <w:tcPr>
            <w:tcW w:w="4302" w:type="dxa"/>
            <w:tcBorders>
              <w:top w:val="nil"/>
              <w:left w:val="nil"/>
              <w:bottom w:val="nil"/>
              <w:right w:val="nil"/>
            </w:tcBorders>
            <w:noWrap/>
          </w:tcPr>
          <w:p w14:paraId="019DB563"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Intermediate</w:t>
            </w:r>
          </w:p>
        </w:tc>
        <w:tc>
          <w:tcPr>
            <w:tcW w:w="992" w:type="dxa"/>
            <w:tcBorders>
              <w:top w:val="nil"/>
              <w:left w:val="nil"/>
              <w:bottom w:val="nil"/>
              <w:right w:val="nil"/>
            </w:tcBorders>
            <w:noWrap/>
            <w:hideMark/>
          </w:tcPr>
          <w:p w14:paraId="1A44468C"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2,065</w:t>
            </w:r>
          </w:p>
        </w:tc>
        <w:tc>
          <w:tcPr>
            <w:tcW w:w="992" w:type="dxa"/>
            <w:tcBorders>
              <w:top w:val="nil"/>
              <w:left w:val="nil"/>
              <w:bottom w:val="nil"/>
              <w:right w:val="nil"/>
            </w:tcBorders>
            <w:noWrap/>
            <w:hideMark/>
          </w:tcPr>
          <w:p w14:paraId="4853297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2,560</w:t>
            </w:r>
          </w:p>
        </w:tc>
        <w:tc>
          <w:tcPr>
            <w:tcW w:w="1418" w:type="dxa"/>
            <w:tcBorders>
              <w:top w:val="nil"/>
              <w:left w:val="nil"/>
              <w:bottom w:val="nil"/>
              <w:right w:val="nil"/>
            </w:tcBorders>
            <w:noWrap/>
            <w:hideMark/>
          </w:tcPr>
          <w:p w14:paraId="3969F5C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5,167.2</w:t>
            </w:r>
          </w:p>
        </w:tc>
        <w:tc>
          <w:tcPr>
            <w:tcW w:w="1575" w:type="dxa"/>
            <w:tcBorders>
              <w:top w:val="nil"/>
              <w:left w:val="nil"/>
              <w:bottom w:val="nil"/>
              <w:right w:val="nil"/>
            </w:tcBorders>
            <w:noWrap/>
            <w:hideMark/>
          </w:tcPr>
          <w:p w14:paraId="3106E97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49.5 (47.6, 51.5)</w:t>
            </w:r>
          </w:p>
        </w:tc>
        <w:tc>
          <w:tcPr>
            <w:tcW w:w="1576" w:type="dxa"/>
            <w:tcBorders>
              <w:top w:val="nil"/>
              <w:left w:val="nil"/>
              <w:bottom w:val="nil"/>
              <w:right w:val="nil"/>
            </w:tcBorders>
            <w:noWrap/>
            <w:hideMark/>
          </w:tcPr>
          <w:p w14:paraId="7136BAEA"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50.4 (46.7, 54.4)</w:t>
            </w:r>
          </w:p>
        </w:tc>
        <w:tc>
          <w:tcPr>
            <w:tcW w:w="1576" w:type="dxa"/>
            <w:tcBorders>
              <w:top w:val="nil"/>
              <w:left w:val="nil"/>
              <w:bottom w:val="nil"/>
              <w:right w:val="nil"/>
            </w:tcBorders>
            <w:noWrap/>
            <w:hideMark/>
          </w:tcPr>
          <w:p w14:paraId="5BAD908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c>
          <w:tcPr>
            <w:tcW w:w="1576" w:type="dxa"/>
            <w:tcBorders>
              <w:top w:val="nil"/>
              <w:left w:val="nil"/>
              <w:bottom w:val="nil"/>
              <w:right w:val="nil"/>
            </w:tcBorders>
            <w:noWrap/>
            <w:hideMark/>
          </w:tcPr>
          <w:p w14:paraId="2C8F60A4"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w:t>
            </w:r>
          </w:p>
        </w:tc>
      </w:tr>
      <w:tr w:rsidR="00D250E5" w:rsidRPr="00737A30" w14:paraId="0B53A914" w14:textId="77777777" w:rsidTr="002D2677">
        <w:trPr>
          <w:trHeight w:val="23"/>
        </w:trPr>
        <w:tc>
          <w:tcPr>
            <w:tcW w:w="4302" w:type="dxa"/>
            <w:tcBorders>
              <w:top w:val="nil"/>
              <w:left w:val="nil"/>
              <w:bottom w:val="nil"/>
              <w:right w:val="nil"/>
            </w:tcBorders>
            <w:noWrap/>
          </w:tcPr>
          <w:p w14:paraId="7CE86CF2"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High</w:t>
            </w:r>
          </w:p>
        </w:tc>
        <w:tc>
          <w:tcPr>
            <w:tcW w:w="992" w:type="dxa"/>
            <w:tcBorders>
              <w:top w:val="nil"/>
              <w:left w:val="nil"/>
              <w:bottom w:val="nil"/>
              <w:right w:val="nil"/>
            </w:tcBorders>
            <w:noWrap/>
            <w:hideMark/>
          </w:tcPr>
          <w:p w14:paraId="7BA86D4E"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2,040</w:t>
            </w:r>
          </w:p>
        </w:tc>
        <w:tc>
          <w:tcPr>
            <w:tcW w:w="992" w:type="dxa"/>
            <w:tcBorders>
              <w:top w:val="nil"/>
              <w:left w:val="nil"/>
              <w:bottom w:val="nil"/>
              <w:right w:val="nil"/>
            </w:tcBorders>
            <w:noWrap/>
            <w:hideMark/>
          </w:tcPr>
          <w:p w14:paraId="0776510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3,202</w:t>
            </w:r>
          </w:p>
        </w:tc>
        <w:tc>
          <w:tcPr>
            <w:tcW w:w="1418" w:type="dxa"/>
            <w:tcBorders>
              <w:top w:val="nil"/>
              <w:left w:val="nil"/>
              <w:bottom w:val="nil"/>
              <w:right w:val="nil"/>
            </w:tcBorders>
            <w:noWrap/>
            <w:hideMark/>
          </w:tcPr>
          <w:p w14:paraId="610F77F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5,162.2</w:t>
            </w:r>
          </w:p>
        </w:tc>
        <w:tc>
          <w:tcPr>
            <w:tcW w:w="1575" w:type="dxa"/>
            <w:tcBorders>
              <w:top w:val="nil"/>
              <w:left w:val="nil"/>
              <w:bottom w:val="nil"/>
              <w:right w:val="nil"/>
            </w:tcBorders>
            <w:noWrap/>
            <w:hideMark/>
          </w:tcPr>
          <w:p w14:paraId="2979692A"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62.0 (59.9, 64.2)</w:t>
            </w:r>
          </w:p>
        </w:tc>
        <w:tc>
          <w:tcPr>
            <w:tcW w:w="1576" w:type="dxa"/>
            <w:tcBorders>
              <w:top w:val="nil"/>
              <w:left w:val="nil"/>
              <w:bottom w:val="nil"/>
              <w:right w:val="nil"/>
            </w:tcBorders>
            <w:noWrap/>
            <w:hideMark/>
          </w:tcPr>
          <w:p w14:paraId="31C43977"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61.3 (56.9, 66.1)</w:t>
            </w:r>
          </w:p>
        </w:tc>
        <w:tc>
          <w:tcPr>
            <w:tcW w:w="1576" w:type="dxa"/>
            <w:tcBorders>
              <w:top w:val="nil"/>
              <w:left w:val="nil"/>
              <w:bottom w:val="nil"/>
              <w:right w:val="nil"/>
            </w:tcBorders>
            <w:noWrap/>
            <w:hideMark/>
          </w:tcPr>
          <w:p w14:paraId="4FDD4F77"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1.22 (1.09, 1.35)</w:t>
            </w:r>
          </w:p>
        </w:tc>
        <w:tc>
          <w:tcPr>
            <w:tcW w:w="1576" w:type="dxa"/>
            <w:tcBorders>
              <w:top w:val="nil"/>
              <w:left w:val="nil"/>
              <w:bottom w:val="nil"/>
              <w:right w:val="nil"/>
            </w:tcBorders>
            <w:noWrap/>
            <w:hideMark/>
          </w:tcPr>
          <w:p w14:paraId="783E5BC6"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1.17 (0.97, 1.41)</w:t>
            </w:r>
          </w:p>
        </w:tc>
      </w:tr>
      <w:tr w:rsidR="00D250E5" w:rsidRPr="00737A30" w14:paraId="552D8193" w14:textId="77777777" w:rsidTr="002D2677">
        <w:trPr>
          <w:trHeight w:val="23"/>
        </w:trPr>
        <w:tc>
          <w:tcPr>
            <w:tcW w:w="4302" w:type="dxa"/>
            <w:tcBorders>
              <w:top w:val="nil"/>
              <w:left w:val="nil"/>
              <w:bottom w:val="nil"/>
              <w:right w:val="nil"/>
            </w:tcBorders>
            <w:noWrap/>
          </w:tcPr>
          <w:p w14:paraId="238A1858"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Severe COPD exacerbation</w:t>
            </w:r>
          </w:p>
        </w:tc>
        <w:tc>
          <w:tcPr>
            <w:tcW w:w="992" w:type="dxa"/>
            <w:tcBorders>
              <w:top w:val="nil"/>
              <w:left w:val="nil"/>
              <w:bottom w:val="nil"/>
              <w:right w:val="nil"/>
            </w:tcBorders>
            <w:noWrap/>
            <w:hideMark/>
          </w:tcPr>
          <w:p w14:paraId="03D4A4AA"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992" w:type="dxa"/>
            <w:tcBorders>
              <w:top w:val="nil"/>
              <w:left w:val="nil"/>
              <w:bottom w:val="nil"/>
              <w:right w:val="nil"/>
            </w:tcBorders>
            <w:noWrap/>
            <w:hideMark/>
          </w:tcPr>
          <w:p w14:paraId="0FBDC62F"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nil"/>
              <w:left w:val="nil"/>
              <w:bottom w:val="nil"/>
              <w:right w:val="nil"/>
            </w:tcBorders>
            <w:noWrap/>
            <w:hideMark/>
          </w:tcPr>
          <w:p w14:paraId="7E68A3EE"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nil"/>
              <w:left w:val="nil"/>
              <w:bottom w:val="nil"/>
              <w:right w:val="nil"/>
            </w:tcBorders>
            <w:noWrap/>
            <w:hideMark/>
          </w:tcPr>
          <w:p w14:paraId="0F65DDC5"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51F98F3B"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6DF89AE7"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755B9344"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52587149" w14:textId="77777777" w:rsidTr="002D2677">
        <w:trPr>
          <w:trHeight w:val="23"/>
        </w:trPr>
        <w:tc>
          <w:tcPr>
            <w:tcW w:w="4302" w:type="dxa"/>
            <w:tcBorders>
              <w:top w:val="nil"/>
              <w:left w:val="nil"/>
              <w:bottom w:val="nil"/>
              <w:right w:val="nil"/>
            </w:tcBorders>
            <w:noWrap/>
          </w:tcPr>
          <w:p w14:paraId="4DD0D791"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Low</w:t>
            </w:r>
          </w:p>
        </w:tc>
        <w:tc>
          <w:tcPr>
            <w:tcW w:w="992" w:type="dxa"/>
            <w:tcBorders>
              <w:top w:val="nil"/>
              <w:left w:val="nil"/>
              <w:bottom w:val="nil"/>
              <w:right w:val="nil"/>
            </w:tcBorders>
            <w:noWrap/>
            <w:hideMark/>
          </w:tcPr>
          <w:p w14:paraId="5FEAB67B"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618</w:t>
            </w:r>
          </w:p>
        </w:tc>
        <w:tc>
          <w:tcPr>
            <w:tcW w:w="992" w:type="dxa"/>
            <w:tcBorders>
              <w:top w:val="nil"/>
              <w:left w:val="nil"/>
              <w:bottom w:val="nil"/>
              <w:right w:val="nil"/>
            </w:tcBorders>
            <w:noWrap/>
            <w:hideMark/>
          </w:tcPr>
          <w:p w14:paraId="4A67809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160</w:t>
            </w:r>
          </w:p>
        </w:tc>
        <w:tc>
          <w:tcPr>
            <w:tcW w:w="1418" w:type="dxa"/>
            <w:tcBorders>
              <w:top w:val="nil"/>
              <w:left w:val="nil"/>
              <w:bottom w:val="nil"/>
              <w:right w:val="nil"/>
            </w:tcBorders>
            <w:noWrap/>
            <w:hideMark/>
          </w:tcPr>
          <w:p w14:paraId="7FBD4758"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1,505.5</w:t>
            </w:r>
          </w:p>
        </w:tc>
        <w:tc>
          <w:tcPr>
            <w:tcW w:w="1575" w:type="dxa"/>
            <w:tcBorders>
              <w:top w:val="nil"/>
              <w:left w:val="nil"/>
              <w:bottom w:val="nil"/>
              <w:right w:val="nil"/>
            </w:tcBorders>
            <w:noWrap/>
            <w:hideMark/>
          </w:tcPr>
          <w:p w14:paraId="1B66EC0A"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10.6 (9.0, 12.4)</w:t>
            </w:r>
          </w:p>
        </w:tc>
        <w:tc>
          <w:tcPr>
            <w:tcW w:w="1576" w:type="dxa"/>
            <w:tcBorders>
              <w:top w:val="nil"/>
              <w:left w:val="nil"/>
              <w:bottom w:val="nil"/>
              <w:right w:val="nil"/>
            </w:tcBorders>
            <w:noWrap/>
            <w:hideMark/>
          </w:tcPr>
          <w:p w14:paraId="5679F2DB"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9.7 (7.8, 12.2)</w:t>
            </w:r>
          </w:p>
        </w:tc>
        <w:tc>
          <w:tcPr>
            <w:tcW w:w="1576" w:type="dxa"/>
            <w:tcBorders>
              <w:top w:val="nil"/>
              <w:left w:val="nil"/>
              <w:bottom w:val="nil"/>
              <w:right w:val="nil"/>
            </w:tcBorders>
            <w:noWrap/>
            <w:hideMark/>
          </w:tcPr>
          <w:p w14:paraId="1F66906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0.94 (0.73, 1.21)</w:t>
            </w:r>
          </w:p>
        </w:tc>
        <w:tc>
          <w:tcPr>
            <w:tcW w:w="1576" w:type="dxa"/>
            <w:tcBorders>
              <w:top w:val="nil"/>
              <w:left w:val="nil"/>
              <w:bottom w:val="nil"/>
              <w:right w:val="nil"/>
            </w:tcBorders>
            <w:noWrap/>
            <w:hideMark/>
          </w:tcPr>
          <w:p w14:paraId="3CBDA464"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r>
      <w:tr w:rsidR="00D250E5" w:rsidRPr="00737A30" w14:paraId="73FD94D5" w14:textId="77777777" w:rsidTr="002D2677">
        <w:trPr>
          <w:trHeight w:val="23"/>
        </w:trPr>
        <w:tc>
          <w:tcPr>
            <w:tcW w:w="4302" w:type="dxa"/>
            <w:tcBorders>
              <w:top w:val="nil"/>
              <w:left w:val="nil"/>
              <w:bottom w:val="nil"/>
              <w:right w:val="nil"/>
            </w:tcBorders>
            <w:noWrap/>
          </w:tcPr>
          <w:p w14:paraId="25FED902"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Intermediate</w:t>
            </w:r>
          </w:p>
        </w:tc>
        <w:tc>
          <w:tcPr>
            <w:tcW w:w="992" w:type="dxa"/>
            <w:tcBorders>
              <w:top w:val="nil"/>
              <w:left w:val="nil"/>
              <w:bottom w:val="nil"/>
              <w:right w:val="nil"/>
            </w:tcBorders>
            <w:noWrap/>
            <w:hideMark/>
          </w:tcPr>
          <w:p w14:paraId="3CD7F34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2,065</w:t>
            </w:r>
          </w:p>
        </w:tc>
        <w:tc>
          <w:tcPr>
            <w:tcW w:w="992" w:type="dxa"/>
            <w:tcBorders>
              <w:top w:val="nil"/>
              <w:left w:val="nil"/>
              <w:bottom w:val="nil"/>
              <w:right w:val="nil"/>
            </w:tcBorders>
            <w:noWrap/>
            <w:hideMark/>
          </w:tcPr>
          <w:p w14:paraId="439BA9B4"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582</w:t>
            </w:r>
          </w:p>
        </w:tc>
        <w:tc>
          <w:tcPr>
            <w:tcW w:w="1418" w:type="dxa"/>
            <w:tcBorders>
              <w:top w:val="nil"/>
              <w:left w:val="nil"/>
              <w:bottom w:val="nil"/>
              <w:right w:val="nil"/>
            </w:tcBorders>
            <w:noWrap/>
            <w:hideMark/>
          </w:tcPr>
          <w:p w14:paraId="45CA34DC"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5,167.2</w:t>
            </w:r>
          </w:p>
        </w:tc>
        <w:tc>
          <w:tcPr>
            <w:tcW w:w="1575" w:type="dxa"/>
            <w:tcBorders>
              <w:top w:val="nil"/>
              <w:left w:val="nil"/>
              <w:bottom w:val="nil"/>
              <w:right w:val="nil"/>
            </w:tcBorders>
            <w:noWrap/>
            <w:hideMark/>
          </w:tcPr>
          <w:p w14:paraId="795AA6EC"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11.3 (10.4, 12.2)</w:t>
            </w:r>
          </w:p>
        </w:tc>
        <w:tc>
          <w:tcPr>
            <w:tcW w:w="1576" w:type="dxa"/>
            <w:tcBorders>
              <w:top w:val="nil"/>
              <w:left w:val="nil"/>
              <w:bottom w:val="nil"/>
              <w:right w:val="nil"/>
            </w:tcBorders>
            <w:noWrap/>
            <w:hideMark/>
          </w:tcPr>
          <w:p w14:paraId="25C2A51F"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10.3 (9.2, 11.6)</w:t>
            </w:r>
          </w:p>
        </w:tc>
        <w:tc>
          <w:tcPr>
            <w:tcW w:w="1576" w:type="dxa"/>
            <w:tcBorders>
              <w:top w:val="nil"/>
              <w:left w:val="nil"/>
              <w:bottom w:val="nil"/>
              <w:right w:val="nil"/>
            </w:tcBorders>
            <w:noWrap/>
            <w:hideMark/>
          </w:tcPr>
          <w:p w14:paraId="374553A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c>
          <w:tcPr>
            <w:tcW w:w="1576" w:type="dxa"/>
            <w:tcBorders>
              <w:top w:val="nil"/>
              <w:left w:val="nil"/>
              <w:bottom w:val="nil"/>
              <w:right w:val="nil"/>
            </w:tcBorders>
            <w:noWrap/>
            <w:hideMark/>
          </w:tcPr>
          <w:p w14:paraId="79A6184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w:t>
            </w:r>
          </w:p>
        </w:tc>
      </w:tr>
      <w:tr w:rsidR="00D250E5" w:rsidRPr="00737A30" w14:paraId="25713345" w14:textId="77777777" w:rsidTr="002D2677">
        <w:trPr>
          <w:trHeight w:val="23"/>
        </w:trPr>
        <w:tc>
          <w:tcPr>
            <w:tcW w:w="4302" w:type="dxa"/>
            <w:tcBorders>
              <w:top w:val="nil"/>
              <w:left w:val="nil"/>
              <w:bottom w:val="nil"/>
              <w:right w:val="nil"/>
            </w:tcBorders>
            <w:noWrap/>
          </w:tcPr>
          <w:p w14:paraId="6243AF21"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High</w:t>
            </w:r>
          </w:p>
        </w:tc>
        <w:tc>
          <w:tcPr>
            <w:tcW w:w="992" w:type="dxa"/>
            <w:tcBorders>
              <w:top w:val="nil"/>
              <w:left w:val="nil"/>
              <w:bottom w:val="nil"/>
              <w:right w:val="nil"/>
            </w:tcBorders>
            <w:noWrap/>
            <w:hideMark/>
          </w:tcPr>
          <w:p w14:paraId="59A279A6"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2,040</w:t>
            </w:r>
          </w:p>
        </w:tc>
        <w:tc>
          <w:tcPr>
            <w:tcW w:w="992" w:type="dxa"/>
            <w:tcBorders>
              <w:top w:val="nil"/>
              <w:left w:val="nil"/>
              <w:bottom w:val="nil"/>
              <w:right w:val="nil"/>
            </w:tcBorders>
            <w:noWrap/>
            <w:hideMark/>
          </w:tcPr>
          <w:p w14:paraId="4921CE6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646</w:t>
            </w:r>
          </w:p>
        </w:tc>
        <w:tc>
          <w:tcPr>
            <w:tcW w:w="1418" w:type="dxa"/>
            <w:tcBorders>
              <w:top w:val="nil"/>
              <w:left w:val="nil"/>
              <w:bottom w:val="nil"/>
              <w:right w:val="nil"/>
            </w:tcBorders>
            <w:noWrap/>
            <w:hideMark/>
          </w:tcPr>
          <w:p w14:paraId="30F79A3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5,162.2</w:t>
            </w:r>
          </w:p>
        </w:tc>
        <w:tc>
          <w:tcPr>
            <w:tcW w:w="1575" w:type="dxa"/>
            <w:tcBorders>
              <w:top w:val="nil"/>
              <w:left w:val="nil"/>
              <w:bottom w:val="nil"/>
              <w:right w:val="nil"/>
            </w:tcBorders>
            <w:noWrap/>
            <w:hideMark/>
          </w:tcPr>
          <w:p w14:paraId="25E2DE5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12.5 (11.6, 13.5)</w:t>
            </w:r>
          </w:p>
        </w:tc>
        <w:tc>
          <w:tcPr>
            <w:tcW w:w="1576" w:type="dxa"/>
            <w:tcBorders>
              <w:top w:val="nil"/>
              <w:left w:val="nil"/>
              <w:bottom w:val="nil"/>
              <w:right w:val="nil"/>
            </w:tcBorders>
            <w:noWrap/>
            <w:hideMark/>
          </w:tcPr>
          <w:p w14:paraId="0B7833E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11.8 (10.5, 13.2)</w:t>
            </w:r>
          </w:p>
        </w:tc>
        <w:tc>
          <w:tcPr>
            <w:tcW w:w="1576" w:type="dxa"/>
            <w:tcBorders>
              <w:top w:val="nil"/>
              <w:left w:val="nil"/>
              <w:bottom w:val="nil"/>
              <w:right w:val="nil"/>
            </w:tcBorders>
            <w:noWrap/>
            <w:hideMark/>
          </w:tcPr>
          <w:p w14:paraId="1D6AFFC7"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1.14 (0.97, 1.34)</w:t>
            </w:r>
          </w:p>
        </w:tc>
        <w:tc>
          <w:tcPr>
            <w:tcW w:w="1576" w:type="dxa"/>
            <w:tcBorders>
              <w:top w:val="nil"/>
              <w:left w:val="nil"/>
              <w:bottom w:val="nil"/>
              <w:right w:val="nil"/>
            </w:tcBorders>
            <w:noWrap/>
            <w:hideMark/>
          </w:tcPr>
          <w:p w14:paraId="2CE3423F"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1.21 (0.90, 1.63)</w:t>
            </w:r>
          </w:p>
        </w:tc>
      </w:tr>
      <w:tr w:rsidR="00D250E5" w:rsidRPr="00737A30" w14:paraId="56EF57DF" w14:textId="77777777" w:rsidTr="002D2677">
        <w:trPr>
          <w:trHeight w:val="23"/>
        </w:trPr>
        <w:tc>
          <w:tcPr>
            <w:tcW w:w="4302" w:type="dxa"/>
            <w:tcBorders>
              <w:top w:val="nil"/>
              <w:left w:val="nil"/>
              <w:bottom w:val="nil"/>
              <w:right w:val="nil"/>
            </w:tcBorders>
            <w:noWrap/>
          </w:tcPr>
          <w:p w14:paraId="02C8A36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Moderate or severe COPD exacerbation</w:t>
            </w:r>
          </w:p>
        </w:tc>
        <w:tc>
          <w:tcPr>
            <w:tcW w:w="992" w:type="dxa"/>
            <w:tcBorders>
              <w:top w:val="nil"/>
              <w:left w:val="nil"/>
              <w:bottom w:val="nil"/>
              <w:right w:val="nil"/>
            </w:tcBorders>
            <w:noWrap/>
            <w:hideMark/>
          </w:tcPr>
          <w:p w14:paraId="6630746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92" w:type="dxa"/>
            <w:tcBorders>
              <w:top w:val="nil"/>
              <w:left w:val="nil"/>
              <w:bottom w:val="nil"/>
              <w:right w:val="nil"/>
            </w:tcBorders>
            <w:noWrap/>
            <w:hideMark/>
          </w:tcPr>
          <w:p w14:paraId="6BEDE3FD"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nil"/>
              <w:left w:val="nil"/>
              <w:bottom w:val="nil"/>
              <w:right w:val="nil"/>
            </w:tcBorders>
            <w:noWrap/>
            <w:hideMark/>
          </w:tcPr>
          <w:p w14:paraId="20505294"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nil"/>
              <w:left w:val="nil"/>
              <w:bottom w:val="nil"/>
              <w:right w:val="nil"/>
            </w:tcBorders>
            <w:noWrap/>
            <w:hideMark/>
          </w:tcPr>
          <w:p w14:paraId="447CC05F"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00ECD6BB"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18F66BB9"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408F5CFE" w14:textId="77777777" w:rsidR="00D250E5" w:rsidRPr="00685413"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10F750FC" w14:textId="77777777" w:rsidTr="002D2677">
        <w:trPr>
          <w:trHeight w:val="23"/>
        </w:trPr>
        <w:tc>
          <w:tcPr>
            <w:tcW w:w="4302" w:type="dxa"/>
            <w:tcBorders>
              <w:top w:val="nil"/>
              <w:left w:val="nil"/>
              <w:bottom w:val="nil"/>
              <w:right w:val="nil"/>
            </w:tcBorders>
            <w:noWrap/>
          </w:tcPr>
          <w:p w14:paraId="370AF535"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Low</w:t>
            </w:r>
          </w:p>
        </w:tc>
        <w:tc>
          <w:tcPr>
            <w:tcW w:w="992" w:type="dxa"/>
            <w:tcBorders>
              <w:top w:val="nil"/>
              <w:left w:val="nil"/>
              <w:bottom w:val="nil"/>
              <w:right w:val="nil"/>
            </w:tcBorders>
            <w:noWrap/>
            <w:hideMark/>
          </w:tcPr>
          <w:p w14:paraId="3A6DBB03"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618</w:t>
            </w:r>
          </w:p>
        </w:tc>
        <w:tc>
          <w:tcPr>
            <w:tcW w:w="992" w:type="dxa"/>
            <w:tcBorders>
              <w:top w:val="nil"/>
              <w:left w:val="nil"/>
              <w:bottom w:val="nil"/>
              <w:right w:val="nil"/>
            </w:tcBorders>
            <w:noWrap/>
            <w:hideMark/>
          </w:tcPr>
          <w:p w14:paraId="1EAC23E1"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971</w:t>
            </w:r>
          </w:p>
        </w:tc>
        <w:tc>
          <w:tcPr>
            <w:tcW w:w="1418" w:type="dxa"/>
            <w:tcBorders>
              <w:top w:val="nil"/>
              <w:left w:val="nil"/>
              <w:bottom w:val="nil"/>
              <w:right w:val="nil"/>
            </w:tcBorders>
            <w:noWrap/>
            <w:hideMark/>
          </w:tcPr>
          <w:p w14:paraId="4CE934A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1,505.5</w:t>
            </w:r>
          </w:p>
        </w:tc>
        <w:tc>
          <w:tcPr>
            <w:tcW w:w="1575" w:type="dxa"/>
            <w:tcBorders>
              <w:top w:val="nil"/>
              <w:left w:val="nil"/>
              <w:bottom w:val="nil"/>
              <w:right w:val="nil"/>
            </w:tcBorders>
            <w:noWrap/>
            <w:hideMark/>
          </w:tcPr>
          <w:p w14:paraId="299589D7"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64.5 (60.5, 68.7)</w:t>
            </w:r>
          </w:p>
        </w:tc>
        <w:tc>
          <w:tcPr>
            <w:tcW w:w="1576" w:type="dxa"/>
            <w:tcBorders>
              <w:top w:val="nil"/>
              <w:left w:val="nil"/>
              <w:bottom w:val="nil"/>
              <w:right w:val="nil"/>
            </w:tcBorders>
            <w:noWrap/>
            <w:hideMark/>
          </w:tcPr>
          <w:p w14:paraId="68D5C629"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65.2 (57.6, 73.8)</w:t>
            </w:r>
          </w:p>
        </w:tc>
        <w:tc>
          <w:tcPr>
            <w:tcW w:w="1576" w:type="dxa"/>
            <w:tcBorders>
              <w:top w:val="nil"/>
              <w:left w:val="nil"/>
              <w:bottom w:val="nil"/>
              <w:right w:val="nil"/>
            </w:tcBorders>
            <w:noWrap/>
            <w:hideMark/>
          </w:tcPr>
          <w:p w14:paraId="6C1FF08D"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1.03 (0.89, 1.19)</w:t>
            </w:r>
          </w:p>
        </w:tc>
        <w:tc>
          <w:tcPr>
            <w:tcW w:w="1576" w:type="dxa"/>
            <w:tcBorders>
              <w:top w:val="nil"/>
              <w:left w:val="nil"/>
              <w:bottom w:val="nil"/>
              <w:right w:val="nil"/>
            </w:tcBorders>
            <w:noWrap/>
            <w:hideMark/>
          </w:tcPr>
          <w:p w14:paraId="205C5360"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r>
      <w:tr w:rsidR="00D250E5" w:rsidRPr="00737A30" w14:paraId="2EEC6D13" w14:textId="77777777" w:rsidTr="002D2677">
        <w:trPr>
          <w:trHeight w:val="23"/>
        </w:trPr>
        <w:tc>
          <w:tcPr>
            <w:tcW w:w="4302" w:type="dxa"/>
            <w:tcBorders>
              <w:top w:val="nil"/>
              <w:left w:val="nil"/>
              <w:bottom w:val="nil"/>
              <w:right w:val="nil"/>
            </w:tcBorders>
            <w:noWrap/>
          </w:tcPr>
          <w:p w14:paraId="7AEA957B"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Intermediate</w:t>
            </w:r>
          </w:p>
        </w:tc>
        <w:tc>
          <w:tcPr>
            <w:tcW w:w="992" w:type="dxa"/>
            <w:tcBorders>
              <w:top w:val="nil"/>
              <w:left w:val="nil"/>
              <w:bottom w:val="nil"/>
              <w:right w:val="nil"/>
            </w:tcBorders>
            <w:noWrap/>
            <w:hideMark/>
          </w:tcPr>
          <w:p w14:paraId="147589E5"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2,065</w:t>
            </w:r>
          </w:p>
        </w:tc>
        <w:tc>
          <w:tcPr>
            <w:tcW w:w="992" w:type="dxa"/>
            <w:tcBorders>
              <w:top w:val="nil"/>
              <w:left w:val="nil"/>
              <w:bottom w:val="nil"/>
              <w:right w:val="nil"/>
            </w:tcBorders>
            <w:noWrap/>
            <w:hideMark/>
          </w:tcPr>
          <w:p w14:paraId="7C37D38E"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3,142</w:t>
            </w:r>
          </w:p>
        </w:tc>
        <w:tc>
          <w:tcPr>
            <w:tcW w:w="1418" w:type="dxa"/>
            <w:tcBorders>
              <w:top w:val="nil"/>
              <w:left w:val="nil"/>
              <w:bottom w:val="nil"/>
              <w:right w:val="nil"/>
            </w:tcBorders>
            <w:noWrap/>
            <w:hideMark/>
          </w:tcPr>
          <w:p w14:paraId="04BBE5BA"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5,167.2</w:t>
            </w:r>
          </w:p>
        </w:tc>
        <w:tc>
          <w:tcPr>
            <w:tcW w:w="1575" w:type="dxa"/>
            <w:tcBorders>
              <w:top w:val="nil"/>
              <w:left w:val="nil"/>
              <w:bottom w:val="nil"/>
              <w:right w:val="nil"/>
            </w:tcBorders>
            <w:noWrap/>
            <w:hideMark/>
          </w:tcPr>
          <w:p w14:paraId="3768BCDB"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60.8 (58.7, 63.0)</w:t>
            </w:r>
          </w:p>
        </w:tc>
        <w:tc>
          <w:tcPr>
            <w:tcW w:w="1576" w:type="dxa"/>
            <w:tcBorders>
              <w:top w:val="nil"/>
              <w:left w:val="nil"/>
              <w:bottom w:val="nil"/>
              <w:right w:val="nil"/>
            </w:tcBorders>
            <w:noWrap/>
            <w:hideMark/>
          </w:tcPr>
          <w:p w14:paraId="4821DE7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63.4 (59.2, 67.8)</w:t>
            </w:r>
          </w:p>
        </w:tc>
        <w:tc>
          <w:tcPr>
            <w:tcW w:w="1576" w:type="dxa"/>
            <w:tcBorders>
              <w:top w:val="nil"/>
              <w:left w:val="nil"/>
              <w:bottom w:val="nil"/>
              <w:right w:val="nil"/>
            </w:tcBorders>
            <w:noWrap/>
            <w:hideMark/>
          </w:tcPr>
          <w:p w14:paraId="565FA0CA"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Ref</w:t>
            </w:r>
          </w:p>
        </w:tc>
        <w:tc>
          <w:tcPr>
            <w:tcW w:w="1576" w:type="dxa"/>
            <w:tcBorders>
              <w:top w:val="nil"/>
              <w:left w:val="nil"/>
              <w:bottom w:val="nil"/>
              <w:right w:val="nil"/>
            </w:tcBorders>
            <w:noWrap/>
            <w:hideMark/>
          </w:tcPr>
          <w:p w14:paraId="2DA85C5F"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w:t>
            </w:r>
          </w:p>
        </w:tc>
      </w:tr>
      <w:tr w:rsidR="00D250E5" w:rsidRPr="00737A30" w14:paraId="2486939C" w14:textId="77777777" w:rsidTr="002D2677">
        <w:trPr>
          <w:trHeight w:val="23"/>
        </w:trPr>
        <w:tc>
          <w:tcPr>
            <w:tcW w:w="4302" w:type="dxa"/>
            <w:tcBorders>
              <w:top w:val="nil"/>
              <w:left w:val="nil"/>
              <w:bottom w:val="single" w:sz="4" w:space="0" w:color="auto"/>
              <w:right w:val="nil"/>
            </w:tcBorders>
            <w:noWrap/>
          </w:tcPr>
          <w:p w14:paraId="3F212D19" w14:textId="77777777" w:rsidR="00D250E5" w:rsidRPr="00685413" w:rsidRDefault="00D250E5" w:rsidP="002D2677">
            <w:pPr>
              <w:widowControl/>
              <w:spacing w:before="0" w:beforeAutospacing="0" w:after="0" w:afterAutospacing="0" w:line="276" w:lineRule="auto"/>
              <w:ind w:left="720"/>
              <w:rPr>
                <w:rFonts w:cs="Arial"/>
                <w:sz w:val="18"/>
                <w:szCs w:val="18"/>
              </w:rPr>
            </w:pPr>
            <w:r w:rsidRPr="00685413">
              <w:rPr>
                <w:rFonts w:cs="Arial"/>
                <w:sz w:val="18"/>
                <w:szCs w:val="18"/>
              </w:rPr>
              <w:t>Type 2 inflammation status: High</w:t>
            </w:r>
          </w:p>
        </w:tc>
        <w:tc>
          <w:tcPr>
            <w:tcW w:w="992" w:type="dxa"/>
            <w:tcBorders>
              <w:top w:val="nil"/>
              <w:left w:val="nil"/>
              <w:bottom w:val="single" w:sz="4" w:space="0" w:color="auto"/>
              <w:right w:val="nil"/>
            </w:tcBorders>
            <w:noWrap/>
            <w:hideMark/>
          </w:tcPr>
          <w:p w14:paraId="76CBDE96"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2,040</w:t>
            </w:r>
          </w:p>
        </w:tc>
        <w:tc>
          <w:tcPr>
            <w:tcW w:w="992" w:type="dxa"/>
            <w:tcBorders>
              <w:top w:val="nil"/>
              <w:left w:val="nil"/>
              <w:bottom w:val="single" w:sz="4" w:space="0" w:color="auto"/>
              <w:right w:val="nil"/>
            </w:tcBorders>
            <w:noWrap/>
            <w:hideMark/>
          </w:tcPr>
          <w:p w14:paraId="06271DC7"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3,848</w:t>
            </w:r>
          </w:p>
        </w:tc>
        <w:tc>
          <w:tcPr>
            <w:tcW w:w="1418" w:type="dxa"/>
            <w:tcBorders>
              <w:top w:val="nil"/>
              <w:left w:val="nil"/>
              <w:bottom w:val="single" w:sz="4" w:space="0" w:color="auto"/>
              <w:right w:val="nil"/>
            </w:tcBorders>
            <w:noWrap/>
            <w:hideMark/>
          </w:tcPr>
          <w:p w14:paraId="25AE036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5,162.2</w:t>
            </w:r>
          </w:p>
        </w:tc>
        <w:tc>
          <w:tcPr>
            <w:tcW w:w="1575" w:type="dxa"/>
            <w:tcBorders>
              <w:top w:val="nil"/>
              <w:left w:val="nil"/>
              <w:bottom w:val="single" w:sz="4" w:space="0" w:color="auto"/>
              <w:right w:val="nil"/>
            </w:tcBorders>
            <w:noWrap/>
            <w:hideMark/>
          </w:tcPr>
          <w:p w14:paraId="1FC480E6"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74.5 (72.2, 76.9)</w:t>
            </w:r>
          </w:p>
        </w:tc>
        <w:tc>
          <w:tcPr>
            <w:tcW w:w="1576" w:type="dxa"/>
            <w:tcBorders>
              <w:top w:val="nil"/>
              <w:left w:val="nil"/>
              <w:bottom w:val="single" w:sz="4" w:space="0" w:color="auto"/>
              <w:right w:val="nil"/>
            </w:tcBorders>
            <w:noWrap/>
            <w:hideMark/>
          </w:tcPr>
          <w:p w14:paraId="5091B72B"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76.2 (71.3, 81.5)</w:t>
            </w:r>
          </w:p>
        </w:tc>
        <w:tc>
          <w:tcPr>
            <w:tcW w:w="1576" w:type="dxa"/>
            <w:tcBorders>
              <w:top w:val="nil"/>
              <w:left w:val="nil"/>
              <w:bottom w:val="single" w:sz="4" w:space="0" w:color="auto"/>
              <w:right w:val="nil"/>
            </w:tcBorders>
            <w:noWrap/>
            <w:hideMark/>
          </w:tcPr>
          <w:p w14:paraId="012CCEA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1.20 (1.09, 1.32)</w:t>
            </w:r>
          </w:p>
        </w:tc>
        <w:tc>
          <w:tcPr>
            <w:tcW w:w="1576" w:type="dxa"/>
            <w:tcBorders>
              <w:top w:val="nil"/>
              <w:left w:val="nil"/>
              <w:bottom w:val="single" w:sz="4" w:space="0" w:color="auto"/>
              <w:right w:val="nil"/>
            </w:tcBorders>
            <w:noWrap/>
            <w:hideMark/>
          </w:tcPr>
          <w:p w14:paraId="2EFFC072" w14:textId="77777777" w:rsidR="00D250E5" w:rsidRPr="00685413" w:rsidRDefault="00D250E5" w:rsidP="002D2677">
            <w:pPr>
              <w:widowControl/>
              <w:spacing w:before="0" w:beforeAutospacing="0" w:after="0" w:afterAutospacing="0" w:line="276" w:lineRule="auto"/>
              <w:rPr>
                <w:rFonts w:eastAsia="Yu Gothic" w:cs="Arial"/>
                <w:color w:val="000000"/>
                <w:sz w:val="18"/>
                <w:szCs w:val="18"/>
                <w:lang w:eastAsia="ja-JP"/>
              </w:rPr>
            </w:pPr>
            <w:r w:rsidRPr="00685413">
              <w:rPr>
                <w:rFonts w:eastAsia="Yu Gothic" w:cs="Arial"/>
                <w:color w:val="000000"/>
                <w:sz w:val="18"/>
                <w:szCs w:val="18"/>
                <w:lang w:eastAsia="ja-JP"/>
              </w:rPr>
              <w:t>1.17 (0.99, 1.38)</w:t>
            </w:r>
          </w:p>
        </w:tc>
      </w:tr>
    </w:tbl>
    <w:p w14:paraId="59D97D82" w14:textId="77777777" w:rsidR="00D250E5" w:rsidRPr="00737A30" w:rsidRDefault="00D250E5" w:rsidP="00D250E5">
      <w:pPr>
        <w:spacing w:before="0" w:beforeAutospacing="0" w:after="0" w:afterAutospacing="0" w:line="276" w:lineRule="auto"/>
        <w:rPr>
          <w:rFonts w:cs="Arial"/>
          <w:sz w:val="18"/>
          <w:szCs w:val="18"/>
        </w:rPr>
      </w:pPr>
      <w:r w:rsidRPr="00737A30">
        <w:rPr>
          <w:rFonts w:eastAsia="Yu Gothic" w:cs="Arial"/>
          <w:b/>
          <w:bCs/>
          <w:color w:val="000000"/>
          <w:sz w:val="18"/>
          <w:szCs w:val="18"/>
          <w:vertAlign w:val="superscript"/>
          <w:lang w:eastAsia="ja-JP"/>
        </w:rPr>
        <w:t>a</w:t>
      </w:r>
      <w:r w:rsidRPr="00737A30">
        <w:rPr>
          <w:rFonts w:cs="Arial"/>
          <w:sz w:val="18"/>
          <w:szCs w:val="18"/>
        </w:rPr>
        <w:t xml:space="preserve"> Per 100 patient-years.</w:t>
      </w:r>
    </w:p>
    <w:p w14:paraId="07B0BE68" w14:textId="77777777" w:rsidR="00D250E5" w:rsidRPr="00737A30" w:rsidRDefault="00D250E5" w:rsidP="00D250E5">
      <w:pPr>
        <w:spacing w:before="0" w:beforeAutospacing="0" w:after="0" w:afterAutospacing="0" w:line="276" w:lineRule="auto"/>
      </w:pPr>
      <w:r w:rsidRPr="002D2677">
        <w:rPr>
          <w:rFonts w:cs="Arial"/>
          <w:b/>
          <w:bCs/>
          <w:sz w:val="18"/>
          <w:szCs w:val="18"/>
        </w:rPr>
        <w:t>Abbreviations:</w:t>
      </w:r>
      <w:r>
        <w:rPr>
          <w:rFonts w:cs="Arial"/>
          <w:sz w:val="18"/>
          <w:szCs w:val="18"/>
        </w:rPr>
        <w:t xml:space="preserve"> </w:t>
      </w:r>
      <w:r w:rsidRPr="00737A30">
        <w:rPr>
          <w:rFonts w:cs="Arial"/>
          <w:sz w:val="18"/>
          <w:szCs w:val="18"/>
        </w:rPr>
        <w:t>CI, confidence interval; COPD, chronic obstructive pulmonary disease; Ref, reference.</w:t>
      </w:r>
    </w:p>
    <w:p w14:paraId="2285533B" w14:textId="77777777" w:rsidR="00D250E5" w:rsidRPr="00737A30" w:rsidRDefault="00D250E5" w:rsidP="00D250E5">
      <w:pPr>
        <w:pStyle w:val="Heading3"/>
        <w:rPr>
          <w:lang w:eastAsia="ja-JP"/>
        </w:rPr>
        <w:sectPr w:rsidR="00D250E5" w:rsidRPr="00737A30" w:rsidSect="00D250E5">
          <w:endnotePr>
            <w:numFmt w:val="decimal"/>
          </w:endnotePr>
          <w:pgSz w:w="16840" w:h="11907" w:orient="landscape" w:code="9"/>
          <w:pgMar w:top="1701" w:right="1440" w:bottom="1701" w:left="1440" w:header="567" w:footer="567" w:gutter="0"/>
          <w:cols w:space="720"/>
          <w:docGrid w:linePitch="299"/>
        </w:sectPr>
      </w:pPr>
    </w:p>
    <w:p w14:paraId="1CD56DE7" w14:textId="45D2F7A7" w:rsidR="00D250E5" w:rsidRPr="00437CA3" w:rsidRDefault="00D250E5" w:rsidP="00437CA3">
      <w:pPr>
        <w:pStyle w:val="Heading3"/>
        <w:rPr>
          <w:b/>
          <w:bCs/>
          <w:color w:val="000000" w:themeColor="text1"/>
          <w:sz w:val="20"/>
          <w:szCs w:val="20"/>
          <w:lang w:eastAsia="ja-JP"/>
        </w:rPr>
      </w:pPr>
      <w:r w:rsidRPr="00D250E5">
        <w:rPr>
          <w:b/>
          <w:bCs/>
          <w:color w:val="000000" w:themeColor="text1"/>
          <w:sz w:val="20"/>
          <w:szCs w:val="20"/>
          <w:lang w:eastAsia="ja-JP"/>
        </w:rPr>
        <w:lastRenderedPageBreak/>
        <w:t xml:space="preserve">Supplementary Table </w:t>
      </w:r>
      <w:r w:rsidR="00895784">
        <w:rPr>
          <w:b/>
          <w:bCs/>
          <w:color w:val="000000" w:themeColor="text1"/>
          <w:sz w:val="20"/>
          <w:szCs w:val="20"/>
          <w:lang w:eastAsia="ja-JP"/>
        </w:rPr>
        <w:t>5</w:t>
      </w:r>
      <w:r w:rsidRPr="00737A30">
        <w:rPr>
          <w:rFonts w:cs="Arial"/>
        </w:rPr>
        <w:t xml:space="preserve"> </w:t>
      </w:r>
      <w:r w:rsidRPr="00437CA3">
        <w:rPr>
          <w:b/>
          <w:bCs/>
          <w:color w:val="000000" w:themeColor="text1"/>
          <w:sz w:val="20"/>
          <w:szCs w:val="20"/>
          <w:lang w:eastAsia="ja-JP"/>
        </w:rPr>
        <w:t>Complete case analysis of the predictors of missing data on smoking history by logistic regression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2026"/>
        <w:gridCol w:w="2026"/>
        <w:gridCol w:w="2027"/>
        <w:gridCol w:w="2026"/>
        <w:gridCol w:w="2027"/>
      </w:tblGrid>
      <w:tr w:rsidR="00D250E5" w:rsidRPr="00737A30" w14:paraId="46BB6608" w14:textId="77777777" w:rsidTr="002D2677">
        <w:trPr>
          <w:trHeight w:val="23"/>
        </w:trPr>
        <w:tc>
          <w:tcPr>
            <w:tcW w:w="3828" w:type="dxa"/>
            <w:vMerge w:val="restart"/>
            <w:tcBorders>
              <w:top w:val="single" w:sz="4" w:space="0" w:color="auto"/>
            </w:tcBorders>
            <w:noWrap/>
            <w:vAlign w:val="center"/>
            <w:hideMark/>
          </w:tcPr>
          <w:p w14:paraId="42E5F2C9" w14:textId="77777777" w:rsidR="00D250E5" w:rsidRPr="00495D42" w:rsidRDefault="00D250E5" w:rsidP="002D2677">
            <w:pPr>
              <w:widowControl/>
              <w:spacing w:before="0" w:beforeAutospacing="0" w:after="0" w:afterAutospacing="0" w:line="276" w:lineRule="auto"/>
              <w:rPr>
                <w:rFonts w:cs="Arial"/>
                <w:sz w:val="18"/>
                <w:szCs w:val="18"/>
              </w:rPr>
            </w:pPr>
          </w:p>
        </w:tc>
        <w:tc>
          <w:tcPr>
            <w:tcW w:w="2026" w:type="dxa"/>
            <w:vMerge w:val="restart"/>
            <w:tcBorders>
              <w:top w:val="single" w:sz="4" w:space="0" w:color="auto"/>
            </w:tcBorders>
            <w:hideMark/>
          </w:tcPr>
          <w:p w14:paraId="0A9FE7E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Number of patients</w:t>
            </w:r>
          </w:p>
          <w:p w14:paraId="338F7AE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(N=10,321)</w:t>
            </w:r>
          </w:p>
        </w:tc>
        <w:tc>
          <w:tcPr>
            <w:tcW w:w="6079" w:type="dxa"/>
            <w:gridSpan w:val="3"/>
            <w:tcBorders>
              <w:top w:val="single" w:sz="4" w:space="0" w:color="auto"/>
            </w:tcBorders>
            <w:noWrap/>
            <w:hideMark/>
          </w:tcPr>
          <w:p w14:paraId="226BCE4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Smoking history</w:t>
            </w:r>
          </w:p>
        </w:tc>
        <w:tc>
          <w:tcPr>
            <w:tcW w:w="2027" w:type="dxa"/>
            <w:vMerge w:val="restart"/>
            <w:tcBorders>
              <w:top w:val="single" w:sz="4" w:space="0" w:color="auto"/>
            </w:tcBorders>
            <w:noWrap/>
            <w:hideMark/>
          </w:tcPr>
          <w:p w14:paraId="1CD5877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p-value</w:t>
            </w:r>
          </w:p>
        </w:tc>
      </w:tr>
      <w:tr w:rsidR="00D250E5" w:rsidRPr="00737A30" w14:paraId="034982AE" w14:textId="77777777" w:rsidTr="002D2677">
        <w:trPr>
          <w:trHeight w:val="23"/>
        </w:trPr>
        <w:tc>
          <w:tcPr>
            <w:tcW w:w="3828" w:type="dxa"/>
            <w:vMerge/>
            <w:tcBorders>
              <w:bottom w:val="single" w:sz="4" w:space="0" w:color="auto"/>
            </w:tcBorders>
            <w:noWrap/>
            <w:vAlign w:val="center"/>
            <w:hideMark/>
          </w:tcPr>
          <w:p w14:paraId="1E460D69" w14:textId="77777777" w:rsidR="00D250E5" w:rsidRPr="00495D42" w:rsidRDefault="00D250E5" w:rsidP="002D2677">
            <w:pPr>
              <w:widowControl/>
              <w:spacing w:before="0" w:beforeAutospacing="0" w:after="0" w:afterAutospacing="0" w:line="276" w:lineRule="auto"/>
              <w:rPr>
                <w:rFonts w:cs="Arial"/>
                <w:sz w:val="18"/>
                <w:szCs w:val="18"/>
              </w:rPr>
            </w:pPr>
          </w:p>
        </w:tc>
        <w:tc>
          <w:tcPr>
            <w:tcW w:w="2026" w:type="dxa"/>
            <w:vMerge/>
            <w:tcBorders>
              <w:bottom w:val="single" w:sz="4" w:space="0" w:color="auto"/>
            </w:tcBorders>
            <w:hideMark/>
          </w:tcPr>
          <w:p w14:paraId="007D3A1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Borders>
              <w:bottom w:val="single" w:sz="4" w:space="0" w:color="auto"/>
            </w:tcBorders>
            <w:noWrap/>
            <w:hideMark/>
          </w:tcPr>
          <w:p w14:paraId="5F29EF4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Missing data, N (%)</w:t>
            </w:r>
          </w:p>
        </w:tc>
        <w:tc>
          <w:tcPr>
            <w:tcW w:w="2027" w:type="dxa"/>
            <w:tcBorders>
              <w:bottom w:val="single" w:sz="4" w:space="0" w:color="auto"/>
            </w:tcBorders>
            <w:noWrap/>
            <w:hideMark/>
          </w:tcPr>
          <w:p w14:paraId="66CE353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Univariate odds ratio (95% CI)</w:t>
            </w:r>
          </w:p>
        </w:tc>
        <w:tc>
          <w:tcPr>
            <w:tcW w:w="2026" w:type="dxa"/>
            <w:tcBorders>
              <w:bottom w:val="single" w:sz="4" w:space="0" w:color="auto"/>
            </w:tcBorders>
            <w:noWrap/>
            <w:hideMark/>
          </w:tcPr>
          <w:p w14:paraId="0FDD496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Covariate-adjusted rate ratio (95% CI)</w:t>
            </w:r>
          </w:p>
        </w:tc>
        <w:tc>
          <w:tcPr>
            <w:tcW w:w="2027" w:type="dxa"/>
            <w:vMerge/>
            <w:tcBorders>
              <w:bottom w:val="single" w:sz="4" w:space="0" w:color="auto"/>
            </w:tcBorders>
            <w:noWrap/>
            <w:hideMark/>
          </w:tcPr>
          <w:p w14:paraId="375642B2"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AC8641E" w14:textId="77777777" w:rsidTr="002D2677">
        <w:trPr>
          <w:trHeight w:val="23"/>
        </w:trPr>
        <w:tc>
          <w:tcPr>
            <w:tcW w:w="3828" w:type="dxa"/>
            <w:tcBorders>
              <w:top w:val="single" w:sz="4" w:space="0" w:color="auto"/>
            </w:tcBorders>
            <w:vAlign w:val="center"/>
          </w:tcPr>
          <w:p w14:paraId="362702C9"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Demographic characteristics</w:t>
            </w:r>
          </w:p>
        </w:tc>
        <w:tc>
          <w:tcPr>
            <w:tcW w:w="2026" w:type="dxa"/>
            <w:tcBorders>
              <w:top w:val="single" w:sz="4" w:space="0" w:color="auto"/>
            </w:tcBorders>
            <w:hideMark/>
          </w:tcPr>
          <w:p w14:paraId="11A2ADFE"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Borders>
              <w:top w:val="single" w:sz="4" w:space="0" w:color="auto"/>
            </w:tcBorders>
            <w:hideMark/>
          </w:tcPr>
          <w:p w14:paraId="28F9B30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Borders>
              <w:top w:val="single" w:sz="4" w:space="0" w:color="auto"/>
            </w:tcBorders>
            <w:hideMark/>
          </w:tcPr>
          <w:p w14:paraId="0E54FD04"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Borders>
              <w:top w:val="single" w:sz="4" w:space="0" w:color="auto"/>
            </w:tcBorders>
            <w:hideMark/>
          </w:tcPr>
          <w:p w14:paraId="6D7B392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Borders>
              <w:top w:val="single" w:sz="4" w:space="0" w:color="auto"/>
            </w:tcBorders>
            <w:noWrap/>
            <w:hideMark/>
          </w:tcPr>
          <w:p w14:paraId="2B4C5793"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C486925" w14:textId="77777777" w:rsidTr="002D2677">
        <w:trPr>
          <w:trHeight w:val="23"/>
        </w:trPr>
        <w:tc>
          <w:tcPr>
            <w:tcW w:w="3828" w:type="dxa"/>
            <w:noWrap/>
            <w:vAlign w:val="center"/>
          </w:tcPr>
          <w:p w14:paraId="64B591D6"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Age categories, n (%)</w:t>
            </w:r>
          </w:p>
        </w:tc>
        <w:tc>
          <w:tcPr>
            <w:tcW w:w="2026" w:type="dxa"/>
          </w:tcPr>
          <w:p w14:paraId="24A8AEC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76453784"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586FCA7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53B85A9A"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278B86F"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5FD2D52" w14:textId="77777777" w:rsidTr="002D2677">
        <w:trPr>
          <w:trHeight w:val="23"/>
        </w:trPr>
        <w:tc>
          <w:tcPr>
            <w:tcW w:w="3828" w:type="dxa"/>
            <w:noWrap/>
            <w:vAlign w:val="center"/>
          </w:tcPr>
          <w:p w14:paraId="10F67CB9"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40–59 years</w:t>
            </w:r>
          </w:p>
        </w:tc>
        <w:tc>
          <w:tcPr>
            <w:tcW w:w="2026" w:type="dxa"/>
          </w:tcPr>
          <w:p w14:paraId="5B1B753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887 (8.6)</w:t>
            </w:r>
          </w:p>
        </w:tc>
        <w:tc>
          <w:tcPr>
            <w:tcW w:w="2026" w:type="dxa"/>
          </w:tcPr>
          <w:p w14:paraId="476D693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383 (43.2)</w:t>
            </w:r>
          </w:p>
        </w:tc>
        <w:tc>
          <w:tcPr>
            <w:tcW w:w="2027" w:type="dxa"/>
          </w:tcPr>
          <w:p w14:paraId="4B697A4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1.67 (1.42, 1.97)</w:t>
            </w:r>
          </w:p>
        </w:tc>
        <w:tc>
          <w:tcPr>
            <w:tcW w:w="2026" w:type="dxa"/>
          </w:tcPr>
          <w:p w14:paraId="2885E5B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1.42 (1.20, 1.69)</w:t>
            </w:r>
          </w:p>
        </w:tc>
        <w:tc>
          <w:tcPr>
            <w:tcW w:w="2027" w:type="dxa"/>
            <w:noWrap/>
          </w:tcPr>
          <w:p w14:paraId="33C98B9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6630ADC3" w14:textId="77777777" w:rsidTr="002D2677">
        <w:trPr>
          <w:trHeight w:val="23"/>
        </w:trPr>
        <w:tc>
          <w:tcPr>
            <w:tcW w:w="3828" w:type="dxa"/>
            <w:noWrap/>
            <w:vAlign w:val="center"/>
          </w:tcPr>
          <w:p w14:paraId="6CC07A3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60–69 years</w:t>
            </w:r>
          </w:p>
        </w:tc>
        <w:tc>
          <w:tcPr>
            <w:tcW w:w="2026" w:type="dxa"/>
          </w:tcPr>
          <w:p w14:paraId="2F1E024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1,995 (19.3)</w:t>
            </w:r>
          </w:p>
        </w:tc>
        <w:tc>
          <w:tcPr>
            <w:tcW w:w="2026" w:type="dxa"/>
          </w:tcPr>
          <w:p w14:paraId="2D4B07E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623 (31.2)</w:t>
            </w:r>
          </w:p>
        </w:tc>
        <w:tc>
          <w:tcPr>
            <w:tcW w:w="2027" w:type="dxa"/>
          </w:tcPr>
          <w:p w14:paraId="327C2C0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60B0BD1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7753D574"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63890DE" w14:textId="77777777" w:rsidTr="002D2677">
        <w:trPr>
          <w:trHeight w:val="23"/>
        </w:trPr>
        <w:tc>
          <w:tcPr>
            <w:tcW w:w="3828" w:type="dxa"/>
            <w:noWrap/>
            <w:vAlign w:val="center"/>
          </w:tcPr>
          <w:p w14:paraId="7486FDF5"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70–79 years</w:t>
            </w:r>
          </w:p>
        </w:tc>
        <w:tc>
          <w:tcPr>
            <w:tcW w:w="2026" w:type="dxa"/>
          </w:tcPr>
          <w:p w14:paraId="79C9A45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4,177 (40.5)</w:t>
            </w:r>
          </w:p>
        </w:tc>
        <w:tc>
          <w:tcPr>
            <w:tcW w:w="2026" w:type="dxa"/>
          </w:tcPr>
          <w:p w14:paraId="47B1FBF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1,056 (25.3)</w:t>
            </w:r>
          </w:p>
        </w:tc>
        <w:tc>
          <w:tcPr>
            <w:tcW w:w="2027" w:type="dxa"/>
          </w:tcPr>
          <w:p w14:paraId="121BF74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0.75 (0.66, 0.84)</w:t>
            </w:r>
          </w:p>
        </w:tc>
        <w:tc>
          <w:tcPr>
            <w:tcW w:w="2026" w:type="dxa"/>
          </w:tcPr>
          <w:p w14:paraId="55EAB37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0.80 (0.71, 0.90)</w:t>
            </w:r>
          </w:p>
        </w:tc>
        <w:tc>
          <w:tcPr>
            <w:tcW w:w="2027" w:type="dxa"/>
            <w:noWrap/>
          </w:tcPr>
          <w:p w14:paraId="27F2BC8F"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1CC4AFA" w14:textId="77777777" w:rsidTr="002D2677">
        <w:trPr>
          <w:trHeight w:val="23"/>
        </w:trPr>
        <w:tc>
          <w:tcPr>
            <w:tcW w:w="3828" w:type="dxa"/>
            <w:noWrap/>
            <w:vAlign w:val="center"/>
          </w:tcPr>
          <w:p w14:paraId="631A6319"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80–89 years</w:t>
            </w:r>
          </w:p>
        </w:tc>
        <w:tc>
          <w:tcPr>
            <w:tcW w:w="2026" w:type="dxa"/>
          </w:tcPr>
          <w:p w14:paraId="065896B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2,868 (27.8)</w:t>
            </w:r>
          </w:p>
        </w:tc>
        <w:tc>
          <w:tcPr>
            <w:tcW w:w="2026" w:type="dxa"/>
            <w:noWrap/>
          </w:tcPr>
          <w:p w14:paraId="0F9BB6A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671 (23.4)</w:t>
            </w:r>
          </w:p>
        </w:tc>
        <w:tc>
          <w:tcPr>
            <w:tcW w:w="2027" w:type="dxa"/>
            <w:noWrap/>
          </w:tcPr>
          <w:p w14:paraId="63BA6D3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0.67 (0.59, 0.76)</w:t>
            </w:r>
          </w:p>
        </w:tc>
        <w:tc>
          <w:tcPr>
            <w:tcW w:w="2026" w:type="dxa"/>
            <w:noWrap/>
          </w:tcPr>
          <w:p w14:paraId="01FCEDA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0.75 (0.65, 0.85)</w:t>
            </w:r>
          </w:p>
        </w:tc>
        <w:tc>
          <w:tcPr>
            <w:tcW w:w="2027" w:type="dxa"/>
            <w:noWrap/>
          </w:tcPr>
          <w:p w14:paraId="5F3650F2"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F125CAA" w14:textId="77777777" w:rsidTr="002D2677">
        <w:trPr>
          <w:trHeight w:val="23"/>
        </w:trPr>
        <w:tc>
          <w:tcPr>
            <w:tcW w:w="3828" w:type="dxa"/>
            <w:noWrap/>
            <w:vAlign w:val="center"/>
          </w:tcPr>
          <w:p w14:paraId="55653B5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≥90 years</w:t>
            </w:r>
          </w:p>
        </w:tc>
        <w:tc>
          <w:tcPr>
            <w:tcW w:w="2026" w:type="dxa"/>
          </w:tcPr>
          <w:p w14:paraId="27A2C01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394 (3.8)</w:t>
            </w:r>
          </w:p>
        </w:tc>
        <w:tc>
          <w:tcPr>
            <w:tcW w:w="2026" w:type="dxa"/>
          </w:tcPr>
          <w:p w14:paraId="29AF13E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94 (23.9)</w:t>
            </w:r>
          </w:p>
        </w:tc>
        <w:tc>
          <w:tcPr>
            <w:tcW w:w="2027" w:type="dxa"/>
          </w:tcPr>
          <w:p w14:paraId="3C9A986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0.69 (0.54, 0.89)</w:t>
            </w:r>
          </w:p>
        </w:tc>
        <w:tc>
          <w:tcPr>
            <w:tcW w:w="2026" w:type="dxa"/>
          </w:tcPr>
          <w:p w14:paraId="11D6407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0.78 (0.60, 1.02)</w:t>
            </w:r>
          </w:p>
        </w:tc>
        <w:tc>
          <w:tcPr>
            <w:tcW w:w="2027" w:type="dxa"/>
            <w:noWrap/>
          </w:tcPr>
          <w:p w14:paraId="6374489B"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AA54ED1" w14:textId="77777777" w:rsidTr="002D2677">
        <w:trPr>
          <w:trHeight w:val="23"/>
        </w:trPr>
        <w:tc>
          <w:tcPr>
            <w:tcW w:w="3828" w:type="dxa"/>
            <w:noWrap/>
            <w:vAlign w:val="center"/>
          </w:tcPr>
          <w:p w14:paraId="7E79D758"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Sex, n (%)</w:t>
            </w:r>
          </w:p>
        </w:tc>
        <w:tc>
          <w:tcPr>
            <w:tcW w:w="2026" w:type="dxa"/>
          </w:tcPr>
          <w:p w14:paraId="2347594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0338106C"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18DAB1BD"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8E1637A"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19B1F233"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921B88B" w14:textId="77777777" w:rsidTr="002D2677">
        <w:trPr>
          <w:trHeight w:val="23"/>
        </w:trPr>
        <w:tc>
          <w:tcPr>
            <w:tcW w:w="3828" w:type="dxa"/>
            <w:noWrap/>
            <w:vAlign w:val="center"/>
          </w:tcPr>
          <w:p w14:paraId="12CD7BEC"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Male</w:t>
            </w:r>
          </w:p>
        </w:tc>
        <w:tc>
          <w:tcPr>
            <w:tcW w:w="2026" w:type="dxa"/>
          </w:tcPr>
          <w:p w14:paraId="7017D7F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6,946 (67.3)</w:t>
            </w:r>
          </w:p>
        </w:tc>
        <w:tc>
          <w:tcPr>
            <w:tcW w:w="2026" w:type="dxa"/>
          </w:tcPr>
          <w:p w14:paraId="5DC4E04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1,761 (25.4)</w:t>
            </w:r>
          </w:p>
        </w:tc>
        <w:tc>
          <w:tcPr>
            <w:tcW w:w="2027" w:type="dxa"/>
          </w:tcPr>
          <w:p w14:paraId="64DD74A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1ED25CC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073F0EA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0.005</w:t>
            </w:r>
          </w:p>
        </w:tc>
      </w:tr>
      <w:tr w:rsidR="00D250E5" w:rsidRPr="00737A30" w14:paraId="7C27E4A9" w14:textId="77777777" w:rsidTr="002D2677">
        <w:trPr>
          <w:trHeight w:val="23"/>
        </w:trPr>
        <w:tc>
          <w:tcPr>
            <w:tcW w:w="3828" w:type="dxa"/>
            <w:noWrap/>
            <w:vAlign w:val="center"/>
          </w:tcPr>
          <w:p w14:paraId="3DB175D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Female</w:t>
            </w:r>
          </w:p>
        </w:tc>
        <w:tc>
          <w:tcPr>
            <w:tcW w:w="2026" w:type="dxa"/>
          </w:tcPr>
          <w:p w14:paraId="5C02FF5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3,375 (32.7)</w:t>
            </w:r>
          </w:p>
        </w:tc>
        <w:tc>
          <w:tcPr>
            <w:tcW w:w="2026" w:type="dxa"/>
          </w:tcPr>
          <w:p w14:paraId="7A0B847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1,066 (31.6)</w:t>
            </w:r>
          </w:p>
        </w:tc>
        <w:tc>
          <w:tcPr>
            <w:tcW w:w="2027" w:type="dxa"/>
          </w:tcPr>
          <w:p w14:paraId="26E51EA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1.36 (1.24, 1.49)</w:t>
            </w:r>
          </w:p>
        </w:tc>
        <w:tc>
          <w:tcPr>
            <w:tcW w:w="2026" w:type="dxa"/>
          </w:tcPr>
          <w:p w14:paraId="3ED67FB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1.15 (1.04, 1.26)</w:t>
            </w:r>
          </w:p>
        </w:tc>
        <w:tc>
          <w:tcPr>
            <w:tcW w:w="2027" w:type="dxa"/>
            <w:noWrap/>
          </w:tcPr>
          <w:p w14:paraId="45EEFB34"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67E1E95D" w14:textId="77777777" w:rsidTr="002D2677">
        <w:trPr>
          <w:trHeight w:val="23"/>
        </w:trPr>
        <w:tc>
          <w:tcPr>
            <w:tcW w:w="3828" w:type="dxa"/>
            <w:noWrap/>
            <w:vAlign w:val="center"/>
          </w:tcPr>
          <w:p w14:paraId="217C2161"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Region</w:t>
            </w:r>
          </w:p>
        </w:tc>
        <w:tc>
          <w:tcPr>
            <w:tcW w:w="2026" w:type="dxa"/>
          </w:tcPr>
          <w:p w14:paraId="321954FD"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0DE441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39E688C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5C195DF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437486A"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789A18E" w14:textId="77777777" w:rsidTr="002D2677">
        <w:trPr>
          <w:trHeight w:val="23"/>
        </w:trPr>
        <w:tc>
          <w:tcPr>
            <w:tcW w:w="3828" w:type="dxa"/>
            <w:noWrap/>
            <w:vAlign w:val="center"/>
          </w:tcPr>
          <w:p w14:paraId="60C29356"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Hokkaido</w:t>
            </w:r>
          </w:p>
        </w:tc>
        <w:tc>
          <w:tcPr>
            <w:tcW w:w="2026" w:type="dxa"/>
          </w:tcPr>
          <w:p w14:paraId="239B426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678 (6.6)</w:t>
            </w:r>
          </w:p>
        </w:tc>
        <w:tc>
          <w:tcPr>
            <w:tcW w:w="2026" w:type="dxa"/>
          </w:tcPr>
          <w:p w14:paraId="165036E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137 (20.2)</w:t>
            </w:r>
          </w:p>
        </w:tc>
        <w:tc>
          <w:tcPr>
            <w:tcW w:w="2027" w:type="dxa"/>
          </w:tcPr>
          <w:p w14:paraId="1E57E81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0.68 (0.56, 0.83)</w:t>
            </w:r>
          </w:p>
        </w:tc>
        <w:tc>
          <w:tcPr>
            <w:tcW w:w="2026" w:type="dxa"/>
          </w:tcPr>
          <w:p w14:paraId="2D6F3A2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0.65 (0.53, 0.81)</w:t>
            </w:r>
          </w:p>
        </w:tc>
        <w:tc>
          <w:tcPr>
            <w:tcW w:w="2027" w:type="dxa"/>
            <w:noWrap/>
          </w:tcPr>
          <w:p w14:paraId="1F15EF4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65374DA5" w14:textId="77777777" w:rsidTr="002D2677">
        <w:trPr>
          <w:trHeight w:val="23"/>
        </w:trPr>
        <w:tc>
          <w:tcPr>
            <w:tcW w:w="3828" w:type="dxa"/>
            <w:noWrap/>
            <w:vAlign w:val="center"/>
          </w:tcPr>
          <w:p w14:paraId="66079CD9"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Tohoku</w:t>
            </w:r>
          </w:p>
        </w:tc>
        <w:tc>
          <w:tcPr>
            <w:tcW w:w="2026" w:type="dxa"/>
          </w:tcPr>
          <w:p w14:paraId="4D192FF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1,104 (10.7)</w:t>
            </w:r>
          </w:p>
        </w:tc>
        <w:tc>
          <w:tcPr>
            <w:tcW w:w="2026" w:type="dxa"/>
          </w:tcPr>
          <w:p w14:paraId="5A52B9C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285 (25.8)</w:t>
            </w:r>
          </w:p>
        </w:tc>
        <w:tc>
          <w:tcPr>
            <w:tcW w:w="2027" w:type="dxa"/>
          </w:tcPr>
          <w:p w14:paraId="32ACE77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0.93 (0.80, 1.08)</w:t>
            </w:r>
          </w:p>
        </w:tc>
        <w:tc>
          <w:tcPr>
            <w:tcW w:w="2026" w:type="dxa"/>
          </w:tcPr>
          <w:p w14:paraId="2E38D5F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0.84 (0.72, 0.98)</w:t>
            </w:r>
          </w:p>
        </w:tc>
        <w:tc>
          <w:tcPr>
            <w:tcW w:w="2027" w:type="dxa"/>
            <w:noWrap/>
          </w:tcPr>
          <w:p w14:paraId="55742EE1"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4856F51" w14:textId="77777777" w:rsidTr="002D2677">
        <w:trPr>
          <w:trHeight w:val="23"/>
        </w:trPr>
        <w:tc>
          <w:tcPr>
            <w:tcW w:w="3828" w:type="dxa"/>
            <w:noWrap/>
            <w:vAlign w:val="center"/>
          </w:tcPr>
          <w:p w14:paraId="15AA9FF7"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Kanto</w:t>
            </w:r>
          </w:p>
        </w:tc>
        <w:tc>
          <w:tcPr>
            <w:tcW w:w="2026" w:type="dxa"/>
          </w:tcPr>
          <w:p w14:paraId="4DC7853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1,014 (9.8)</w:t>
            </w:r>
          </w:p>
        </w:tc>
        <w:tc>
          <w:tcPr>
            <w:tcW w:w="2026" w:type="dxa"/>
          </w:tcPr>
          <w:p w14:paraId="7A4EA1E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422 (41.6)</w:t>
            </w:r>
          </w:p>
        </w:tc>
        <w:tc>
          <w:tcPr>
            <w:tcW w:w="2027" w:type="dxa"/>
          </w:tcPr>
          <w:p w14:paraId="35A66F6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1.91 (1.66, 2.20)</w:t>
            </w:r>
          </w:p>
        </w:tc>
        <w:tc>
          <w:tcPr>
            <w:tcW w:w="2026" w:type="dxa"/>
          </w:tcPr>
          <w:p w14:paraId="4D0D147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1.79 (1.54, 2.07)</w:t>
            </w:r>
          </w:p>
        </w:tc>
        <w:tc>
          <w:tcPr>
            <w:tcW w:w="2027" w:type="dxa"/>
            <w:noWrap/>
          </w:tcPr>
          <w:p w14:paraId="09D61237"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8299BDE" w14:textId="77777777" w:rsidTr="002D2677">
        <w:trPr>
          <w:trHeight w:val="23"/>
        </w:trPr>
        <w:tc>
          <w:tcPr>
            <w:tcW w:w="3828" w:type="dxa"/>
            <w:noWrap/>
            <w:vAlign w:val="center"/>
          </w:tcPr>
          <w:p w14:paraId="3E0C5E21"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Chubu</w:t>
            </w:r>
          </w:p>
        </w:tc>
        <w:tc>
          <w:tcPr>
            <w:tcW w:w="2026" w:type="dxa"/>
          </w:tcPr>
          <w:p w14:paraId="7B83DA7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1,083 (10.5)</w:t>
            </w:r>
          </w:p>
        </w:tc>
        <w:tc>
          <w:tcPr>
            <w:tcW w:w="2026" w:type="dxa"/>
          </w:tcPr>
          <w:p w14:paraId="0C604C0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218 (20.1)</w:t>
            </w:r>
          </w:p>
        </w:tc>
        <w:tc>
          <w:tcPr>
            <w:tcW w:w="2027" w:type="dxa"/>
          </w:tcPr>
          <w:p w14:paraId="6551E29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0.68 (0.57, 0.79)</w:t>
            </w:r>
          </w:p>
        </w:tc>
        <w:tc>
          <w:tcPr>
            <w:tcW w:w="2026" w:type="dxa"/>
          </w:tcPr>
          <w:p w14:paraId="116E953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0.68 (0.58, 0.81)</w:t>
            </w:r>
          </w:p>
        </w:tc>
        <w:tc>
          <w:tcPr>
            <w:tcW w:w="2027" w:type="dxa"/>
            <w:noWrap/>
          </w:tcPr>
          <w:p w14:paraId="5A5F616E"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F8F36EB" w14:textId="77777777" w:rsidTr="002D2677">
        <w:trPr>
          <w:trHeight w:val="23"/>
        </w:trPr>
        <w:tc>
          <w:tcPr>
            <w:tcW w:w="3828" w:type="dxa"/>
            <w:noWrap/>
            <w:vAlign w:val="center"/>
          </w:tcPr>
          <w:p w14:paraId="0F4D648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Kinki</w:t>
            </w:r>
          </w:p>
        </w:tc>
        <w:tc>
          <w:tcPr>
            <w:tcW w:w="2026" w:type="dxa"/>
          </w:tcPr>
          <w:p w14:paraId="2715359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4,643 (45.0)</w:t>
            </w:r>
          </w:p>
        </w:tc>
        <w:tc>
          <w:tcPr>
            <w:tcW w:w="2026" w:type="dxa"/>
          </w:tcPr>
          <w:p w14:paraId="73B62A2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1,262 (27.2)</w:t>
            </w:r>
          </w:p>
        </w:tc>
        <w:tc>
          <w:tcPr>
            <w:tcW w:w="2027" w:type="dxa"/>
          </w:tcPr>
          <w:p w14:paraId="2E7B6EB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5053087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1C78C0F5"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69BB299F" w14:textId="77777777" w:rsidTr="002D2677">
        <w:trPr>
          <w:trHeight w:val="23"/>
        </w:trPr>
        <w:tc>
          <w:tcPr>
            <w:tcW w:w="3828" w:type="dxa"/>
            <w:noWrap/>
            <w:vAlign w:val="center"/>
          </w:tcPr>
          <w:p w14:paraId="143AACE4"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Chugoku</w:t>
            </w:r>
          </w:p>
        </w:tc>
        <w:tc>
          <w:tcPr>
            <w:tcW w:w="2026" w:type="dxa"/>
          </w:tcPr>
          <w:p w14:paraId="2A07604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1,089 (10.6)</w:t>
            </w:r>
          </w:p>
        </w:tc>
        <w:tc>
          <w:tcPr>
            <w:tcW w:w="2026" w:type="dxa"/>
          </w:tcPr>
          <w:p w14:paraId="780629A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295 (27.1)</w:t>
            </w:r>
          </w:p>
        </w:tc>
        <w:tc>
          <w:tcPr>
            <w:tcW w:w="2027" w:type="dxa"/>
          </w:tcPr>
          <w:p w14:paraId="1F79215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1.00 (0.86, 1.15)</w:t>
            </w:r>
          </w:p>
        </w:tc>
        <w:tc>
          <w:tcPr>
            <w:tcW w:w="2026" w:type="dxa"/>
          </w:tcPr>
          <w:p w14:paraId="0501FF6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0.89 (0.76, 1.04)</w:t>
            </w:r>
          </w:p>
        </w:tc>
        <w:tc>
          <w:tcPr>
            <w:tcW w:w="2027" w:type="dxa"/>
            <w:noWrap/>
          </w:tcPr>
          <w:p w14:paraId="38B097C5"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B9AC13C" w14:textId="77777777" w:rsidTr="002D2677">
        <w:trPr>
          <w:trHeight w:val="23"/>
        </w:trPr>
        <w:tc>
          <w:tcPr>
            <w:tcW w:w="3828" w:type="dxa"/>
            <w:noWrap/>
            <w:vAlign w:val="center"/>
          </w:tcPr>
          <w:p w14:paraId="4C38966C"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Shikoku</w:t>
            </w:r>
          </w:p>
        </w:tc>
        <w:tc>
          <w:tcPr>
            <w:tcW w:w="2026" w:type="dxa"/>
          </w:tcPr>
          <w:p w14:paraId="31EF890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291 (2.8)</w:t>
            </w:r>
          </w:p>
        </w:tc>
        <w:tc>
          <w:tcPr>
            <w:tcW w:w="2026" w:type="dxa"/>
          </w:tcPr>
          <w:p w14:paraId="4D68723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71 (24.4)</w:t>
            </w:r>
          </w:p>
        </w:tc>
        <w:tc>
          <w:tcPr>
            <w:tcW w:w="2027" w:type="dxa"/>
          </w:tcPr>
          <w:p w14:paraId="3AF262F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0.86 (0.66, 1.14)</w:t>
            </w:r>
          </w:p>
        </w:tc>
        <w:tc>
          <w:tcPr>
            <w:tcW w:w="2026" w:type="dxa"/>
          </w:tcPr>
          <w:p w14:paraId="7FCADC3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0.82 (0.61, 1.09)</w:t>
            </w:r>
          </w:p>
        </w:tc>
        <w:tc>
          <w:tcPr>
            <w:tcW w:w="2027" w:type="dxa"/>
            <w:noWrap/>
          </w:tcPr>
          <w:p w14:paraId="247019CE"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C5E75EF" w14:textId="77777777" w:rsidTr="002D2677">
        <w:trPr>
          <w:trHeight w:val="23"/>
        </w:trPr>
        <w:tc>
          <w:tcPr>
            <w:tcW w:w="3828" w:type="dxa"/>
            <w:noWrap/>
            <w:vAlign w:val="center"/>
          </w:tcPr>
          <w:p w14:paraId="7AF40CFC"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Kyushu or Okinawa</w:t>
            </w:r>
          </w:p>
        </w:tc>
        <w:tc>
          <w:tcPr>
            <w:tcW w:w="2026" w:type="dxa"/>
          </w:tcPr>
          <w:p w14:paraId="7FA318D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419 (4.1)</w:t>
            </w:r>
          </w:p>
        </w:tc>
        <w:tc>
          <w:tcPr>
            <w:tcW w:w="2026" w:type="dxa"/>
          </w:tcPr>
          <w:p w14:paraId="2EFD666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137 (32.7)</w:t>
            </w:r>
          </w:p>
        </w:tc>
        <w:tc>
          <w:tcPr>
            <w:tcW w:w="2027" w:type="dxa"/>
          </w:tcPr>
          <w:p w14:paraId="4A4E0CA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1.30 (1.05, 1.61)</w:t>
            </w:r>
          </w:p>
        </w:tc>
        <w:tc>
          <w:tcPr>
            <w:tcW w:w="2026" w:type="dxa"/>
          </w:tcPr>
          <w:p w14:paraId="2F47517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1.16 (0.92, 1.45)</w:t>
            </w:r>
          </w:p>
        </w:tc>
        <w:tc>
          <w:tcPr>
            <w:tcW w:w="2027" w:type="dxa"/>
            <w:noWrap/>
          </w:tcPr>
          <w:p w14:paraId="5E0CCE98"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D0270CB" w14:textId="77777777" w:rsidTr="002D2677">
        <w:trPr>
          <w:trHeight w:val="23"/>
        </w:trPr>
        <w:tc>
          <w:tcPr>
            <w:tcW w:w="3828" w:type="dxa"/>
            <w:noWrap/>
            <w:vAlign w:val="center"/>
          </w:tcPr>
          <w:p w14:paraId="3EDF2E10"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Hospital bed size</w:t>
            </w:r>
          </w:p>
        </w:tc>
        <w:tc>
          <w:tcPr>
            <w:tcW w:w="2026" w:type="dxa"/>
          </w:tcPr>
          <w:p w14:paraId="12F6E64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4ED93D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494DEC6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4D73464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A5C9664"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CFE628F" w14:textId="77777777" w:rsidTr="002D2677">
        <w:trPr>
          <w:trHeight w:val="23"/>
        </w:trPr>
        <w:tc>
          <w:tcPr>
            <w:tcW w:w="3828" w:type="dxa"/>
            <w:noWrap/>
            <w:vAlign w:val="center"/>
          </w:tcPr>
          <w:p w14:paraId="51ADD5E4"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0–19</w:t>
            </w:r>
          </w:p>
        </w:tc>
        <w:tc>
          <w:tcPr>
            <w:tcW w:w="2026" w:type="dxa"/>
          </w:tcPr>
          <w:p w14:paraId="14F363D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 (&lt;0.1)</w:t>
            </w:r>
          </w:p>
        </w:tc>
        <w:tc>
          <w:tcPr>
            <w:tcW w:w="2026" w:type="dxa"/>
          </w:tcPr>
          <w:p w14:paraId="584B25E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 (100.0)</w:t>
            </w:r>
          </w:p>
        </w:tc>
        <w:tc>
          <w:tcPr>
            <w:tcW w:w="2027" w:type="dxa"/>
          </w:tcPr>
          <w:p w14:paraId="55F9B1C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&gt;100 (0.00, &gt;100)</w:t>
            </w:r>
          </w:p>
        </w:tc>
        <w:tc>
          <w:tcPr>
            <w:tcW w:w="2026" w:type="dxa"/>
          </w:tcPr>
          <w:p w14:paraId="67254B1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&gt;100 (0.00, &gt;100)</w:t>
            </w:r>
          </w:p>
        </w:tc>
        <w:tc>
          <w:tcPr>
            <w:tcW w:w="2027" w:type="dxa"/>
            <w:noWrap/>
          </w:tcPr>
          <w:p w14:paraId="1CBDEB7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540AB5E6" w14:textId="77777777" w:rsidTr="002D2677">
        <w:trPr>
          <w:trHeight w:val="23"/>
        </w:trPr>
        <w:tc>
          <w:tcPr>
            <w:tcW w:w="3828" w:type="dxa"/>
            <w:noWrap/>
            <w:vAlign w:val="center"/>
          </w:tcPr>
          <w:p w14:paraId="0617E23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20–99</w:t>
            </w:r>
          </w:p>
        </w:tc>
        <w:tc>
          <w:tcPr>
            <w:tcW w:w="2026" w:type="dxa"/>
          </w:tcPr>
          <w:p w14:paraId="5D4F134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106 (1.0)</w:t>
            </w:r>
          </w:p>
        </w:tc>
        <w:tc>
          <w:tcPr>
            <w:tcW w:w="2026" w:type="dxa"/>
          </w:tcPr>
          <w:p w14:paraId="3DA371D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51 (48.1)</w:t>
            </w:r>
          </w:p>
        </w:tc>
        <w:tc>
          <w:tcPr>
            <w:tcW w:w="2027" w:type="dxa"/>
          </w:tcPr>
          <w:p w14:paraId="425255C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2.84 (1.92, 4.19)</w:t>
            </w:r>
          </w:p>
        </w:tc>
        <w:tc>
          <w:tcPr>
            <w:tcW w:w="2026" w:type="dxa"/>
          </w:tcPr>
          <w:p w14:paraId="6BB0F6D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2.61 (1.74, 3.92)</w:t>
            </w:r>
          </w:p>
        </w:tc>
        <w:tc>
          <w:tcPr>
            <w:tcW w:w="2027" w:type="dxa"/>
            <w:noWrap/>
          </w:tcPr>
          <w:p w14:paraId="7EF9E673"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D9F3CF6" w14:textId="77777777" w:rsidTr="002D2677">
        <w:trPr>
          <w:trHeight w:val="23"/>
        </w:trPr>
        <w:tc>
          <w:tcPr>
            <w:tcW w:w="3828" w:type="dxa"/>
            <w:noWrap/>
            <w:vAlign w:val="center"/>
          </w:tcPr>
          <w:p w14:paraId="39F11697"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100–299</w:t>
            </w:r>
          </w:p>
        </w:tc>
        <w:tc>
          <w:tcPr>
            <w:tcW w:w="2026" w:type="dxa"/>
          </w:tcPr>
          <w:p w14:paraId="70FC771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2,891 (28.0)</w:t>
            </w:r>
          </w:p>
        </w:tc>
        <w:tc>
          <w:tcPr>
            <w:tcW w:w="2026" w:type="dxa"/>
          </w:tcPr>
          <w:p w14:paraId="2072B90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978 (33.8)</w:t>
            </w:r>
          </w:p>
        </w:tc>
        <w:tc>
          <w:tcPr>
            <w:tcW w:w="2027" w:type="dxa"/>
          </w:tcPr>
          <w:p w14:paraId="6C320B0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1.57 (1.40, 1.75)</w:t>
            </w:r>
          </w:p>
        </w:tc>
        <w:tc>
          <w:tcPr>
            <w:tcW w:w="2026" w:type="dxa"/>
          </w:tcPr>
          <w:p w14:paraId="56DCF2B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1.46 (1.30, 1.65)</w:t>
            </w:r>
          </w:p>
        </w:tc>
        <w:tc>
          <w:tcPr>
            <w:tcW w:w="2027" w:type="dxa"/>
            <w:noWrap/>
          </w:tcPr>
          <w:p w14:paraId="75573528"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207AA29" w14:textId="77777777" w:rsidTr="002D2677">
        <w:trPr>
          <w:trHeight w:val="23"/>
        </w:trPr>
        <w:tc>
          <w:tcPr>
            <w:tcW w:w="3828" w:type="dxa"/>
            <w:noWrap/>
            <w:vAlign w:val="center"/>
          </w:tcPr>
          <w:p w14:paraId="50F285E7"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300–499</w:t>
            </w:r>
          </w:p>
        </w:tc>
        <w:tc>
          <w:tcPr>
            <w:tcW w:w="2026" w:type="dxa"/>
          </w:tcPr>
          <w:p w14:paraId="0307D54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4,020 (38.9)</w:t>
            </w:r>
          </w:p>
        </w:tc>
        <w:tc>
          <w:tcPr>
            <w:tcW w:w="2026" w:type="dxa"/>
          </w:tcPr>
          <w:p w14:paraId="5E8D968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984 (24.5)</w:t>
            </w:r>
          </w:p>
        </w:tc>
        <w:tc>
          <w:tcPr>
            <w:tcW w:w="2027" w:type="dxa"/>
          </w:tcPr>
          <w:p w14:paraId="78D57AE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0.99 (0.89, 1.10)</w:t>
            </w:r>
          </w:p>
        </w:tc>
        <w:tc>
          <w:tcPr>
            <w:tcW w:w="2026" w:type="dxa"/>
          </w:tcPr>
          <w:p w14:paraId="30DA204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 (0.90, 1.13)</w:t>
            </w:r>
          </w:p>
        </w:tc>
        <w:tc>
          <w:tcPr>
            <w:tcW w:w="2027" w:type="dxa"/>
            <w:noWrap/>
          </w:tcPr>
          <w:p w14:paraId="3B143A26"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17CA908" w14:textId="77777777" w:rsidTr="002D2677">
        <w:trPr>
          <w:trHeight w:val="23"/>
        </w:trPr>
        <w:tc>
          <w:tcPr>
            <w:tcW w:w="3828" w:type="dxa"/>
            <w:noWrap/>
            <w:vAlign w:val="center"/>
          </w:tcPr>
          <w:p w14:paraId="4B179F04"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500+</w:t>
            </w:r>
          </w:p>
        </w:tc>
        <w:tc>
          <w:tcPr>
            <w:tcW w:w="2026" w:type="dxa"/>
          </w:tcPr>
          <w:p w14:paraId="643C382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3,303 (32.0)</w:t>
            </w:r>
          </w:p>
        </w:tc>
        <w:tc>
          <w:tcPr>
            <w:tcW w:w="2026" w:type="dxa"/>
          </w:tcPr>
          <w:p w14:paraId="754389A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813 (24.6)</w:t>
            </w:r>
          </w:p>
        </w:tc>
        <w:tc>
          <w:tcPr>
            <w:tcW w:w="2027" w:type="dxa"/>
          </w:tcPr>
          <w:p w14:paraId="3B05E40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6C09B84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4BEF96E5"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D538322" w14:textId="77777777" w:rsidTr="002D2677">
        <w:trPr>
          <w:trHeight w:val="23"/>
        </w:trPr>
        <w:tc>
          <w:tcPr>
            <w:tcW w:w="3828" w:type="dxa"/>
            <w:tcBorders>
              <w:top w:val="single" w:sz="4" w:space="0" w:color="auto"/>
            </w:tcBorders>
            <w:vAlign w:val="center"/>
          </w:tcPr>
          <w:p w14:paraId="666D6993"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COPD subtypes</w:t>
            </w:r>
          </w:p>
        </w:tc>
        <w:tc>
          <w:tcPr>
            <w:tcW w:w="2026" w:type="dxa"/>
            <w:tcBorders>
              <w:top w:val="single" w:sz="4" w:space="0" w:color="auto"/>
            </w:tcBorders>
          </w:tcPr>
          <w:p w14:paraId="0E782C2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Borders>
              <w:top w:val="single" w:sz="4" w:space="0" w:color="auto"/>
            </w:tcBorders>
          </w:tcPr>
          <w:p w14:paraId="3342C8C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Borders>
              <w:top w:val="single" w:sz="4" w:space="0" w:color="auto"/>
            </w:tcBorders>
          </w:tcPr>
          <w:p w14:paraId="241C863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Borders>
              <w:top w:val="single" w:sz="4" w:space="0" w:color="auto"/>
            </w:tcBorders>
          </w:tcPr>
          <w:p w14:paraId="7556516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Borders>
              <w:top w:val="single" w:sz="4" w:space="0" w:color="auto"/>
            </w:tcBorders>
            <w:noWrap/>
          </w:tcPr>
          <w:p w14:paraId="0B7E0A08"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C2FF33C" w14:textId="77777777" w:rsidTr="002D2677">
        <w:trPr>
          <w:trHeight w:val="23"/>
        </w:trPr>
        <w:tc>
          <w:tcPr>
            <w:tcW w:w="3828" w:type="dxa"/>
            <w:noWrap/>
            <w:vAlign w:val="center"/>
          </w:tcPr>
          <w:p w14:paraId="07DAB254"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CB/emphysema</w:t>
            </w:r>
          </w:p>
        </w:tc>
        <w:tc>
          <w:tcPr>
            <w:tcW w:w="2026" w:type="dxa"/>
          </w:tcPr>
          <w:p w14:paraId="6BF8077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543875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2AAB310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0484A40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F9542C8"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71F5E39" w14:textId="77777777" w:rsidTr="002D2677">
        <w:trPr>
          <w:trHeight w:val="23"/>
        </w:trPr>
        <w:tc>
          <w:tcPr>
            <w:tcW w:w="3828" w:type="dxa"/>
            <w:noWrap/>
          </w:tcPr>
          <w:p w14:paraId="669312F2"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CB-dominant</w:t>
            </w:r>
          </w:p>
        </w:tc>
        <w:tc>
          <w:tcPr>
            <w:tcW w:w="2026" w:type="dxa"/>
          </w:tcPr>
          <w:p w14:paraId="334AB91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4,319 (41.8)</w:t>
            </w:r>
          </w:p>
        </w:tc>
        <w:tc>
          <w:tcPr>
            <w:tcW w:w="2026" w:type="dxa"/>
          </w:tcPr>
          <w:p w14:paraId="54AA6AE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1,306 (30.2)</w:t>
            </w:r>
          </w:p>
        </w:tc>
        <w:tc>
          <w:tcPr>
            <w:tcW w:w="2027" w:type="dxa"/>
          </w:tcPr>
          <w:p w14:paraId="28D44D2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1.42 (1.28, 1.58)</w:t>
            </w:r>
          </w:p>
        </w:tc>
        <w:tc>
          <w:tcPr>
            <w:tcW w:w="2026" w:type="dxa"/>
          </w:tcPr>
          <w:p w14:paraId="73A0A93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1.31 (1.17, 1.47)</w:t>
            </w:r>
          </w:p>
        </w:tc>
        <w:tc>
          <w:tcPr>
            <w:tcW w:w="2027" w:type="dxa"/>
            <w:noWrap/>
          </w:tcPr>
          <w:p w14:paraId="7588408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4D964372" w14:textId="77777777" w:rsidTr="002D2677">
        <w:trPr>
          <w:trHeight w:val="23"/>
        </w:trPr>
        <w:tc>
          <w:tcPr>
            <w:tcW w:w="3828" w:type="dxa"/>
            <w:noWrap/>
          </w:tcPr>
          <w:p w14:paraId="596E5D96"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Emphysema-dominant</w:t>
            </w:r>
          </w:p>
        </w:tc>
        <w:tc>
          <w:tcPr>
            <w:tcW w:w="2026" w:type="dxa"/>
          </w:tcPr>
          <w:p w14:paraId="7A093C2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2,274 (22.0)</w:t>
            </w:r>
          </w:p>
        </w:tc>
        <w:tc>
          <w:tcPr>
            <w:tcW w:w="2026" w:type="dxa"/>
          </w:tcPr>
          <w:p w14:paraId="4F54826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622 (27.4)</w:t>
            </w:r>
          </w:p>
        </w:tc>
        <w:tc>
          <w:tcPr>
            <w:tcW w:w="2027" w:type="dxa"/>
          </w:tcPr>
          <w:p w14:paraId="781B56B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1.23 (1.09, 1.40)</w:t>
            </w:r>
          </w:p>
        </w:tc>
        <w:tc>
          <w:tcPr>
            <w:tcW w:w="2026" w:type="dxa"/>
          </w:tcPr>
          <w:p w14:paraId="4BDBD97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1.27 (1.12, 1.45)</w:t>
            </w:r>
          </w:p>
        </w:tc>
        <w:tc>
          <w:tcPr>
            <w:tcW w:w="2027" w:type="dxa"/>
            <w:noWrap/>
          </w:tcPr>
          <w:p w14:paraId="4C32A2A4"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21C150A" w14:textId="77777777" w:rsidTr="002D2677">
        <w:trPr>
          <w:trHeight w:val="23"/>
        </w:trPr>
        <w:tc>
          <w:tcPr>
            <w:tcW w:w="3828" w:type="dxa"/>
            <w:noWrap/>
            <w:vAlign w:val="center"/>
          </w:tcPr>
          <w:p w14:paraId="18A64C66"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lastRenderedPageBreak/>
              <w:t>CB and emphysema</w:t>
            </w:r>
          </w:p>
        </w:tc>
        <w:tc>
          <w:tcPr>
            <w:tcW w:w="2026" w:type="dxa"/>
          </w:tcPr>
          <w:p w14:paraId="3ECDB2A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588 (5.7)</w:t>
            </w:r>
          </w:p>
        </w:tc>
        <w:tc>
          <w:tcPr>
            <w:tcW w:w="2026" w:type="dxa"/>
          </w:tcPr>
          <w:p w14:paraId="744C9DF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165 (28.1)</w:t>
            </w:r>
          </w:p>
        </w:tc>
        <w:tc>
          <w:tcPr>
            <w:tcW w:w="2027" w:type="dxa"/>
          </w:tcPr>
          <w:p w14:paraId="3A54137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1.28 (1.05, 1.56)</w:t>
            </w:r>
          </w:p>
        </w:tc>
        <w:tc>
          <w:tcPr>
            <w:tcW w:w="2026" w:type="dxa"/>
          </w:tcPr>
          <w:p w14:paraId="467CCD2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1.53 (1.24, 1.88)</w:t>
            </w:r>
          </w:p>
        </w:tc>
        <w:tc>
          <w:tcPr>
            <w:tcW w:w="2027" w:type="dxa"/>
            <w:noWrap/>
          </w:tcPr>
          <w:p w14:paraId="3CD7E940"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0B3A15F" w14:textId="77777777" w:rsidTr="002D2677">
        <w:trPr>
          <w:trHeight w:val="23"/>
        </w:trPr>
        <w:tc>
          <w:tcPr>
            <w:tcW w:w="3828" w:type="dxa"/>
            <w:noWrap/>
            <w:vAlign w:val="center"/>
          </w:tcPr>
          <w:p w14:paraId="4A6003D6"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Unspecified</w:t>
            </w:r>
          </w:p>
        </w:tc>
        <w:tc>
          <w:tcPr>
            <w:tcW w:w="2026" w:type="dxa"/>
          </w:tcPr>
          <w:p w14:paraId="6080157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3,140 (30.4)</w:t>
            </w:r>
          </w:p>
        </w:tc>
        <w:tc>
          <w:tcPr>
            <w:tcW w:w="2026" w:type="dxa"/>
          </w:tcPr>
          <w:p w14:paraId="2CC43F3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734 (23.4)</w:t>
            </w:r>
          </w:p>
        </w:tc>
        <w:tc>
          <w:tcPr>
            <w:tcW w:w="2027" w:type="dxa"/>
          </w:tcPr>
          <w:p w14:paraId="7FB9D14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169FA39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05545E55"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E91E390" w14:textId="77777777" w:rsidTr="002D2677">
        <w:trPr>
          <w:trHeight w:val="23"/>
        </w:trPr>
        <w:tc>
          <w:tcPr>
            <w:tcW w:w="3828" w:type="dxa"/>
            <w:noWrap/>
            <w:vAlign w:val="center"/>
          </w:tcPr>
          <w:p w14:paraId="56427FB8"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Bronchial asthma</w:t>
            </w:r>
          </w:p>
        </w:tc>
        <w:tc>
          <w:tcPr>
            <w:tcW w:w="2026" w:type="dxa"/>
          </w:tcPr>
          <w:p w14:paraId="502A9740"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noWrap/>
          </w:tcPr>
          <w:p w14:paraId="0CF95130"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3AC573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noWrap/>
          </w:tcPr>
          <w:p w14:paraId="159B6680"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5B7FDD7"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90C4291" w14:textId="77777777" w:rsidTr="002D2677">
        <w:trPr>
          <w:trHeight w:val="23"/>
        </w:trPr>
        <w:tc>
          <w:tcPr>
            <w:tcW w:w="3828" w:type="dxa"/>
            <w:noWrap/>
            <w:vAlign w:val="center"/>
          </w:tcPr>
          <w:p w14:paraId="3DD40FF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0B74312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4,723 (45.8)</w:t>
            </w:r>
          </w:p>
        </w:tc>
        <w:tc>
          <w:tcPr>
            <w:tcW w:w="2026" w:type="dxa"/>
            <w:noWrap/>
          </w:tcPr>
          <w:p w14:paraId="038E32C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1,448 (30.7)</w:t>
            </w:r>
          </w:p>
        </w:tc>
        <w:tc>
          <w:tcPr>
            <w:tcW w:w="2027" w:type="dxa"/>
            <w:noWrap/>
          </w:tcPr>
          <w:p w14:paraId="013FE4E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1.35 (1.24, 1.48)</w:t>
            </w:r>
          </w:p>
        </w:tc>
        <w:tc>
          <w:tcPr>
            <w:tcW w:w="2026" w:type="dxa"/>
            <w:noWrap/>
          </w:tcPr>
          <w:p w14:paraId="0B3E14A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1.26 (1.15, 1.38)</w:t>
            </w:r>
          </w:p>
        </w:tc>
        <w:tc>
          <w:tcPr>
            <w:tcW w:w="2027" w:type="dxa"/>
            <w:noWrap/>
          </w:tcPr>
          <w:p w14:paraId="67AAA86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6219B898" w14:textId="77777777" w:rsidTr="002D2677">
        <w:trPr>
          <w:trHeight w:val="23"/>
        </w:trPr>
        <w:tc>
          <w:tcPr>
            <w:tcW w:w="3828" w:type="dxa"/>
            <w:noWrap/>
            <w:vAlign w:val="center"/>
          </w:tcPr>
          <w:p w14:paraId="0662721F"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09C0C0A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5,598 (54.2)</w:t>
            </w:r>
          </w:p>
        </w:tc>
        <w:tc>
          <w:tcPr>
            <w:tcW w:w="2026" w:type="dxa"/>
            <w:noWrap/>
          </w:tcPr>
          <w:p w14:paraId="42AB21F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1,379 (24.6)</w:t>
            </w:r>
          </w:p>
        </w:tc>
        <w:tc>
          <w:tcPr>
            <w:tcW w:w="2027" w:type="dxa"/>
            <w:noWrap/>
          </w:tcPr>
          <w:p w14:paraId="3A42675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noWrap/>
          </w:tcPr>
          <w:p w14:paraId="2082EB9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5995C7AA"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9BDAB25" w14:textId="77777777" w:rsidTr="002D2677">
        <w:trPr>
          <w:trHeight w:val="23"/>
        </w:trPr>
        <w:tc>
          <w:tcPr>
            <w:tcW w:w="3828" w:type="dxa"/>
            <w:tcBorders>
              <w:top w:val="single" w:sz="4" w:space="0" w:color="auto"/>
            </w:tcBorders>
            <w:vAlign w:val="center"/>
          </w:tcPr>
          <w:p w14:paraId="0FCB9862"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Comorbidities</w:t>
            </w:r>
          </w:p>
        </w:tc>
        <w:tc>
          <w:tcPr>
            <w:tcW w:w="2026" w:type="dxa"/>
            <w:tcBorders>
              <w:top w:val="single" w:sz="4" w:space="0" w:color="auto"/>
            </w:tcBorders>
          </w:tcPr>
          <w:p w14:paraId="10A1901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Borders>
              <w:top w:val="single" w:sz="4" w:space="0" w:color="auto"/>
            </w:tcBorders>
          </w:tcPr>
          <w:p w14:paraId="212092F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Borders>
              <w:top w:val="single" w:sz="4" w:space="0" w:color="auto"/>
            </w:tcBorders>
          </w:tcPr>
          <w:p w14:paraId="79B245A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Borders>
              <w:top w:val="single" w:sz="4" w:space="0" w:color="auto"/>
            </w:tcBorders>
          </w:tcPr>
          <w:p w14:paraId="4726D52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Borders>
              <w:top w:val="single" w:sz="4" w:space="0" w:color="auto"/>
            </w:tcBorders>
            <w:noWrap/>
          </w:tcPr>
          <w:p w14:paraId="37CD4ADC"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56E6B66" w14:textId="77777777" w:rsidTr="002D2677">
        <w:trPr>
          <w:trHeight w:val="23"/>
        </w:trPr>
        <w:tc>
          <w:tcPr>
            <w:tcW w:w="3828" w:type="dxa"/>
            <w:vAlign w:val="center"/>
          </w:tcPr>
          <w:p w14:paraId="5C5B8062"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Allergic comorbidities</w:t>
            </w:r>
          </w:p>
        </w:tc>
        <w:tc>
          <w:tcPr>
            <w:tcW w:w="2026" w:type="dxa"/>
          </w:tcPr>
          <w:p w14:paraId="3D59168E"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DC30F1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5F26C67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6D98864A"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F64B487"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F483FC9" w14:textId="77777777" w:rsidTr="002D2677">
        <w:trPr>
          <w:trHeight w:val="23"/>
        </w:trPr>
        <w:tc>
          <w:tcPr>
            <w:tcW w:w="3828" w:type="dxa"/>
            <w:vAlign w:val="center"/>
          </w:tcPr>
          <w:p w14:paraId="181ADF0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59EBDC0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3,193 (30.9)</w:t>
            </w:r>
          </w:p>
        </w:tc>
        <w:tc>
          <w:tcPr>
            <w:tcW w:w="2026" w:type="dxa"/>
          </w:tcPr>
          <w:p w14:paraId="4863C38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1,005 (31.5)</w:t>
            </w:r>
          </w:p>
        </w:tc>
        <w:tc>
          <w:tcPr>
            <w:tcW w:w="2027" w:type="dxa"/>
          </w:tcPr>
          <w:p w14:paraId="36507EC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1.34 (1.22, 1.47)</w:t>
            </w:r>
          </w:p>
        </w:tc>
        <w:tc>
          <w:tcPr>
            <w:tcW w:w="2026" w:type="dxa"/>
          </w:tcPr>
          <w:p w14:paraId="491CCB1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1.22 (1.11, 1.35)</w:t>
            </w:r>
          </w:p>
        </w:tc>
        <w:tc>
          <w:tcPr>
            <w:tcW w:w="2027" w:type="dxa"/>
            <w:noWrap/>
          </w:tcPr>
          <w:p w14:paraId="70A75A8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292311D5" w14:textId="77777777" w:rsidTr="002D2677">
        <w:trPr>
          <w:trHeight w:val="23"/>
        </w:trPr>
        <w:tc>
          <w:tcPr>
            <w:tcW w:w="3828" w:type="dxa"/>
            <w:vAlign w:val="center"/>
          </w:tcPr>
          <w:p w14:paraId="71C3E6F2"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037FC57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7,128 (69.1)</w:t>
            </w:r>
          </w:p>
        </w:tc>
        <w:tc>
          <w:tcPr>
            <w:tcW w:w="2026" w:type="dxa"/>
          </w:tcPr>
          <w:p w14:paraId="57C6D09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1,822 (25.6)</w:t>
            </w:r>
          </w:p>
        </w:tc>
        <w:tc>
          <w:tcPr>
            <w:tcW w:w="2027" w:type="dxa"/>
          </w:tcPr>
          <w:p w14:paraId="013C84A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09B9A7B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32635E3D"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AE53F3D" w14:textId="77777777" w:rsidTr="002D2677">
        <w:trPr>
          <w:trHeight w:val="23"/>
        </w:trPr>
        <w:tc>
          <w:tcPr>
            <w:tcW w:w="3828" w:type="dxa"/>
            <w:vAlign w:val="center"/>
          </w:tcPr>
          <w:p w14:paraId="416FD509"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Allergic rhinitis</w:t>
            </w:r>
          </w:p>
        </w:tc>
        <w:tc>
          <w:tcPr>
            <w:tcW w:w="2026" w:type="dxa"/>
          </w:tcPr>
          <w:p w14:paraId="7A4C826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6432F67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12261FA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5B991D2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1BFFAEE5"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714F6BF" w14:textId="77777777" w:rsidTr="002D2677">
        <w:trPr>
          <w:trHeight w:val="23"/>
        </w:trPr>
        <w:tc>
          <w:tcPr>
            <w:tcW w:w="3828" w:type="dxa"/>
            <w:noWrap/>
            <w:vAlign w:val="center"/>
          </w:tcPr>
          <w:p w14:paraId="07B7DBE8"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337C177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2,853 (27.6)</w:t>
            </w:r>
          </w:p>
        </w:tc>
        <w:tc>
          <w:tcPr>
            <w:tcW w:w="2026" w:type="dxa"/>
          </w:tcPr>
          <w:p w14:paraId="3A9D154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917 (32.1)</w:t>
            </w:r>
          </w:p>
        </w:tc>
        <w:tc>
          <w:tcPr>
            <w:tcW w:w="2027" w:type="dxa"/>
          </w:tcPr>
          <w:p w14:paraId="374752D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1.38 (1.25, 1.51)</w:t>
            </w:r>
          </w:p>
        </w:tc>
        <w:tc>
          <w:tcPr>
            <w:tcW w:w="2026" w:type="dxa"/>
          </w:tcPr>
          <w:p w14:paraId="4640CA9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1.24 (1.12, 1.37)</w:t>
            </w:r>
          </w:p>
        </w:tc>
        <w:tc>
          <w:tcPr>
            <w:tcW w:w="2027" w:type="dxa"/>
            <w:noWrap/>
          </w:tcPr>
          <w:p w14:paraId="3EA97C5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65A2A38A" w14:textId="77777777" w:rsidTr="002D2677">
        <w:trPr>
          <w:trHeight w:val="23"/>
        </w:trPr>
        <w:tc>
          <w:tcPr>
            <w:tcW w:w="3828" w:type="dxa"/>
            <w:noWrap/>
            <w:vAlign w:val="center"/>
          </w:tcPr>
          <w:p w14:paraId="4A4AB3A2"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2EDA3B2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7,468 (72.4)</w:t>
            </w:r>
          </w:p>
        </w:tc>
        <w:tc>
          <w:tcPr>
            <w:tcW w:w="2026" w:type="dxa"/>
          </w:tcPr>
          <w:p w14:paraId="051CE15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1,910 (25.6)</w:t>
            </w:r>
          </w:p>
        </w:tc>
        <w:tc>
          <w:tcPr>
            <w:tcW w:w="2027" w:type="dxa"/>
          </w:tcPr>
          <w:p w14:paraId="3FFDEF6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0BD6BEC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4861A924"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3A17E29" w14:textId="77777777" w:rsidTr="002D2677">
        <w:trPr>
          <w:trHeight w:val="23"/>
        </w:trPr>
        <w:tc>
          <w:tcPr>
            <w:tcW w:w="3828" w:type="dxa"/>
            <w:noWrap/>
            <w:vAlign w:val="center"/>
          </w:tcPr>
          <w:p w14:paraId="2B68E0B1"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Allergic conjunctivitis</w:t>
            </w:r>
          </w:p>
        </w:tc>
        <w:tc>
          <w:tcPr>
            <w:tcW w:w="2026" w:type="dxa"/>
          </w:tcPr>
          <w:p w14:paraId="7180ADEE"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709D762C"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63CB79C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00BDAF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31DC832F"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6642D14B" w14:textId="77777777" w:rsidTr="002D2677">
        <w:trPr>
          <w:trHeight w:val="23"/>
        </w:trPr>
        <w:tc>
          <w:tcPr>
            <w:tcW w:w="3828" w:type="dxa"/>
            <w:noWrap/>
            <w:vAlign w:val="center"/>
          </w:tcPr>
          <w:p w14:paraId="1571CDC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49F1025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664 (6.4)</w:t>
            </w:r>
          </w:p>
        </w:tc>
        <w:tc>
          <w:tcPr>
            <w:tcW w:w="2026" w:type="dxa"/>
          </w:tcPr>
          <w:p w14:paraId="3DF2DD4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193 (29.1)</w:t>
            </w:r>
          </w:p>
        </w:tc>
        <w:tc>
          <w:tcPr>
            <w:tcW w:w="2027" w:type="dxa"/>
          </w:tcPr>
          <w:p w14:paraId="291EDBC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1.09 (0.92, 1.30)</w:t>
            </w:r>
          </w:p>
        </w:tc>
        <w:tc>
          <w:tcPr>
            <w:tcW w:w="2026" w:type="dxa"/>
          </w:tcPr>
          <w:p w14:paraId="1FE35BD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0.96 (0.80, 1.16)</w:t>
            </w:r>
          </w:p>
        </w:tc>
        <w:tc>
          <w:tcPr>
            <w:tcW w:w="2027" w:type="dxa"/>
            <w:noWrap/>
          </w:tcPr>
          <w:p w14:paraId="7046C6B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0.696</w:t>
            </w:r>
          </w:p>
        </w:tc>
      </w:tr>
      <w:tr w:rsidR="00D250E5" w:rsidRPr="00737A30" w14:paraId="31F56858" w14:textId="77777777" w:rsidTr="002D2677">
        <w:trPr>
          <w:trHeight w:val="23"/>
        </w:trPr>
        <w:tc>
          <w:tcPr>
            <w:tcW w:w="3828" w:type="dxa"/>
            <w:noWrap/>
            <w:vAlign w:val="center"/>
          </w:tcPr>
          <w:p w14:paraId="2C6410AD"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15E07BF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9,657 (93.6)</w:t>
            </w:r>
          </w:p>
        </w:tc>
        <w:tc>
          <w:tcPr>
            <w:tcW w:w="2026" w:type="dxa"/>
          </w:tcPr>
          <w:p w14:paraId="5FFF7DC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2,634 (27.3)</w:t>
            </w:r>
          </w:p>
        </w:tc>
        <w:tc>
          <w:tcPr>
            <w:tcW w:w="2027" w:type="dxa"/>
          </w:tcPr>
          <w:p w14:paraId="6789221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12EDD4A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4903CDA7"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ACF61D8" w14:textId="77777777" w:rsidTr="002D2677">
        <w:trPr>
          <w:trHeight w:val="23"/>
        </w:trPr>
        <w:tc>
          <w:tcPr>
            <w:tcW w:w="3828" w:type="dxa"/>
            <w:noWrap/>
            <w:vAlign w:val="center"/>
          </w:tcPr>
          <w:p w14:paraId="2EB0C84B"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Atopic dermatitis</w:t>
            </w:r>
          </w:p>
        </w:tc>
        <w:tc>
          <w:tcPr>
            <w:tcW w:w="2026" w:type="dxa"/>
          </w:tcPr>
          <w:p w14:paraId="4F00B44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6911934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624C42E4"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2AF09D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30190486"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685018E0" w14:textId="77777777" w:rsidTr="002D2677">
        <w:trPr>
          <w:trHeight w:val="23"/>
        </w:trPr>
        <w:tc>
          <w:tcPr>
            <w:tcW w:w="3828" w:type="dxa"/>
            <w:noWrap/>
            <w:vAlign w:val="center"/>
          </w:tcPr>
          <w:p w14:paraId="10E97B28"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68265F4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207 (2.0)</w:t>
            </w:r>
          </w:p>
        </w:tc>
        <w:tc>
          <w:tcPr>
            <w:tcW w:w="2026" w:type="dxa"/>
          </w:tcPr>
          <w:p w14:paraId="23223E6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72 (34.8)</w:t>
            </w:r>
          </w:p>
        </w:tc>
        <w:tc>
          <w:tcPr>
            <w:tcW w:w="2027" w:type="dxa"/>
          </w:tcPr>
          <w:p w14:paraId="73BFADF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1.42 (1.07, 1.90)</w:t>
            </w:r>
          </w:p>
        </w:tc>
        <w:tc>
          <w:tcPr>
            <w:tcW w:w="2026" w:type="dxa"/>
          </w:tcPr>
          <w:p w14:paraId="1B817BF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1.36 (1.00, 1.84)</w:t>
            </w:r>
          </w:p>
        </w:tc>
        <w:tc>
          <w:tcPr>
            <w:tcW w:w="2027" w:type="dxa"/>
            <w:noWrap/>
          </w:tcPr>
          <w:p w14:paraId="517DF5E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0.052</w:t>
            </w:r>
          </w:p>
        </w:tc>
      </w:tr>
      <w:tr w:rsidR="00D250E5" w:rsidRPr="00737A30" w14:paraId="77937423" w14:textId="77777777" w:rsidTr="002D2677">
        <w:trPr>
          <w:trHeight w:val="23"/>
        </w:trPr>
        <w:tc>
          <w:tcPr>
            <w:tcW w:w="3828" w:type="dxa"/>
            <w:noWrap/>
            <w:vAlign w:val="center"/>
          </w:tcPr>
          <w:p w14:paraId="63D747C7"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54E9878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10,114 (98.0)</w:t>
            </w:r>
          </w:p>
        </w:tc>
        <w:tc>
          <w:tcPr>
            <w:tcW w:w="2026" w:type="dxa"/>
          </w:tcPr>
          <w:p w14:paraId="1E01A8B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2,755 (27.2)</w:t>
            </w:r>
          </w:p>
        </w:tc>
        <w:tc>
          <w:tcPr>
            <w:tcW w:w="2027" w:type="dxa"/>
          </w:tcPr>
          <w:p w14:paraId="40B1C6A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7F1DBBA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32B57D44"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567A194" w14:textId="77777777" w:rsidTr="002D2677">
        <w:trPr>
          <w:trHeight w:val="23"/>
        </w:trPr>
        <w:tc>
          <w:tcPr>
            <w:tcW w:w="3828" w:type="dxa"/>
            <w:noWrap/>
            <w:vAlign w:val="center"/>
          </w:tcPr>
          <w:p w14:paraId="6EDB6C21"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Eosinophilic sinusitis</w:t>
            </w:r>
          </w:p>
        </w:tc>
        <w:tc>
          <w:tcPr>
            <w:tcW w:w="2026" w:type="dxa"/>
          </w:tcPr>
          <w:p w14:paraId="72D0334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384C56C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63A8FED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6546021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49CBAAE3"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6F2E180" w14:textId="77777777" w:rsidTr="002D2677">
        <w:trPr>
          <w:trHeight w:val="23"/>
        </w:trPr>
        <w:tc>
          <w:tcPr>
            <w:tcW w:w="3828" w:type="dxa"/>
            <w:noWrap/>
            <w:vAlign w:val="center"/>
          </w:tcPr>
          <w:p w14:paraId="13AE7FD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286A084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24 (0.2)</w:t>
            </w:r>
          </w:p>
        </w:tc>
        <w:tc>
          <w:tcPr>
            <w:tcW w:w="2026" w:type="dxa"/>
          </w:tcPr>
          <w:p w14:paraId="06CBA09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 (37.5)</w:t>
            </w:r>
          </w:p>
        </w:tc>
        <w:tc>
          <w:tcPr>
            <w:tcW w:w="2027" w:type="dxa"/>
          </w:tcPr>
          <w:p w14:paraId="4CDBDDA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1.59 (0.70, 3.64)</w:t>
            </w:r>
          </w:p>
        </w:tc>
        <w:tc>
          <w:tcPr>
            <w:tcW w:w="2026" w:type="dxa"/>
          </w:tcPr>
          <w:p w14:paraId="29D316A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1.09 (0.47, 2.56)</w:t>
            </w:r>
          </w:p>
        </w:tc>
        <w:tc>
          <w:tcPr>
            <w:tcW w:w="2027" w:type="dxa"/>
            <w:noWrap/>
          </w:tcPr>
          <w:p w14:paraId="2217D27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0.837</w:t>
            </w:r>
          </w:p>
        </w:tc>
      </w:tr>
      <w:tr w:rsidR="00D250E5" w:rsidRPr="00737A30" w14:paraId="0A97815A" w14:textId="77777777" w:rsidTr="002D2677">
        <w:trPr>
          <w:trHeight w:val="23"/>
        </w:trPr>
        <w:tc>
          <w:tcPr>
            <w:tcW w:w="3828" w:type="dxa"/>
            <w:noWrap/>
            <w:vAlign w:val="center"/>
          </w:tcPr>
          <w:p w14:paraId="2EC1A80B"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56587ED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10,297 (99.8)</w:t>
            </w:r>
          </w:p>
        </w:tc>
        <w:tc>
          <w:tcPr>
            <w:tcW w:w="2026" w:type="dxa"/>
          </w:tcPr>
          <w:p w14:paraId="1C06FDF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2,818 (27.4)</w:t>
            </w:r>
          </w:p>
        </w:tc>
        <w:tc>
          <w:tcPr>
            <w:tcW w:w="2027" w:type="dxa"/>
          </w:tcPr>
          <w:p w14:paraId="53488F0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21A37A7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179D5A22"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E158B0E" w14:textId="77777777" w:rsidTr="002D2677">
        <w:trPr>
          <w:trHeight w:val="23"/>
        </w:trPr>
        <w:tc>
          <w:tcPr>
            <w:tcW w:w="3828" w:type="dxa"/>
            <w:noWrap/>
            <w:vAlign w:val="center"/>
          </w:tcPr>
          <w:p w14:paraId="714A199B"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Chronic sinusitis</w:t>
            </w:r>
          </w:p>
        </w:tc>
        <w:tc>
          <w:tcPr>
            <w:tcW w:w="2026" w:type="dxa"/>
          </w:tcPr>
          <w:p w14:paraId="42C54D30"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62F0A4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75A9DF1E"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0E16AE0"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32CDD949"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24B95CA" w14:textId="77777777" w:rsidTr="002D2677">
        <w:trPr>
          <w:trHeight w:val="23"/>
        </w:trPr>
        <w:tc>
          <w:tcPr>
            <w:tcW w:w="3828" w:type="dxa"/>
            <w:noWrap/>
            <w:vAlign w:val="center"/>
          </w:tcPr>
          <w:p w14:paraId="3B846124"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608F7FB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1,171 (11.3)</w:t>
            </w:r>
          </w:p>
        </w:tc>
        <w:tc>
          <w:tcPr>
            <w:tcW w:w="2026" w:type="dxa"/>
          </w:tcPr>
          <w:p w14:paraId="7C24517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352 (30.1)</w:t>
            </w:r>
          </w:p>
        </w:tc>
        <w:tc>
          <w:tcPr>
            <w:tcW w:w="2027" w:type="dxa"/>
          </w:tcPr>
          <w:p w14:paraId="18556FD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1.16 (1.01, 1.32)</w:t>
            </w:r>
          </w:p>
        </w:tc>
        <w:tc>
          <w:tcPr>
            <w:tcW w:w="2026" w:type="dxa"/>
          </w:tcPr>
          <w:p w14:paraId="20AF398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1.10 (0.95, 1.26)</w:t>
            </w:r>
          </w:p>
        </w:tc>
        <w:tc>
          <w:tcPr>
            <w:tcW w:w="2027" w:type="dxa"/>
            <w:noWrap/>
          </w:tcPr>
          <w:p w14:paraId="7D3EEE5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0.194</w:t>
            </w:r>
          </w:p>
        </w:tc>
      </w:tr>
      <w:tr w:rsidR="00D250E5" w:rsidRPr="00737A30" w14:paraId="56A49629" w14:textId="77777777" w:rsidTr="002D2677">
        <w:trPr>
          <w:trHeight w:val="23"/>
        </w:trPr>
        <w:tc>
          <w:tcPr>
            <w:tcW w:w="3828" w:type="dxa"/>
            <w:noWrap/>
            <w:vAlign w:val="center"/>
          </w:tcPr>
          <w:p w14:paraId="58BE5A25"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19952FB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9,150 (88.7)</w:t>
            </w:r>
          </w:p>
        </w:tc>
        <w:tc>
          <w:tcPr>
            <w:tcW w:w="2026" w:type="dxa"/>
          </w:tcPr>
          <w:p w14:paraId="0B540CA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2,475 (27.0)</w:t>
            </w:r>
          </w:p>
        </w:tc>
        <w:tc>
          <w:tcPr>
            <w:tcW w:w="2027" w:type="dxa"/>
          </w:tcPr>
          <w:p w14:paraId="3276D4C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13CD121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3D3C8AC6"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1D82CE3" w14:textId="77777777" w:rsidTr="002D2677">
        <w:trPr>
          <w:trHeight w:val="23"/>
        </w:trPr>
        <w:tc>
          <w:tcPr>
            <w:tcW w:w="3828" w:type="dxa"/>
            <w:noWrap/>
            <w:vAlign w:val="center"/>
          </w:tcPr>
          <w:p w14:paraId="032180A2"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Bronchiectasis</w:t>
            </w:r>
          </w:p>
        </w:tc>
        <w:tc>
          <w:tcPr>
            <w:tcW w:w="2026" w:type="dxa"/>
          </w:tcPr>
          <w:p w14:paraId="3750833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6C7CACD"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59BBECD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978FFA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1F5129F"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313AB0A" w14:textId="77777777" w:rsidTr="002D2677">
        <w:trPr>
          <w:trHeight w:val="23"/>
        </w:trPr>
        <w:tc>
          <w:tcPr>
            <w:tcW w:w="3828" w:type="dxa"/>
            <w:noWrap/>
            <w:vAlign w:val="center"/>
          </w:tcPr>
          <w:p w14:paraId="1D3ED31D"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0E35C06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323 (3.1)</w:t>
            </w:r>
          </w:p>
        </w:tc>
        <w:tc>
          <w:tcPr>
            <w:tcW w:w="2026" w:type="dxa"/>
          </w:tcPr>
          <w:p w14:paraId="3F23D49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108 (33.4)</w:t>
            </w:r>
          </w:p>
        </w:tc>
        <w:tc>
          <w:tcPr>
            <w:tcW w:w="2027" w:type="dxa"/>
          </w:tcPr>
          <w:p w14:paraId="5CA05BA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1.34 (1.06, 1.70)</w:t>
            </w:r>
          </w:p>
        </w:tc>
        <w:tc>
          <w:tcPr>
            <w:tcW w:w="2026" w:type="dxa"/>
          </w:tcPr>
          <w:p w14:paraId="0EE926F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1.44 (1.12, 1.85)</w:t>
            </w:r>
          </w:p>
        </w:tc>
        <w:tc>
          <w:tcPr>
            <w:tcW w:w="2027" w:type="dxa"/>
            <w:noWrap/>
          </w:tcPr>
          <w:p w14:paraId="2188403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0.005</w:t>
            </w:r>
          </w:p>
        </w:tc>
      </w:tr>
      <w:tr w:rsidR="00D250E5" w:rsidRPr="00737A30" w14:paraId="3C63CD3D" w14:textId="77777777" w:rsidTr="002D2677">
        <w:trPr>
          <w:trHeight w:val="23"/>
        </w:trPr>
        <w:tc>
          <w:tcPr>
            <w:tcW w:w="3828" w:type="dxa"/>
            <w:noWrap/>
            <w:vAlign w:val="center"/>
          </w:tcPr>
          <w:p w14:paraId="24954F3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0F0BB2E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9,998 (96.9)</w:t>
            </w:r>
          </w:p>
        </w:tc>
        <w:tc>
          <w:tcPr>
            <w:tcW w:w="2026" w:type="dxa"/>
          </w:tcPr>
          <w:p w14:paraId="4EDAA62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2,719 (27.2)</w:t>
            </w:r>
          </w:p>
        </w:tc>
        <w:tc>
          <w:tcPr>
            <w:tcW w:w="2027" w:type="dxa"/>
          </w:tcPr>
          <w:p w14:paraId="3523F68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3FB5C89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3BDD85D3"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F5D5CE6" w14:textId="77777777" w:rsidTr="002D2677">
        <w:trPr>
          <w:trHeight w:val="23"/>
        </w:trPr>
        <w:tc>
          <w:tcPr>
            <w:tcW w:w="3828" w:type="dxa"/>
            <w:noWrap/>
            <w:vAlign w:val="center"/>
          </w:tcPr>
          <w:p w14:paraId="5BC571FA"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Interstitial pneumonia</w:t>
            </w:r>
          </w:p>
        </w:tc>
        <w:tc>
          <w:tcPr>
            <w:tcW w:w="2026" w:type="dxa"/>
          </w:tcPr>
          <w:p w14:paraId="40B2755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94C4534"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1E079104"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35317FA"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45CB9D46"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B0CF888" w14:textId="77777777" w:rsidTr="002D2677">
        <w:trPr>
          <w:trHeight w:val="23"/>
        </w:trPr>
        <w:tc>
          <w:tcPr>
            <w:tcW w:w="3828" w:type="dxa"/>
            <w:noWrap/>
            <w:vAlign w:val="center"/>
          </w:tcPr>
          <w:p w14:paraId="2BC1AE8F"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405276F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1,039 (10.1)</w:t>
            </w:r>
          </w:p>
        </w:tc>
        <w:tc>
          <w:tcPr>
            <w:tcW w:w="2026" w:type="dxa"/>
          </w:tcPr>
          <w:p w14:paraId="36AAEBD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272 (26.2)</w:t>
            </w:r>
          </w:p>
        </w:tc>
        <w:tc>
          <w:tcPr>
            <w:tcW w:w="2027" w:type="dxa"/>
          </w:tcPr>
          <w:p w14:paraId="5625CE6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0.93 (0.81, 1.08)</w:t>
            </w:r>
          </w:p>
        </w:tc>
        <w:tc>
          <w:tcPr>
            <w:tcW w:w="2026" w:type="dxa"/>
          </w:tcPr>
          <w:p w14:paraId="036CFE1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1.03 (0.89, 1.20)</w:t>
            </w:r>
          </w:p>
        </w:tc>
        <w:tc>
          <w:tcPr>
            <w:tcW w:w="2027" w:type="dxa"/>
            <w:noWrap/>
          </w:tcPr>
          <w:p w14:paraId="075CB80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0.684</w:t>
            </w:r>
          </w:p>
        </w:tc>
      </w:tr>
      <w:tr w:rsidR="00D250E5" w:rsidRPr="00737A30" w14:paraId="1B4035C7" w14:textId="77777777" w:rsidTr="002D2677">
        <w:trPr>
          <w:trHeight w:val="23"/>
        </w:trPr>
        <w:tc>
          <w:tcPr>
            <w:tcW w:w="3828" w:type="dxa"/>
            <w:noWrap/>
            <w:vAlign w:val="center"/>
          </w:tcPr>
          <w:p w14:paraId="0BA722EC"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25F35CF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9,282 (89.9)</w:t>
            </w:r>
          </w:p>
        </w:tc>
        <w:tc>
          <w:tcPr>
            <w:tcW w:w="2026" w:type="dxa"/>
          </w:tcPr>
          <w:p w14:paraId="0442A0D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2,555 (27.5)</w:t>
            </w:r>
          </w:p>
        </w:tc>
        <w:tc>
          <w:tcPr>
            <w:tcW w:w="2027" w:type="dxa"/>
          </w:tcPr>
          <w:p w14:paraId="0B22010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328EFD2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3291B7AD"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3BE7A12" w14:textId="77777777" w:rsidTr="002D2677">
        <w:trPr>
          <w:trHeight w:val="23"/>
        </w:trPr>
        <w:tc>
          <w:tcPr>
            <w:tcW w:w="3828" w:type="dxa"/>
            <w:noWrap/>
            <w:vAlign w:val="center"/>
          </w:tcPr>
          <w:p w14:paraId="095BC32D"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Lung cancer</w:t>
            </w:r>
          </w:p>
        </w:tc>
        <w:tc>
          <w:tcPr>
            <w:tcW w:w="2026" w:type="dxa"/>
          </w:tcPr>
          <w:p w14:paraId="205B4B7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696A33CC"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2A51FBB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63276D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790519DF"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93DDB29" w14:textId="77777777" w:rsidTr="002D2677">
        <w:trPr>
          <w:trHeight w:val="23"/>
        </w:trPr>
        <w:tc>
          <w:tcPr>
            <w:tcW w:w="3828" w:type="dxa"/>
            <w:noWrap/>
            <w:vAlign w:val="center"/>
          </w:tcPr>
          <w:p w14:paraId="4D5DDA55"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248DC7E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2,059 (19.9)</w:t>
            </w:r>
          </w:p>
        </w:tc>
        <w:tc>
          <w:tcPr>
            <w:tcW w:w="2026" w:type="dxa"/>
          </w:tcPr>
          <w:p w14:paraId="6E3A6DF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436 (21.2)</w:t>
            </w:r>
          </w:p>
        </w:tc>
        <w:tc>
          <w:tcPr>
            <w:tcW w:w="2027" w:type="dxa"/>
          </w:tcPr>
          <w:p w14:paraId="5298708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0.66 (0.59, 0.74)</w:t>
            </w:r>
          </w:p>
        </w:tc>
        <w:tc>
          <w:tcPr>
            <w:tcW w:w="2026" w:type="dxa"/>
          </w:tcPr>
          <w:p w14:paraId="3D22751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0.79 (0.70, 0.89)</w:t>
            </w:r>
          </w:p>
        </w:tc>
        <w:tc>
          <w:tcPr>
            <w:tcW w:w="2027" w:type="dxa"/>
            <w:noWrap/>
          </w:tcPr>
          <w:p w14:paraId="6DF3B39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74330558" w14:textId="77777777" w:rsidTr="002D2677">
        <w:trPr>
          <w:trHeight w:val="23"/>
        </w:trPr>
        <w:tc>
          <w:tcPr>
            <w:tcW w:w="3828" w:type="dxa"/>
            <w:noWrap/>
            <w:vAlign w:val="center"/>
          </w:tcPr>
          <w:p w14:paraId="150D810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421A8CF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8,262 (80.1)</w:t>
            </w:r>
          </w:p>
        </w:tc>
        <w:tc>
          <w:tcPr>
            <w:tcW w:w="2026" w:type="dxa"/>
          </w:tcPr>
          <w:p w14:paraId="0F9E501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2,391 (28.9)</w:t>
            </w:r>
          </w:p>
        </w:tc>
        <w:tc>
          <w:tcPr>
            <w:tcW w:w="2027" w:type="dxa"/>
          </w:tcPr>
          <w:p w14:paraId="47729DC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131CA47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4CDDCDF5"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428ACDA" w14:textId="77777777" w:rsidTr="002D2677">
        <w:trPr>
          <w:trHeight w:val="23"/>
        </w:trPr>
        <w:tc>
          <w:tcPr>
            <w:tcW w:w="3828" w:type="dxa"/>
            <w:noWrap/>
            <w:vAlign w:val="center"/>
          </w:tcPr>
          <w:p w14:paraId="6460FCE6"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Hypercapnia</w:t>
            </w:r>
          </w:p>
        </w:tc>
        <w:tc>
          <w:tcPr>
            <w:tcW w:w="2026" w:type="dxa"/>
          </w:tcPr>
          <w:p w14:paraId="77D2EE2D"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72082064"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3CCF99D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034D63D0"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4AFAD776"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FE6FD07" w14:textId="77777777" w:rsidTr="002D2677">
        <w:trPr>
          <w:trHeight w:val="23"/>
        </w:trPr>
        <w:tc>
          <w:tcPr>
            <w:tcW w:w="3828" w:type="dxa"/>
            <w:noWrap/>
            <w:vAlign w:val="center"/>
          </w:tcPr>
          <w:p w14:paraId="777BEFA6"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68A5A5F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43 (0.4)</w:t>
            </w:r>
          </w:p>
        </w:tc>
        <w:tc>
          <w:tcPr>
            <w:tcW w:w="2026" w:type="dxa"/>
          </w:tcPr>
          <w:p w14:paraId="35DC0B7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 (20.9)</w:t>
            </w:r>
          </w:p>
        </w:tc>
        <w:tc>
          <w:tcPr>
            <w:tcW w:w="2027" w:type="dxa"/>
          </w:tcPr>
          <w:p w14:paraId="55B0597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0.70 (0.34, 1.46)</w:t>
            </w:r>
          </w:p>
        </w:tc>
        <w:tc>
          <w:tcPr>
            <w:tcW w:w="2026" w:type="dxa"/>
          </w:tcPr>
          <w:p w14:paraId="69656C3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0.84 (0.38, 1.82)</w:t>
            </w:r>
          </w:p>
        </w:tc>
        <w:tc>
          <w:tcPr>
            <w:tcW w:w="2027" w:type="dxa"/>
            <w:noWrap/>
          </w:tcPr>
          <w:p w14:paraId="72F5847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0.653</w:t>
            </w:r>
          </w:p>
        </w:tc>
      </w:tr>
      <w:tr w:rsidR="00D250E5" w:rsidRPr="00737A30" w14:paraId="737580F5" w14:textId="77777777" w:rsidTr="002D2677">
        <w:trPr>
          <w:trHeight w:val="23"/>
        </w:trPr>
        <w:tc>
          <w:tcPr>
            <w:tcW w:w="3828" w:type="dxa"/>
            <w:noWrap/>
            <w:vAlign w:val="center"/>
          </w:tcPr>
          <w:p w14:paraId="6B85D9DF"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lastRenderedPageBreak/>
              <w:t>No</w:t>
            </w:r>
          </w:p>
        </w:tc>
        <w:tc>
          <w:tcPr>
            <w:tcW w:w="2026" w:type="dxa"/>
          </w:tcPr>
          <w:p w14:paraId="0904222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10,278 (99.6)</w:t>
            </w:r>
          </w:p>
        </w:tc>
        <w:tc>
          <w:tcPr>
            <w:tcW w:w="2026" w:type="dxa"/>
          </w:tcPr>
          <w:p w14:paraId="7E9FA3A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2,818 (27.4)</w:t>
            </w:r>
          </w:p>
        </w:tc>
        <w:tc>
          <w:tcPr>
            <w:tcW w:w="2027" w:type="dxa"/>
          </w:tcPr>
          <w:p w14:paraId="4D5674A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08C5A74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21AFE1C8"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51CF01C" w14:textId="77777777" w:rsidTr="002D2677">
        <w:trPr>
          <w:trHeight w:val="23"/>
        </w:trPr>
        <w:tc>
          <w:tcPr>
            <w:tcW w:w="3828" w:type="dxa"/>
            <w:noWrap/>
            <w:vAlign w:val="center"/>
          </w:tcPr>
          <w:p w14:paraId="7DE125E5"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Pulmonary hypertension</w:t>
            </w:r>
          </w:p>
        </w:tc>
        <w:tc>
          <w:tcPr>
            <w:tcW w:w="2026" w:type="dxa"/>
          </w:tcPr>
          <w:p w14:paraId="4177BBCD"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96C79D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418A38A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6EACC79E"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7572EDE2"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FD57057" w14:textId="77777777" w:rsidTr="002D2677">
        <w:trPr>
          <w:trHeight w:val="23"/>
        </w:trPr>
        <w:tc>
          <w:tcPr>
            <w:tcW w:w="3828" w:type="dxa"/>
            <w:noWrap/>
            <w:vAlign w:val="center"/>
          </w:tcPr>
          <w:p w14:paraId="5234497F"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3AF4797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152 (1.5)</w:t>
            </w:r>
          </w:p>
        </w:tc>
        <w:tc>
          <w:tcPr>
            <w:tcW w:w="2026" w:type="dxa"/>
          </w:tcPr>
          <w:p w14:paraId="4FE5568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42 (27.6)</w:t>
            </w:r>
          </w:p>
        </w:tc>
        <w:tc>
          <w:tcPr>
            <w:tcW w:w="2027" w:type="dxa"/>
          </w:tcPr>
          <w:p w14:paraId="2C36242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 (0.71, 1.45)</w:t>
            </w:r>
          </w:p>
        </w:tc>
        <w:tc>
          <w:tcPr>
            <w:tcW w:w="2026" w:type="dxa"/>
          </w:tcPr>
          <w:p w14:paraId="3415F09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1.06 (0.73, 1.55)</w:t>
            </w:r>
          </w:p>
        </w:tc>
        <w:tc>
          <w:tcPr>
            <w:tcW w:w="2027" w:type="dxa"/>
            <w:noWrap/>
          </w:tcPr>
          <w:p w14:paraId="48BAC2F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0.756</w:t>
            </w:r>
          </w:p>
        </w:tc>
      </w:tr>
      <w:tr w:rsidR="00D250E5" w:rsidRPr="00737A30" w14:paraId="163898EE" w14:textId="77777777" w:rsidTr="002D2677">
        <w:trPr>
          <w:trHeight w:val="23"/>
        </w:trPr>
        <w:tc>
          <w:tcPr>
            <w:tcW w:w="3828" w:type="dxa"/>
            <w:noWrap/>
            <w:vAlign w:val="center"/>
          </w:tcPr>
          <w:p w14:paraId="7A439CCF"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0EE39DE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10,169 (98.5)</w:t>
            </w:r>
          </w:p>
        </w:tc>
        <w:tc>
          <w:tcPr>
            <w:tcW w:w="2026" w:type="dxa"/>
          </w:tcPr>
          <w:p w14:paraId="4D2E2FC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2,785 (27.4)</w:t>
            </w:r>
          </w:p>
        </w:tc>
        <w:tc>
          <w:tcPr>
            <w:tcW w:w="2027" w:type="dxa"/>
          </w:tcPr>
          <w:p w14:paraId="7FEC360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23E21FC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34EA2921"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09FA055" w14:textId="77777777" w:rsidTr="002D2677">
        <w:trPr>
          <w:trHeight w:val="23"/>
        </w:trPr>
        <w:tc>
          <w:tcPr>
            <w:tcW w:w="3828" w:type="dxa"/>
            <w:noWrap/>
            <w:vAlign w:val="center"/>
          </w:tcPr>
          <w:p w14:paraId="144F8FF2"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Pulmonary embolism</w:t>
            </w:r>
          </w:p>
        </w:tc>
        <w:tc>
          <w:tcPr>
            <w:tcW w:w="2026" w:type="dxa"/>
          </w:tcPr>
          <w:p w14:paraId="4B51F434"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2125F0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35D5991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5E5DFA1D"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6511BAD"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A48650E" w14:textId="77777777" w:rsidTr="002D2677">
        <w:trPr>
          <w:trHeight w:val="23"/>
        </w:trPr>
        <w:tc>
          <w:tcPr>
            <w:tcW w:w="3828" w:type="dxa"/>
            <w:noWrap/>
            <w:vAlign w:val="center"/>
          </w:tcPr>
          <w:p w14:paraId="06D6804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6E02C08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113 (1.1)</w:t>
            </w:r>
          </w:p>
        </w:tc>
        <w:tc>
          <w:tcPr>
            <w:tcW w:w="2026" w:type="dxa"/>
          </w:tcPr>
          <w:p w14:paraId="7AA1305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24 (21.2)</w:t>
            </w:r>
          </w:p>
        </w:tc>
        <w:tc>
          <w:tcPr>
            <w:tcW w:w="2027" w:type="dxa"/>
          </w:tcPr>
          <w:p w14:paraId="14C805F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0.71 (0.45, 1.12)</w:t>
            </w:r>
          </w:p>
        </w:tc>
        <w:tc>
          <w:tcPr>
            <w:tcW w:w="2026" w:type="dxa"/>
          </w:tcPr>
          <w:p w14:paraId="5899D3E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0.74 (0.46, 1.19)</w:t>
            </w:r>
          </w:p>
        </w:tc>
        <w:tc>
          <w:tcPr>
            <w:tcW w:w="2027" w:type="dxa"/>
            <w:noWrap/>
          </w:tcPr>
          <w:p w14:paraId="2062684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0.213</w:t>
            </w:r>
          </w:p>
        </w:tc>
      </w:tr>
      <w:tr w:rsidR="00D250E5" w:rsidRPr="00737A30" w14:paraId="798E2CEF" w14:textId="77777777" w:rsidTr="002D2677">
        <w:trPr>
          <w:trHeight w:val="23"/>
        </w:trPr>
        <w:tc>
          <w:tcPr>
            <w:tcW w:w="3828" w:type="dxa"/>
            <w:noWrap/>
            <w:vAlign w:val="center"/>
          </w:tcPr>
          <w:p w14:paraId="4659B96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7B2B87C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10,208 (98.9)</w:t>
            </w:r>
          </w:p>
        </w:tc>
        <w:tc>
          <w:tcPr>
            <w:tcW w:w="2026" w:type="dxa"/>
          </w:tcPr>
          <w:p w14:paraId="5005B15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2,803 (27.5)</w:t>
            </w:r>
          </w:p>
        </w:tc>
        <w:tc>
          <w:tcPr>
            <w:tcW w:w="2027" w:type="dxa"/>
          </w:tcPr>
          <w:p w14:paraId="0570555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4187513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7F444814"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B3EA4F2" w14:textId="77777777" w:rsidTr="002D2677">
        <w:trPr>
          <w:trHeight w:val="23"/>
        </w:trPr>
        <w:tc>
          <w:tcPr>
            <w:tcW w:w="3828" w:type="dxa"/>
            <w:noWrap/>
            <w:vAlign w:val="center"/>
          </w:tcPr>
          <w:p w14:paraId="5E5ECED3"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Diabetes mellitus</w:t>
            </w:r>
          </w:p>
        </w:tc>
        <w:tc>
          <w:tcPr>
            <w:tcW w:w="2026" w:type="dxa"/>
          </w:tcPr>
          <w:p w14:paraId="7631542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5D777F9D"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4C67A3A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3EFDC33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2836D964"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F516C51" w14:textId="77777777" w:rsidTr="002D2677">
        <w:trPr>
          <w:trHeight w:val="23"/>
        </w:trPr>
        <w:tc>
          <w:tcPr>
            <w:tcW w:w="3828" w:type="dxa"/>
            <w:noWrap/>
            <w:vAlign w:val="center"/>
          </w:tcPr>
          <w:p w14:paraId="0D4ACD08"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09A85BB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4,983 (48.3)</w:t>
            </w:r>
          </w:p>
        </w:tc>
        <w:tc>
          <w:tcPr>
            <w:tcW w:w="2026" w:type="dxa"/>
          </w:tcPr>
          <w:p w14:paraId="1AD32A9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1,220 (24.5)</w:t>
            </w:r>
          </w:p>
        </w:tc>
        <w:tc>
          <w:tcPr>
            <w:tcW w:w="2027" w:type="dxa"/>
          </w:tcPr>
          <w:p w14:paraId="3216862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0.75 (0.69, 0.82)</w:t>
            </w:r>
          </w:p>
        </w:tc>
        <w:tc>
          <w:tcPr>
            <w:tcW w:w="2026" w:type="dxa"/>
          </w:tcPr>
          <w:p w14:paraId="25264E9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0.80 (0.73, 0.87)</w:t>
            </w:r>
          </w:p>
        </w:tc>
        <w:tc>
          <w:tcPr>
            <w:tcW w:w="2027" w:type="dxa"/>
            <w:noWrap/>
          </w:tcPr>
          <w:p w14:paraId="49A162A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083B9D7C" w14:textId="77777777" w:rsidTr="002D2677">
        <w:trPr>
          <w:trHeight w:val="23"/>
        </w:trPr>
        <w:tc>
          <w:tcPr>
            <w:tcW w:w="3828" w:type="dxa"/>
            <w:noWrap/>
            <w:vAlign w:val="center"/>
          </w:tcPr>
          <w:p w14:paraId="01B5314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1F2F253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5,338 (51.7)</w:t>
            </w:r>
          </w:p>
        </w:tc>
        <w:tc>
          <w:tcPr>
            <w:tcW w:w="2026" w:type="dxa"/>
          </w:tcPr>
          <w:p w14:paraId="6EB374F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1,607 (30.1)</w:t>
            </w:r>
          </w:p>
        </w:tc>
        <w:tc>
          <w:tcPr>
            <w:tcW w:w="2027" w:type="dxa"/>
          </w:tcPr>
          <w:p w14:paraId="759B0B3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580ADF0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341AEE7A"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61A1454F" w14:textId="77777777" w:rsidTr="002D2677">
        <w:trPr>
          <w:trHeight w:val="23"/>
        </w:trPr>
        <w:tc>
          <w:tcPr>
            <w:tcW w:w="3828" w:type="dxa"/>
            <w:noWrap/>
            <w:vAlign w:val="center"/>
          </w:tcPr>
          <w:p w14:paraId="72154562"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Hypertension</w:t>
            </w:r>
          </w:p>
        </w:tc>
        <w:tc>
          <w:tcPr>
            <w:tcW w:w="2026" w:type="dxa"/>
          </w:tcPr>
          <w:p w14:paraId="3513A84E"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4E2C7ACC"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1B6FC25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9807D5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41547F37"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9678E1E" w14:textId="77777777" w:rsidTr="002D2677">
        <w:trPr>
          <w:trHeight w:val="23"/>
        </w:trPr>
        <w:tc>
          <w:tcPr>
            <w:tcW w:w="3828" w:type="dxa"/>
            <w:noWrap/>
            <w:vAlign w:val="center"/>
          </w:tcPr>
          <w:p w14:paraId="02ECC9DC"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5108AE7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6,412 (62.1)</w:t>
            </w:r>
          </w:p>
        </w:tc>
        <w:tc>
          <w:tcPr>
            <w:tcW w:w="2026" w:type="dxa"/>
          </w:tcPr>
          <w:p w14:paraId="55194E1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1,548 (24.1)</w:t>
            </w:r>
          </w:p>
        </w:tc>
        <w:tc>
          <w:tcPr>
            <w:tcW w:w="2027" w:type="dxa"/>
          </w:tcPr>
          <w:p w14:paraId="46D5B0C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0.65 (0.60, 0.71)</w:t>
            </w:r>
          </w:p>
        </w:tc>
        <w:tc>
          <w:tcPr>
            <w:tcW w:w="2026" w:type="dxa"/>
          </w:tcPr>
          <w:p w14:paraId="0EECB09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0.69 (0.63, 0.76)</w:t>
            </w:r>
          </w:p>
        </w:tc>
        <w:tc>
          <w:tcPr>
            <w:tcW w:w="2027" w:type="dxa"/>
            <w:noWrap/>
          </w:tcPr>
          <w:p w14:paraId="294078D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1B05138B" w14:textId="77777777" w:rsidTr="002D2677">
        <w:trPr>
          <w:trHeight w:val="23"/>
        </w:trPr>
        <w:tc>
          <w:tcPr>
            <w:tcW w:w="3828" w:type="dxa"/>
            <w:noWrap/>
            <w:vAlign w:val="center"/>
          </w:tcPr>
          <w:p w14:paraId="04C3E47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6A20CC0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3,909 (37.9)</w:t>
            </w:r>
          </w:p>
        </w:tc>
        <w:tc>
          <w:tcPr>
            <w:tcW w:w="2026" w:type="dxa"/>
          </w:tcPr>
          <w:p w14:paraId="0740DD4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1,279 (32.7)</w:t>
            </w:r>
          </w:p>
        </w:tc>
        <w:tc>
          <w:tcPr>
            <w:tcW w:w="2027" w:type="dxa"/>
          </w:tcPr>
          <w:p w14:paraId="5E74A18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3B65007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2CCEF7CC"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C056942" w14:textId="77777777" w:rsidTr="002D2677">
        <w:trPr>
          <w:trHeight w:val="23"/>
        </w:trPr>
        <w:tc>
          <w:tcPr>
            <w:tcW w:w="3828" w:type="dxa"/>
            <w:noWrap/>
            <w:vAlign w:val="center"/>
          </w:tcPr>
          <w:p w14:paraId="2CCB8B72"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Hyperlipidemia</w:t>
            </w:r>
          </w:p>
        </w:tc>
        <w:tc>
          <w:tcPr>
            <w:tcW w:w="2026" w:type="dxa"/>
          </w:tcPr>
          <w:p w14:paraId="17B166FD"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0BC8B1D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2D5AFB84"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66FC734"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939DDF8"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60350B3D" w14:textId="77777777" w:rsidTr="002D2677">
        <w:trPr>
          <w:trHeight w:val="23"/>
        </w:trPr>
        <w:tc>
          <w:tcPr>
            <w:tcW w:w="3828" w:type="dxa"/>
            <w:noWrap/>
            <w:vAlign w:val="center"/>
          </w:tcPr>
          <w:p w14:paraId="16A3CD9D"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2513C23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4,441 (43.0)</w:t>
            </w:r>
          </w:p>
        </w:tc>
        <w:tc>
          <w:tcPr>
            <w:tcW w:w="2026" w:type="dxa"/>
          </w:tcPr>
          <w:p w14:paraId="020DE0E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1,101 (24.8)</w:t>
            </w:r>
          </w:p>
        </w:tc>
        <w:tc>
          <w:tcPr>
            <w:tcW w:w="2027" w:type="dxa"/>
          </w:tcPr>
          <w:p w14:paraId="697A484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0.79 (0.73, 0.87)</w:t>
            </w:r>
          </w:p>
        </w:tc>
        <w:tc>
          <w:tcPr>
            <w:tcW w:w="2026" w:type="dxa"/>
          </w:tcPr>
          <w:p w14:paraId="13347CE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0.75 (0.68, 0.82)</w:t>
            </w:r>
          </w:p>
        </w:tc>
        <w:tc>
          <w:tcPr>
            <w:tcW w:w="2027" w:type="dxa"/>
            <w:noWrap/>
          </w:tcPr>
          <w:p w14:paraId="5FA88CF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4DE691EF" w14:textId="77777777" w:rsidTr="002D2677">
        <w:trPr>
          <w:trHeight w:val="23"/>
        </w:trPr>
        <w:tc>
          <w:tcPr>
            <w:tcW w:w="3828" w:type="dxa"/>
            <w:noWrap/>
            <w:vAlign w:val="center"/>
          </w:tcPr>
          <w:p w14:paraId="6DFD1AB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21F7E75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5,880 (57.0)</w:t>
            </w:r>
          </w:p>
        </w:tc>
        <w:tc>
          <w:tcPr>
            <w:tcW w:w="2026" w:type="dxa"/>
          </w:tcPr>
          <w:p w14:paraId="3E72688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1,726 (29.4)</w:t>
            </w:r>
          </w:p>
        </w:tc>
        <w:tc>
          <w:tcPr>
            <w:tcW w:w="2027" w:type="dxa"/>
          </w:tcPr>
          <w:p w14:paraId="46216CF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0B5E431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3A404011"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CAE006A" w14:textId="77777777" w:rsidTr="002D2677">
        <w:trPr>
          <w:trHeight w:val="23"/>
        </w:trPr>
        <w:tc>
          <w:tcPr>
            <w:tcW w:w="3828" w:type="dxa"/>
            <w:noWrap/>
            <w:vAlign w:val="center"/>
          </w:tcPr>
          <w:p w14:paraId="21795BC9"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Atrial fibrillation</w:t>
            </w:r>
          </w:p>
        </w:tc>
        <w:tc>
          <w:tcPr>
            <w:tcW w:w="2026" w:type="dxa"/>
          </w:tcPr>
          <w:p w14:paraId="47C2FF5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EC9A35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388BFD1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6D788BC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4497553E"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153BC1D" w14:textId="77777777" w:rsidTr="002D2677">
        <w:trPr>
          <w:trHeight w:val="23"/>
        </w:trPr>
        <w:tc>
          <w:tcPr>
            <w:tcW w:w="3828" w:type="dxa"/>
            <w:noWrap/>
            <w:vAlign w:val="center"/>
          </w:tcPr>
          <w:p w14:paraId="3A52DAF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17A81F1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1,466 (14.2)</w:t>
            </w:r>
          </w:p>
        </w:tc>
        <w:tc>
          <w:tcPr>
            <w:tcW w:w="2026" w:type="dxa"/>
          </w:tcPr>
          <w:p w14:paraId="27BE510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262 (17.9)</w:t>
            </w:r>
          </w:p>
        </w:tc>
        <w:tc>
          <w:tcPr>
            <w:tcW w:w="2027" w:type="dxa"/>
          </w:tcPr>
          <w:p w14:paraId="4B37944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0.53 (0.46, 0.61)</w:t>
            </w:r>
          </w:p>
        </w:tc>
        <w:tc>
          <w:tcPr>
            <w:tcW w:w="2026" w:type="dxa"/>
          </w:tcPr>
          <w:p w14:paraId="2E3FF84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0.56 (0.48, 0.65)</w:t>
            </w:r>
          </w:p>
        </w:tc>
        <w:tc>
          <w:tcPr>
            <w:tcW w:w="2027" w:type="dxa"/>
            <w:noWrap/>
          </w:tcPr>
          <w:p w14:paraId="6724942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332B1084" w14:textId="77777777" w:rsidTr="002D2677">
        <w:trPr>
          <w:trHeight w:val="23"/>
        </w:trPr>
        <w:tc>
          <w:tcPr>
            <w:tcW w:w="3828" w:type="dxa"/>
            <w:noWrap/>
            <w:vAlign w:val="center"/>
          </w:tcPr>
          <w:p w14:paraId="04645D43"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195A73B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8,855 (85.8)</w:t>
            </w:r>
          </w:p>
        </w:tc>
        <w:tc>
          <w:tcPr>
            <w:tcW w:w="2026" w:type="dxa"/>
          </w:tcPr>
          <w:p w14:paraId="3E15DE1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2,565 (29.0)</w:t>
            </w:r>
          </w:p>
        </w:tc>
        <w:tc>
          <w:tcPr>
            <w:tcW w:w="2027" w:type="dxa"/>
          </w:tcPr>
          <w:p w14:paraId="67F5480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47D8879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58D65FEE"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FC09F43" w14:textId="77777777" w:rsidTr="002D2677">
        <w:trPr>
          <w:trHeight w:val="23"/>
        </w:trPr>
        <w:tc>
          <w:tcPr>
            <w:tcW w:w="3828" w:type="dxa"/>
            <w:noWrap/>
            <w:vAlign w:val="center"/>
          </w:tcPr>
          <w:p w14:paraId="162576BE"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Gastroesophageal reflux disease</w:t>
            </w:r>
          </w:p>
        </w:tc>
        <w:tc>
          <w:tcPr>
            <w:tcW w:w="2026" w:type="dxa"/>
          </w:tcPr>
          <w:p w14:paraId="364901E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9DA110C"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2DCCB9F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20668C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AEEA1C3"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B259793" w14:textId="77777777" w:rsidTr="002D2677">
        <w:trPr>
          <w:trHeight w:val="23"/>
        </w:trPr>
        <w:tc>
          <w:tcPr>
            <w:tcW w:w="3828" w:type="dxa"/>
            <w:noWrap/>
            <w:vAlign w:val="center"/>
          </w:tcPr>
          <w:p w14:paraId="7BAABD0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6023BB9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5,231 (50.7)</w:t>
            </w:r>
          </w:p>
        </w:tc>
        <w:tc>
          <w:tcPr>
            <w:tcW w:w="2026" w:type="dxa"/>
          </w:tcPr>
          <w:p w14:paraId="55E18E3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1,182 (22.6)</w:t>
            </w:r>
          </w:p>
        </w:tc>
        <w:tc>
          <w:tcPr>
            <w:tcW w:w="2027" w:type="dxa"/>
          </w:tcPr>
          <w:p w14:paraId="4919AA7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0.61 (0.56, 0.67)</w:t>
            </w:r>
          </w:p>
        </w:tc>
        <w:tc>
          <w:tcPr>
            <w:tcW w:w="2026" w:type="dxa"/>
          </w:tcPr>
          <w:p w14:paraId="78ACC8C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0.63 (0.58, 0.70)</w:t>
            </w:r>
          </w:p>
        </w:tc>
        <w:tc>
          <w:tcPr>
            <w:tcW w:w="2027" w:type="dxa"/>
            <w:noWrap/>
          </w:tcPr>
          <w:p w14:paraId="179F73A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26D346B2" w14:textId="77777777" w:rsidTr="002D2677">
        <w:trPr>
          <w:trHeight w:val="23"/>
        </w:trPr>
        <w:tc>
          <w:tcPr>
            <w:tcW w:w="3828" w:type="dxa"/>
            <w:noWrap/>
            <w:vAlign w:val="center"/>
          </w:tcPr>
          <w:p w14:paraId="4C34D98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228A55A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5,090 (49.3)</w:t>
            </w:r>
          </w:p>
        </w:tc>
        <w:tc>
          <w:tcPr>
            <w:tcW w:w="2026" w:type="dxa"/>
          </w:tcPr>
          <w:p w14:paraId="3003DAC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1,645 (32.3)</w:t>
            </w:r>
          </w:p>
        </w:tc>
        <w:tc>
          <w:tcPr>
            <w:tcW w:w="2027" w:type="dxa"/>
          </w:tcPr>
          <w:p w14:paraId="1EEDD81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2587E09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68BFF2D2"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69F48945" w14:textId="77777777" w:rsidTr="002D2677">
        <w:trPr>
          <w:trHeight w:val="23"/>
        </w:trPr>
        <w:tc>
          <w:tcPr>
            <w:tcW w:w="3828" w:type="dxa"/>
            <w:noWrap/>
            <w:vAlign w:val="center"/>
          </w:tcPr>
          <w:p w14:paraId="124BDD6E"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Disuse syndrome</w:t>
            </w:r>
          </w:p>
        </w:tc>
        <w:tc>
          <w:tcPr>
            <w:tcW w:w="2026" w:type="dxa"/>
          </w:tcPr>
          <w:p w14:paraId="037A725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0B825CD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23304BA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0ED3B55E"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AE18D3F"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4421E20" w14:textId="77777777" w:rsidTr="002D2677">
        <w:trPr>
          <w:trHeight w:val="23"/>
        </w:trPr>
        <w:tc>
          <w:tcPr>
            <w:tcW w:w="3828" w:type="dxa"/>
            <w:noWrap/>
            <w:vAlign w:val="center"/>
          </w:tcPr>
          <w:p w14:paraId="6542FEBF"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5633C7B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865 (8.4)</w:t>
            </w:r>
          </w:p>
        </w:tc>
        <w:tc>
          <w:tcPr>
            <w:tcW w:w="2026" w:type="dxa"/>
          </w:tcPr>
          <w:p w14:paraId="1B80B72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142 (16.4)</w:t>
            </w:r>
          </w:p>
        </w:tc>
        <w:tc>
          <w:tcPr>
            <w:tcW w:w="2027" w:type="dxa"/>
          </w:tcPr>
          <w:p w14:paraId="33FE410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0.50 (0.41, 0.60)</w:t>
            </w:r>
          </w:p>
        </w:tc>
        <w:tc>
          <w:tcPr>
            <w:tcW w:w="2026" w:type="dxa"/>
          </w:tcPr>
          <w:p w14:paraId="3C12AEA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0.60 (0.50, 0.73)</w:t>
            </w:r>
          </w:p>
        </w:tc>
        <w:tc>
          <w:tcPr>
            <w:tcW w:w="2027" w:type="dxa"/>
            <w:noWrap/>
          </w:tcPr>
          <w:p w14:paraId="33C2D3B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5C97CE51" w14:textId="77777777" w:rsidTr="002D2677">
        <w:trPr>
          <w:trHeight w:val="23"/>
        </w:trPr>
        <w:tc>
          <w:tcPr>
            <w:tcW w:w="3828" w:type="dxa"/>
            <w:noWrap/>
            <w:vAlign w:val="center"/>
          </w:tcPr>
          <w:p w14:paraId="078AA65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6D1D177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9,456 (91.6)</w:t>
            </w:r>
          </w:p>
        </w:tc>
        <w:tc>
          <w:tcPr>
            <w:tcW w:w="2026" w:type="dxa"/>
          </w:tcPr>
          <w:p w14:paraId="101A670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2,685 (28.4)</w:t>
            </w:r>
          </w:p>
        </w:tc>
        <w:tc>
          <w:tcPr>
            <w:tcW w:w="2027" w:type="dxa"/>
          </w:tcPr>
          <w:p w14:paraId="5FF065B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247B115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20544996"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BF5F0AE" w14:textId="77777777" w:rsidTr="002D2677">
        <w:trPr>
          <w:trHeight w:val="23"/>
        </w:trPr>
        <w:tc>
          <w:tcPr>
            <w:tcW w:w="3828" w:type="dxa"/>
            <w:noWrap/>
            <w:vAlign w:val="center"/>
          </w:tcPr>
          <w:p w14:paraId="46D2D690"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Malignancy excluding lung cancer and non-melanoma skin cancer</w:t>
            </w:r>
          </w:p>
        </w:tc>
        <w:tc>
          <w:tcPr>
            <w:tcW w:w="2026" w:type="dxa"/>
          </w:tcPr>
          <w:p w14:paraId="217E23B0"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7F2BD47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4F8244D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5398297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F7AFAD8"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9DC632F" w14:textId="77777777" w:rsidTr="002D2677">
        <w:trPr>
          <w:trHeight w:val="23"/>
        </w:trPr>
        <w:tc>
          <w:tcPr>
            <w:tcW w:w="3828" w:type="dxa"/>
            <w:noWrap/>
            <w:vAlign w:val="center"/>
          </w:tcPr>
          <w:p w14:paraId="251F369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397E814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3,330 (32.3)</w:t>
            </w:r>
          </w:p>
        </w:tc>
        <w:tc>
          <w:tcPr>
            <w:tcW w:w="2026" w:type="dxa"/>
          </w:tcPr>
          <w:p w14:paraId="453301C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646 (19.4)</w:t>
            </w:r>
          </w:p>
        </w:tc>
        <w:tc>
          <w:tcPr>
            <w:tcW w:w="2027" w:type="dxa"/>
          </w:tcPr>
          <w:p w14:paraId="50D8C9F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0.53 (0.48, 0.59)</w:t>
            </w:r>
          </w:p>
        </w:tc>
        <w:tc>
          <w:tcPr>
            <w:tcW w:w="2026" w:type="dxa"/>
          </w:tcPr>
          <w:p w14:paraId="27CA222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0.58 (0.52, 0.65)</w:t>
            </w:r>
          </w:p>
        </w:tc>
        <w:tc>
          <w:tcPr>
            <w:tcW w:w="2027" w:type="dxa"/>
            <w:noWrap/>
          </w:tcPr>
          <w:p w14:paraId="108C852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2D0FEA64" w14:textId="77777777" w:rsidTr="002D2677">
        <w:trPr>
          <w:trHeight w:val="23"/>
        </w:trPr>
        <w:tc>
          <w:tcPr>
            <w:tcW w:w="3828" w:type="dxa"/>
            <w:noWrap/>
            <w:vAlign w:val="center"/>
          </w:tcPr>
          <w:p w14:paraId="16D5E941"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27621AB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6,991 (67.7)</w:t>
            </w:r>
          </w:p>
        </w:tc>
        <w:tc>
          <w:tcPr>
            <w:tcW w:w="2026" w:type="dxa"/>
          </w:tcPr>
          <w:p w14:paraId="79A87A0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2,181 (31.2)</w:t>
            </w:r>
          </w:p>
        </w:tc>
        <w:tc>
          <w:tcPr>
            <w:tcW w:w="2027" w:type="dxa"/>
          </w:tcPr>
          <w:p w14:paraId="4F5D852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51CA0EB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4FA2A139"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E1196E4" w14:textId="77777777" w:rsidTr="002D2677">
        <w:trPr>
          <w:trHeight w:val="23"/>
        </w:trPr>
        <w:tc>
          <w:tcPr>
            <w:tcW w:w="3828" w:type="dxa"/>
            <w:noWrap/>
            <w:vAlign w:val="center"/>
          </w:tcPr>
          <w:p w14:paraId="569FBA45"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Anxiety disorder</w:t>
            </w:r>
          </w:p>
        </w:tc>
        <w:tc>
          <w:tcPr>
            <w:tcW w:w="2026" w:type="dxa"/>
          </w:tcPr>
          <w:p w14:paraId="48B9CEE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B42FB4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73AE0B8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76FD6A9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72EE6124"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83CC927" w14:textId="77777777" w:rsidTr="002D2677">
        <w:trPr>
          <w:trHeight w:val="23"/>
        </w:trPr>
        <w:tc>
          <w:tcPr>
            <w:tcW w:w="3828" w:type="dxa"/>
            <w:noWrap/>
            <w:vAlign w:val="center"/>
          </w:tcPr>
          <w:p w14:paraId="43D6899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18681FE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1,504 (14.6)</w:t>
            </w:r>
          </w:p>
        </w:tc>
        <w:tc>
          <w:tcPr>
            <w:tcW w:w="2026" w:type="dxa"/>
          </w:tcPr>
          <w:p w14:paraId="6D9C721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367 (24.4)</w:t>
            </w:r>
          </w:p>
        </w:tc>
        <w:tc>
          <w:tcPr>
            <w:tcW w:w="2027" w:type="dxa"/>
          </w:tcPr>
          <w:p w14:paraId="25D1339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0.83 (0.73, 0.95)</w:t>
            </w:r>
          </w:p>
        </w:tc>
        <w:tc>
          <w:tcPr>
            <w:tcW w:w="2026" w:type="dxa"/>
          </w:tcPr>
          <w:p w14:paraId="65B52F4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0.80 (0.70, 0.91)</w:t>
            </w:r>
          </w:p>
        </w:tc>
        <w:tc>
          <w:tcPr>
            <w:tcW w:w="2027" w:type="dxa"/>
            <w:noWrap/>
          </w:tcPr>
          <w:p w14:paraId="72E28CB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38287CB3" w14:textId="77777777" w:rsidTr="002D2677">
        <w:trPr>
          <w:trHeight w:val="23"/>
        </w:trPr>
        <w:tc>
          <w:tcPr>
            <w:tcW w:w="3828" w:type="dxa"/>
            <w:noWrap/>
            <w:vAlign w:val="center"/>
          </w:tcPr>
          <w:p w14:paraId="4EFDCF6F"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7A0BAF4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8,817 (85.4)</w:t>
            </w:r>
          </w:p>
        </w:tc>
        <w:tc>
          <w:tcPr>
            <w:tcW w:w="2026" w:type="dxa"/>
          </w:tcPr>
          <w:p w14:paraId="2D516FA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2,460 (27.9)</w:t>
            </w:r>
          </w:p>
        </w:tc>
        <w:tc>
          <w:tcPr>
            <w:tcW w:w="2027" w:type="dxa"/>
          </w:tcPr>
          <w:p w14:paraId="2835EAA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377717D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6ED9E4B9"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BBF8C2B" w14:textId="77777777" w:rsidTr="002D2677">
        <w:trPr>
          <w:trHeight w:val="23"/>
        </w:trPr>
        <w:tc>
          <w:tcPr>
            <w:tcW w:w="3828" w:type="dxa"/>
            <w:noWrap/>
            <w:vAlign w:val="center"/>
          </w:tcPr>
          <w:p w14:paraId="0444C3A9"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Depression</w:t>
            </w:r>
          </w:p>
        </w:tc>
        <w:tc>
          <w:tcPr>
            <w:tcW w:w="2026" w:type="dxa"/>
          </w:tcPr>
          <w:p w14:paraId="5D12DBB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3783296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3DD9652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5809B31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727C50F"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6D3110CB" w14:textId="77777777" w:rsidTr="002D2677">
        <w:trPr>
          <w:trHeight w:val="23"/>
        </w:trPr>
        <w:tc>
          <w:tcPr>
            <w:tcW w:w="3828" w:type="dxa"/>
            <w:noWrap/>
            <w:vAlign w:val="center"/>
          </w:tcPr>
          <w:p w14:paraId="1E711E8C"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74AD9AE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807 (7.8)</w:t>
            </w:r>
          </w:p>
        </w:tc>
        <w:tc>
          <w:tcPr>
            <w:tcW w:w="2026" w:type="dxa"/>
          </w:tcPr>
          <w:p w14:paraId="431D6D8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182 (22.6)</w:t>
            </w:r>
          </w:p>
        </w:tc>
        <w:tc>
          <w:tcPr>
            <w:tcW w:w="2027" w:type="dxa"/>
          </w:tcPr>
          <w:p w14:paraId="5AFFE8E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0.76 (0.64, 0.90)</w:t>
            </w:r>
          </w:p>
        </w:tc>
        <w:tc>
          <w:tcPr>
            <w:tcW w:w="2026" w:type="dxa"/>
          </w:tcPr>
          <w:p w14:paraId="2697A2D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0.73 (0.61, 0.87)</w:t>
            </w:r>
          </w:p>
        </w:tc>
        <w:tc>
          <w:tcPr>
            <w:tcW w:w="2027" w:type="dxa"/>
            <w:noWrap/>
          </w:tcPr>
          <w:p w14:paraId="224FDF2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20335E48" w14:textId="77777777" w:rsidTr="002D2677">
        <w:trPr>
          <w:trHeight w:val="23"/>
        </w:trPr>
        <w:tc>
          <w:tcPr>
            <w:tcW w:w="3828" w:type="dxa"/>
            <w:noWrap/>
            <w:vAlign w:val="center"/>
          </w:tcPr>
          <w:p w14:paraId="0E5E20F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4C23D99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9,514 (92.2)</w:t>
            </w:r>
          </w:p>
        </w:tc>
        <w:tc>
          <w:tcPr>
            <w:tcW w:w="2026" w:type="dxa"/>
          </w:tcPr>
          <w:p w14:paraId="165EFCE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2,645 (27.8)</w:t>
            </w:r>
          </w:p>
        </w:tc>
        <w:tc>
          <w:tcPr>
            <w:tcW w:w="2027" w:type="dxa"/>
          </w:tcPr>
          <w:p w14:paraId="5518E03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365F787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079CAA06"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3210247" w14:textId="77777777" w:rsidTr="002D2677">
        <w:trPr>
          <w:trHeight w:val="23"/>
        </w:trPr>
        <w:tc>
          <w:tcPr>
            <w:tcW w:w="3828" w:type="dxa"/>
            <w:noWrap/>
            <w:vAlign w:val="center"/>
          </w:tcPr>
          <w:p w14:paraId="6DB4A92D"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lastRenderedPageBreak/>
              <w:t>Osteoporosis</w:t>
            </w:r>
          </w:p>
        </w:tc>
        <w:tc>
          <w:tcPr>
            <w:tcW w:w="2026" w:type="dxa"/>
          </w:tcPr>
          <w:p w14:paraId="46CB05F4"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75B03CFA"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05202CC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3E62556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D7380CC"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FCB70D4" w14:textId="77777777" w:rsidTr="002D2677">
        <w:trPr>
          <w:trHeight w:val="23"/>
        </w:trPr>
        <w:tc>
          <w:tcPr>
            <w:tcW w:w="3828" w:type="dxa"/>
            <w:noWrap/>
            <w:vAlign w:val="center"/>
          </w:tcPr>
          <w:p w14:paraId="1461346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7024791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1,672 (16.2)</w:t>
            </w:r>
          </w:p>
        </w:tc>
        <w:tc>
          <w:tcPr>
            <w:tcW w:w="2026" w:type="dxa"/>
          </w:tcPr>
          <w:p w14:paraId="42460BC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376 (22.5)</w:t>
            </w:r>
          </w:p>
        </w:tc>
        <w:tc>
          <w:tcPr>
            <w:tcW w:w="2027" w:type="dxa"/>
          </w:tcPr>
          <w:p w14:paraId="143E693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0.73 (0.65, 0.83)</w:t>
            </w:r>
          </w:p>
        </w:tc>
        <w:tc>
          <w:tcPr>
            <w:tcW w:w="2026" w:type="dxa"/>
          </w:tcPr>
          <w:p w14:paraId="39567AD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0.72 (0.63, 0.82)</w:t>
            </w:r>
          </w:p>
        </w:tc>
        <w:tc>
          <w:tcPr>
            <w:tcW w:w="2027" w:type="dxa"/>
            <w:noWrap/>
          </w:tcPr>
          <w:p w14:paraId="45B304C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0723792E" w14:textId="77777777" w:rsidTr="002D2677">
        <w:trPr>
          <w:trHeight w:val="23"/>
        </w:trPr>
        <w:tc>
          <w:tcPr>
            <w:tcW w:w="3828" w:type="dxa"/>
            <w:noWrap/>
            <w:vAlign w:val="center"/>
          </w:tcPr>
          <w:p w14:paraId="3AB45EBD"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34A35DE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8,649 (83.8)</w:t>
            </w:r>
          </w:p>
        </w:tc>
        <w:tc>
          <w:tcPr>
            <w:tcW w:w="2026" w:type="dxa"/>
          </w:tcPr>
          <w:p w14:paraId="7A55B68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2,451 (28.3)</w:t>
            </w:r>
          </w:p>
        </w:tc>
        <w:tc>
          <w:tcPr>
            <w:tcW w:w="2027" w:type="dxa"/>
          </w:tcPr>
          <w:p w14:paraId="4547B2C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6AA176F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4F5EE928"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653CCB06" w14:textId="77777777" w:rsidTr="002D2677">
        <w:trPr>
          <w:trHeight w:val="23"/>
        </w:trPr>
        <w:tc>
          <w:tcPr>
            <w:tcW w:w="3828" w:type="dxa"/>
            <w:noWrap/>
            <w:vAlign w:val="center"/>
          </w:tcPr>
          <w:p w14:paraId="76EC7E6C"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Bacterial pneumonia</w:t>
            </w:r>
          </w:p>
        </w:tc>
        <w:tc>
          <w:tcPr>
            <w:tcW w:w="2026" w:type="dxa"/>
          </w:tcPr>
          <w:p w14:paraId="69BAF59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446C5B2D"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0BF2A57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76C2911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2144BE14"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CDEC84E" w14:textId="77777777" w:rsidTr="002D2677">
        <w:trPr>
          <w:trHeight w:val="23"/>
        </w:trPr>
        <w:tc>
          <w:tcPr>
            <w:tcW w:w="3828" w:type="dxa"/>
            <w:noWrap/>
            <w:vAlign w:val="center"/>
          </w:tcPr>
          <w:p w14:paraId="68458323"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4DC4CD6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772 (7.5)</w:t>
            </w:r>
          </w:p>
        </w:tc>
        <w:tc>
          <w:tcPr>
            <w:tcW w:w="2026" w:type="dxa"/>
          </w:tcPr>
          <w:p w14:paraId="1207B8C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143 (18.5)</w:t>
            </w:r>
          </w:p>
        </w:tc>
        <w:tc>
          <w:tcPr>
            <w:tcW w:w="2027" w:type="dxa"/>
          </w:tcPr>
          <w:p w14:paraId="4D48D9D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0.58 (0.48, 0.70)</w:t>
            </w:r>
          </w:p>
        </w:tc>
        <w:tc>
          <w:tcPr>
            <w:tcW w:w="2026" w:type="dxa"/>
          </w:tcPr>
          <w:p w14:paraId="7EDA4A1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0.68 (0.56, 0.83)</w:t>
            </w:r>
          </w:p>
        </w:tc>
        <w:tc>
          <w:tcPr>
            <w:tcW w:w="2027" w:type="dxa"/>
            <w:noWrap/>
          </w:tcPr>
          <w:p w14:paraId="1758987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1F832ECF" w14:textId="77777777" w:rsidTr="002D2677">
        <w:trPr>
          <w:trHeight w:val="23"/>
        </w:trPr>
        <w:tc>
          <w:tcPr>
            <w:tcW w:w="3828" w:type="dxa"/>
            <w:noWrap/>
            <w:vAlign w:val="center"/>
          </w:tcPr>
          <w:p w14:paraId="49B72A75"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12E4A75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9,549 (92.5)</w:t>
            </w:r>
          </w:p>
        </w:tc>
        <w:tc>
          <w:tcPr>
            <w:tcW w:w="2026" w:type="dxa"/>
          </w:tcPr>
          <w:p w14:paraId="68F4907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2,684 (28.1)</w:t>
            </w:r>
          </w:p>
        </w:tc>
        <w:tc>
          <w:tcPr>
            <w:tcW w:w="2027" w:type="dxa"/>
          </w:tcPr>
          <w:p w14:paraId="0957199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6D7DB96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0B3F894E"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630C052" w14:textId="77777777" w:rsidTr="002D2677">
        <w:trPr>
          <w:trHeight w:val="23"/>
        </w:trPr>
        <w:tc>
          <w:tcPr>
            <w:tcW w:w="3828" w:type="dxa"/>
            <w:noWrap/>
            <w:vAlign w:val="center"/>
          </w:tcPr>
          <w:p w14:paraId="06A77AE4"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Aspergillus infection</w:t>
            </w:r>
          </w:p>
        </w:tc>
        <w:tc>
          <w:tcPr>
            <w:tcW w:w="2026" w:type="dxa"/>
          </w:tcPr>
          <w:p w14:paraId="62223F70"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56E897E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34179E0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0916661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3B5710EA"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A90C7BE" w14:textId="77777777" w:rsidTr="002D2677">
        <w:trPr>
          <w:trHeight w:val="23"/>
        </w:trPr>
        <w:tc>
          <w:tcPr>
            <w:tcW w:w="3828" w:type="dxa"/>
            <w:noWrap/>
            <w:vAlign w:val="center"/>
          </w:tcPr>
          <w:p w14:paraId="674EBF1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5304A84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84 (0.8)</w:t>
            </w:r>
          </w:p>
        </w:tc>
        <w:tc>
          <w:tcPr>
            <w:tcW w:w="2026" w:type="dxa"/>
          </w:tcPr>
          <w:p w14:paraId="74B848A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29 (34.5)</w:t>
            </w:r>
          </w:p>
        </w:tc>
        <w:tc>
          <w:tcPr>
            <w:tcW w:w="2027" w:type="dxa"/>
          </w:tcPr>
          <w:p w14:paraId="5CC792C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1.40 (0.89, 2.20)</w:t>
            </w:r>
          </w:p>
        </w:tc>
        <w:tc>
          <w:tcPr>
            <w:tcW w:w="2026" w:type="dxa"/>
          </w:tcPr>
          <w:p w14:paraId="6F57601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1.88 (1.15, 3.08)</w:t>
            </w:r>
          </w:p>
        </w:tc>
        <w:tc>
          <w:tcPr>
            <w:tcW w:w="2027" w:type="dxa"/>
            <w:noWrap/>
          </w:tcPr>
          <w:p w14:paraId="060D62B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0.012</w:t>
            </w:r>
          </w:p>
        </w:tc>
      </w:tr>
      <w:tr w:rsidR="00D250E5" w:rsidRPr="00737A30" w14:paraId="3A3CBD3F" w14:textId="77777777" w:rsidTr="002D2677">
        <w:trPr>
          <w:trHeight w:val="23"/>
        </w:trPr>
        <w:tc>
          <w:tcPr>
            <w:tcW w:w="3828" w:type="dxa"/>
            <w:noWrap/>
            <w:vAlign w:val="center"/>
          </w:tcPr>
          <w:p w14:paraId="2F4BA5E2"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04278B2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10,237 (99.2)</w:t>
            </w:r>
          </w:p>
        </w:tc>
        <w:tc>
          <w:tcPr>
            <w:tcW w:w="2026" w:type="dxa"/>
          </w:tcPr>
          <w:p w14:paraId="7C10EAB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2,798 (27.3)</w:t>
            </w:r>
          </w:p>
        </w:tc>
        <w:tc>
          <w:tcPr>
            <w:tcW w:w="2027" w:type="dxa"/>
          </w:tcPr>
          <w:p w14:paraId="30087E9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50EE1FA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5A423D76"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AAFA269" w14:textId="77777777" w:rsidTr="002D2677">
        <w:trPr>
          <w:trHeight w:val="23"/>
        </w:trPr>
        <w:tc>
          <w:tcPr>
            <w:tcW w:w="3828" w:type="dxa"/>
            <w:noWrap/>
            <w:vAlign w:val="center"/>
          </w:tcPr>
          <w:p w14:paraId="4734EA82"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Viral pneumonia</w:t>
            </w:r>
          </w:p>
        </w:tc>
        <w:tc>
          <w:tcPr>
            <w:tcW w:w="2026" w:type="dxa"/>
          </w:tcPr>
          <w:p w14:paraId="5415682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54495B5C"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1D42C54C"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597A52A"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45A80AB5"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13AA114" w14:textId="77777777" w:rsidTr="002D2677">
        <w:trPr>
          <w:trHeight w:val="23"/>
        </w:trPr>
        <w:tc>
          <w:tcPr>
            <w:tcW w:w="3828" w:type="dxa"/>
            <w:noWrap/>
            <w:vAlign w:val="center"/>
          </w:tcPr>
          <w:p w14:paraId="1EF67C2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7104934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 (&lt;0.1)</w:t>
            </w:r>
          </w:p>
        </w:tc>
        <w:tc>
          <w:tcPr>
            <w:tcW w:w="2026" w:type="dxa"/>
          </w:tcPr>
          <w:p w14:paraId="5792880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w:t>
            </w:r>
          </w:p>
        </w:tc>
        <w:tc>
          <w:tcPr>
            <w:tcW w:w="2027" w:type="dxa"/>
          </w:tcPr>
          <w:p w14:paraId="2B790C7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0.00 (0.00, &gt;100)</w:t>
            </w:r>
          </w:p>
        </w:tc>
        <w:tc>
          <w:tcPr>
            <w:tcW w:w="2026" w:type="dxa"/>
          </w:tcPr>
          <w:p w14:paraId="5DDF491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0.00 (0.00, &gt;100)</w:t>
            </w:r>
          </w:p>
        </w:tc>
        <w:tc>
          <w:tcPr>
            <w:tcW w:w="2027" w:type="dxa"/>
            <w:noWrap/>
          </w:tcPr>
          <w:p w14:paraId="5A03720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0.927</w:t>
            </w:r>
          </w:p>
        </w:tc>
      </w:tr>
      <w:tr w:rsidR="00D250E5" w:rsidRPr="00737A30" w14:paraId="31C5D1E8" w14:textId="77777777" w:rsidTr="002D2677">
        <w:trPr>
          <w:trHeight w:val="23"/>
        </w:trPr>
        <w:tc>
          <w:tcPr>
            <w:tcW w:w="3828" w:type="dxa"/>
            <w:noWrap/>
            <w:vAlign w:val="center"/>
          </w:tcPr>
          <w:p w14:paraId="514265FD"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7B4F800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10,318 (100.0)</w:t>
            </w:r>
          </w:p>
        </w:tc>
        <w:tc>
          <w:tcPr>
            <w:tcW w:w="2026" w:type="dxa"/>
          </w:tcPr>
          <w:p w14:paraId="33F0C7E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2,827 (27.4)</w:t>
            </w:r>
          </w:p>
        </w:tc>
        <w:tc>
          <w:tcPr>
            <w:tcW w:w="2027" w:type="dxa"/>
          </w:tcPr>
          <w:p w14:paraId="37316D3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7E36B1D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1351520F"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967AD58" w14:textId="77777777" w:rsidTr="002D2677">
        <w:trPr>
          <w:trHeight w:val="23"/>
        </w:trPr>
        <w:tc>
          <w:tcPr>
            <w:tcW w:w="13960" w:type="dxa"/>
            <w:gridSpan w:val="6"/>
            <w:tcBorders>
              <w:top w:val="single" w:sz="4" w:space="0" w:color="auto"/>
            </w:tcBorders>
            <w:noWrap/>
          </w:tcPr>
          <w:p w14:paraId="0D127D90"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CCI</w:t>
            </w:r>
          </w:p>
        </w:tc>
      </w:tr>
      <w:tr w:rsidR="00D250E5" w:rsidRPr="00737A30" w14:paraId="1F755B68" w14:textId="77777777" w:rsidTr="002D2677">
        <w:trPr>
          <w:trHeight w:val="23"/>
        </w:trPr>
        <w:tc>
          <w:tcPr>
            <w:tcW w:w="3828" w:type="dxa"/>
            <w:noWrap/>
            <w:vAlign w:val="center"/>
          </w:tcPr>
          <w:p w14:paraId="3971CD01"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CCI score (unit=1)</w:t>
            </w:r>
          </w:p>
        </w:tc>
        <w:tc>
          <w:tcPr>
            <w:tcW w:w="2026" w:type="dxa"/>
          </w:tcPr>
          <w:p w14:paraId="5DD2768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6E19163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537636A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791AF26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19D1C4BE"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DCF80A6" w14:textId="77777777" w:rsidTr="002D2677">
        <w:trPr>
          <w:trHeight w:val="23"/>
        </w:trPr>
        <w:tc>
          <w:tcPr>
            <w:tcW w:w="3828" w:type="dxa"/>
            <w:noWrap/>
            <w:vAlign w:val="center"/>
          </w:tcPr>
          <w:p w14:paraId="744068F7"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Myocardial infarction</w:t>
            </w:r>
          </w:p>
        </w:tc>
        <w:tc>
          <w:tcPr>
            <w:tcW w:w="2026" w:type="dxa"/>
          </w:tcPr>
          <w:p w14:paraId="6607B0C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5016D06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164541F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7A00EFC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10FABA73"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6A7F52A" w14:textId="77777777" w:rsidTr="002D2677">
        <w:trPr>
          <w:trHeight w:val="23"/>
        </w:trPr>
        <w:tc>
          <w:tcPr>
            <w:tcW w:w="3828" w:type="dxa"/>
            <w:noWrap/>
            <w:vAlign w:val="center"/>
          </w:tcPr>
          <w:p w14:paraId="1C876D52"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1279B6F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833 (8.1)</w:t>
            </w:r>
          </w:p>
        </w:tc>
        <w:tc>
          <w:tcPr>
            <w:tcW w:w="2026" w:type="dxa"/>
          </w:tcPr>
          <w:p w14:paraId="626BC7F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165 (19.8)</w:t>
            </w:r>
          </w:p>
        </w:tc>
        <w:tc>
          <w:tcPr>
            <w:tcW w:w="2027" w:type="dxa"/>
          </w:tcPr>
          <w:p w14:paraId="5BE4149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0.63 (0.53, 0.76)</w:t>
            </w:r>
          </w:p>
        </w:tc>
        <w:tc>
          <w:tcPr>
            <w:tcW w:w="2026" w:type="dxa"/>
          </w:tcPr>
          <w:p w14:paraId="57F6E35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0.67 (0.56, 0.81)</w:t>
            </w:r>
          </w:p>
        </w:tc>
        <w:tc>
          <w:tcPr>
            <w:tcW w:w="2027" w:type="dxa"/>
            <w:noWrap/>
          </w:tcPr>
          <w:p w14:paraId="357C251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4338F90C" w14:textId="77777777" w:rsidTr="002D2677">
        <w:trPr>
          <w:trHeight w:val="23"/>
        </w:trPr>
        <w:tc>
          <w:tcPr>
            <w:tcW w:w="3828" w:type="dxa"/>
            <w:noWrap/>
            <w:vAlign w:val="center"/>
          </w:tcPr>
          <w:p w14:paraId="2475383B"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3FFAFF8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9,488 (91.9)</w:t>
            </w:r>
          </w:p>
        </w:tc>
        <w:tc>
          <w:tcPr>
            <w:tcW w:w="2026" w:type="dxa"/>
          </w:tcPr>
          <w:p w14:paraId="1B29E4E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2,662 (28.1)</w:t>
            </w:r>
          </w:p>
        </w:tc>
        <w:tc>
          <w:tcPr>
            <w:tcW w:w="2027" w:type="dxa"/>
          </w:tcPr>
          <w:p w14:paraId="313FBD0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75445F9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5B14ACE0"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6A8B8FD" w14:textId="77777777" w:rsidTr="002D2677">
        <w:trPr>
          <w:trHeight w:val="23"/>
        </w:trPr>
        <w:tc>
          <w:tcPr>
            <w:tcW w:w="3828" w:type="dxa"/>
            <w:noWrap/>
            <w:vAlign w:val="center"/>
          </w:tcPr>
          <w:p w14:paraId="7BB71BDF"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Congestive heart failure</w:t>
            </w:r>
          </w:p>
        </w:tc>
        <w:tc>
          <w:tcPr>
            <w:tcW w:w="2026" w:type="dxa"/>
          </w:tcPr>
          <w:p w14:paraId="3AB5240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5234480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3ABB4D4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3E91048C"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C684194"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1BEFDF2" w14:textId="77777777" w:rsidTr="002D2677">
        <w:trPr>
          <w:trHeight w:val="23"/>
        </w:trPr>
        <w:tc>
          <w:tcPr>
            <w:tcW w:w="3828" w:type="dxa"/>
            <w:noWrap/>
            <w:vAlign w:val="center"/>
          </w:tcPr>
          <w:p w14:paraId="31CD7CC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3339BBD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3,586 (34.7)</w:t>
            </w:r>
          </w:p>
        </w:tc>
        <w:tc>
          <w:tcPr>
            <w:tcW w:w="2026" w:type="dxa"/>
          </w:tcPr>
          <w:p w14:paraId="48E7C1C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806 (22.5)</w:t>
            </w:r>
          </w:p>
        </w:tc>
        <w:tc>
          <w:tcPr>
            <w:tcW w:w="2027" w:type="dxa"/>
          </w:tcPr>
          <w:p w14:paraId="7E01E29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0.68 (0.62, 0.74)</w:t>
            </w:r>
          </w:p>
        </w:tc>
        <w:tc>
          <w:tcPr>
            <w:tcW w:w="2026" w:type="dxa"/>
          </w:tcPr>
          <w:p w14:paraId="295F430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0.72 (0.65, 0.79)</w:t>
            </w:r>
          </w:p>
        </w:tc>
        <w:tc>
          <w:tcPr>
            <w:tcW w:w="2027" w:type="dxa"/>
            <w:noWrap/>
          </w:tcPr>
          <w:p w14:paraId="469C358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00D2141E" w14:textId="77777777" w:rsidTr="002D2677">
        <w:trPr>
          <w:trHeight w:val="23"/>
        </w:trPr>
        <w:tc>
          <w:tcPr>
            <w:tcW w:w="3828" w:type="dxa"/>
            <w:noWrap/>
            <w:vAlign w:val="center"/>
          </w:tcPr>
          <w:p w14:paraId="47210EB2"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5A3D9E2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6,735 (65.3)</w:t>
            </w:r>
          </w:p>
        </w:tc>
        <w:tc>
          <w:tcPr>
            <w:tcW w:w="2026" w:type="dxa"/>
          </w:tcPr>
          <w:p w14:paraId="08E90FB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2,021 (30.0)</w:t>
            </w:r>
          </w:p>
        </w:tc>
        <w:tc>
          <w:tcPr>
            <w:tcW w:w="2027" w:type="dxa"/>
          </w:tcPr>
          <w:p w14:paraId="700BC4C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0E87F69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110B7D49"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0CD094A" w14:textId="77777777" w:rsidTr="002D2677">
        <w:trPr>
          <w:trHeight w:val="23"/>
        </w:trPr>
        <w:tc>
          <w:tcPr>
            <w:tcW w:w="3828" w:type="dxa"/>
            <w:noWrap/>
            <w:vAlign w:val="center"/>
          </w:tcPr>
          <w:p w14:paraId="165A7807"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Peripheral vascular disease</w:t>
            </w:r>
          </w:p>
        </w:tc>
        <w:tc>
          <w:tcPr>
            <w:tcW w:w="2026" w:type="dxa"/>
          </w:tcPr>
          <w:p w14:paraId="27BB4FB4"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57ED835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4DD4AC1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72DA935E"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46547303"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63756ED" w14:textId="77777777" w:rsidTr="002D2677">
        <w:trPr>
          <w:trHeight w:val="23"/>
        </w:trPr>
        <w:tc>
          <w:tcPr>
            <w:tcW w:w="3828" w:type="dxa"/>
            <w:noWrap/>
            <w:vAlign w:val="center"/>
          </w:tcPr>
          <w:p w14:paraId="44EA357F"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68132C4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2,008 (19.5)</w:t>
            </w:r>
          </w:p>
        </w:tc>
        <w:tc>
          <w:tcPr>
            <w:tcW w:w="2026" w:type="dxa"/>
          </w:tcPr>
          <w:p w14:paraId="4296127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434 (21.6)</w:t>
            </w:r>
          </w:p>
        </w:tc>
        <w:tc>
          <w:tcPr>
            <w:tcW w:w="2027" w:type="dxa"/>
          </w:tcPr>
          <w:p w14:paraId="124EDF9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0.68 (0.61, 0.77)</w:t>
            </w:r>
          </w:p>
        </w:tc>
        <w:tc>
          <w:tcPr>
            <w:tcW w:w="2026" w:type="dxa"/>
          </w:tcPr>
          <w:p w14:paraId="76E5139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0.72 (0.64, 0.81)</w:t>
            </w:r>
          </w:p>
        </w:tc>
        <w:tc>
          <w:tcPr>
            <w:tcW w:w="2027" w:type="dxa"/>
            <w:noWrap/>
          </w:tcPr>
          <w:p w14:paraId="4D2EC48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489054E2" w14:textId="77777777" w:rsidTr="002D2677">
        <w:trPr>
          <w:trHeight w:val="23"/>
        </w:trPr>
        <w:tc>
          <w:tcPr>
            <w:tcW w:w="3828" w:type="dxa"/>
            <w:noWrap/>
            <w:vAlign w:val="center"/>
          </w:tcPr>
          <w:p w14:paraId="640E85A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1C2B5E4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8,313 (80.5)</w:t>
            </w:r>
          </w:p>
        </w:tc>
        <w:tc>
          <w:tcPr>
            <w:tcW w:w="2026" w:type="dxa"/>
          </w:tcPr>
          <w:p w14:paraId="46CC52C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2,393 (28.8)</w:t>
            </w:r>
          </w:p>
        </w:tc>
        <w:tc>
          <w:tcPr>
            <w:tcW w:w="2027" w:type="dxa"/>
          </w:tcPr>
          <w:p w14:paraId="2790BB1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7665510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27E2F2FB"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4CD8F5B" w14:textId="77777777" w:rsidTr="002D2677">
        <w:trPr>
          <w:trHeight w:val="23"/>
        </w:trPr>
        <w:tc>
          <w:tcPr>
            <w:tcW w:w="3828" w:type="dxa"/>
            <w:noWrap/>
            <w:vAlign w:val="center"/>
          </w:tcPr>
          <w:p w14:paraId="641549CD"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Cerebrovascular disease</w:t>
            </w:r>
          </w:p>
        </w:tc>
        <w:tc>
          <w:tcPr>
            <w:tcW w:w="2026" w:type="dxa"/>
          </w:tcPr>
          <w:p w14:paraId="1FBD264D"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36730FD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7734A4D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39A3D8B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DBDC8CF"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6990A1E4" w14:textId="77777777" w:rsidTr="002D2677">
        <w:trPr>
          <w:trHeight w:val="23"/>
        </w:trPr>
        <w:tc>
          <w:tcPr>
            <w:tcW w:w="3828" w:type="dxa"/>
            <w:noWrap/>
            <w:vAlign w:val="center"/>
          </w:tcPr>
          <w:p w14:paraId="6D016DF2"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6AE3DF9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2,843 (27.5)</w:t>
            </w:r>
          </w:p>
        </w:tc>
        <w:tc>
          <w:tcPr>
            <w:tcW w:w="2026" w:type="dxa"/>
          </w:tcPr>
          <w:p w14:paraId="4305754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639 (22.5)</w:t>
            </w:r>
          </w:p>
        </w:tc>
        <w:tc>
          <w:tcPr>
            <w:tcW w:w="2027" w:type="dxa"/>
          </w:tcPr>
          <w:p w14:paraId="4371F5E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0.70 (0.63, 0.78)</w:t>
            </w:r>
          </w:p>
        </w:tc>
        <w:tc>
          <w:tcPr>
            <w:tcW w:w="2026" w:type="dxa"/>
          </w:tcPr>
          <w:p w14:paraId="05F333C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0.77 (0.69, 0.86)</w:t>
            </w:r>
          </w:p>
        </w:tc>
        <w:tc>
          <w:tcPr>
            <w:tcW w:w="2027" w:type="dxa"/>
            <w:noWrap/>
          </w:tcPr>
          <w:p w14:paraId="5E15134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2508884A" w14:textId="77777777" w:rsidTr="002D2677">
        <w:trPr>
          <w:trHeight w:val="23"/>
        </w:trPr>
        <w:tc>
          <w:tcPr>
            <w:tcW w:w="3828" w:type="dxa"/>
            <w:noWrap/>
            <w:vAlign w:val="center"/>
          </w:tcPr>
          <w:p w14:paraId="6C9F9CA4"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4249203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7,478 (72.5)</w:t>
            </w:r>
          </w:p>
        </w:tc>
        <w:tc>
          <w:tcPr>
            <w:tcW w:w="2026" w:type="dxa"/>
          </w:tcPr>
          <w:p w14:paraId="0A6683E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2,188 (29.3)</w:t>
            </w:r>
          </w:p>
        </w:tc>
        <w:tc>
          <w:tcPr>
            <w:tcW w:w="2027" w:type="dxa"/>
          </w:tcPr>
          <w:p w14:paraId="19DFE4A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3D54A8E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73E14B09"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E0CDF18" w14:textId="77777777" w:rsidTr="002D2677">
        <w:trPr>
          <w:trHeight w:val="23"/>
        </w:trPr>
        <w:tc>
          <w:tcPr>
            <w:tcW w:w="3828" w:type="dxa"/>
            <w:noWrap/>
            <w:vAlign w:val="center"/>
          </w:tcPr>
          <w:p w14:paraId="536147A3"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Dementia</w:t>
            </w:r>
          </w:p>
        </w:tc>
        <w:tc>
          <w:tcPr>
            <w:tcW w:w="2026" w:type="dxa"/>
          </w:tcPr>
          <w:p w14:paraId="5606205D"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44147C0E"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60E810F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41E05C9A"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74D5D9B"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1D49B87" w14:textId="77777777" w:rsidTr="002D2677">
        <w:trPr>
          <w:trHeight w:val="23"/>
        </w:trPr>
        <w:tc>
          <w:tcPr>
            <w:tcW w:w="3828" w:type="dxa"/>
            <w:noWrap/>
            <w:vAlign w:val="center"/>
          </w:tcPr>
          <w:p w14:paraId="5ED7891D"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0DB3FED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488 (4.7)</w:t>
            </w:r>
          </w:p>
        </w:tc>
        <w:tc>
          <w:tcPr>
            <w:tcW w:w="2026" w:type="dxa"/>
          </w:tcPr>
          <w:p w14:paraId="4D45629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98 (20.1)</w:t>
            </w:r>
          </w:p>
        </w:tc>
        <w:tc>
          <w:tcPr>
            <w:tcW w:w="2027" w:type="dxa"/>
          </w:tcPr>
          <w:p w14:paraId="79E5045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0.65 (0.52, 0.82)</w:t>
            </w:r>
          </w:p>
        </w:tc>
        <w:tc>
          <w:tcPr>
            <w:tcW w:w="2026" w:type="dxa"/>
          </w:tcPr>
          <w:p w14:paraId="61E364C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0.77 (0.61, 0.98)</w:t>
            </w:r>
          </w:p>
        </w:tc>
        <w:tc>
          <w:tcPr>
            <w:tcW w:w="2027" w:type="dxa"/>
            <w:noWrap/>
          </w:tcPr>
          <w:p w14:paraId="6B9D04F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0.032</w:t>
            </w:r>
          </w:p>
        </w:tc>
      </w:tr>
      <w:tr w:rsidR="00D250E5" w:rsidRPr="00737A30" w14:paraId="7F026626" w14:textId="77777777" w:rsidTr="002D2677">
        <w:trPr>
          <w:trHeight w:val="23"/>
        </w:trPr>
        <w:tc>
          <w:tcPr>
            <w:tcW w:w="3828" w:type="dxa"/>
            <w:noWrap/>
            <w:vAlign w:val="center"/>
          </w:tcPr>
          <w:p w14:paraId="545F4037"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652F645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9,833 (95.3)</w:t>
            </w:r>
          </w:p>
        </w:tc>
        <w:tc>
          <w:tcPr>
            <w:tcW w:w="2026" w:type="dxa"/>
          </w:tcPr>
          <w:p w14:paraId="6629065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2,729 (27.8)</w:t>
            </w:r>
          </w:p>
        </w:tc>
        <w:tc>
          <w:tcPr>
            <w:tcW w:w="2027" w:type="dxa"/>
          </w:tcPr>
          <w:p w14:paraId="4EE616C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6C0550F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23012C04"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68830B03" w14:textId="77777777" w:rsidTr="002D2677">
        <w:trPr>
          <w:trHeight w:val="23"/>
        </w:trPr>
        <w:tc>
          <w:tcPr>
            <w:tcW w:w="3828" w:type="dxa"/>
            <w:noWrap/>
            <w:vAlign w:val="center"/>
          </w:tcPr>
          <w:p w14:paraId="1A15B1B3"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Chronic pulmonary disease</w:t>
            </w:r>
          </w:p>
        </w:tc>
        <w:tc>
          <w:tcPr>
            <w:tcW w:w="2026" w:type="dxa"/>
          </w:tcPr>
          <w:p w14:paraId="4D4ED71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649EC75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3A51B4E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6B962EDA"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7B9043B9"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6395AEA" w14:textId="77777777" w:rsidTr="002D2677">
        <w:trPr>
          <w:trHeight w:val="23"/>
        </w:trPr>
        <w:tc>
          <w:tcPr>
            <w:tcW w:w="3828" w:type="dxa"/>
            <w:noWrap/>
            <w:vAlign w:val="center"/>
          </w:tcPr>
          <w:p w14:paraId="064A6735"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6F660C0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10,279 (99.6)</w:t>
            </w:r>
          </w:p>
        </w:tc>
        <w:tc>
          <w:tcPr>
            <w:tcW w:w="2026" w:type="dxa"/>
          </w:tcPr>
          <w:p w14:paraId="38E970F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2,827 (27.5)</w:t>
            </w:r>
          </w:p>
        </w:tc>
        <w:tc>
          <w:tcPr>
            <w:tcW w:w="2027" w:type="dxa"/>
          </w:tcPr>
          <w:p w14:paraId="6E9EB12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&gt;100 (0.00, &gt;100)</w:t>
            </w:r>
          </w:p>
        </w:tc>
        <w:tc>
          <w:tcPr>
            <w:tcW w:w="2026" w:type="dxa"/>
          </w:tcPr>
          <w:p w14:paraId="58FE283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&gt;100 (0.00, &gt;100)</w:t>
            </w:r>
          </w:p>
        </w:tc>
        <w:tc>
          <w:tcPr>
            <w:tcW w:w="2027" w:type="dxa"/>
            <w:noWrap/>
          </w:tcPr>
          <w:p w14:paraId="2958942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0.918</w:t>
            </w:r>
          </w:p>
        </w:tc>
      </w:tr>
      <w:tr w:rsidR="00D250E5" w:rsidRPr="00737A30" w14:paraId="1C0D11A7" w14:textId="77777777" w:rsidTr="002D2677">
        <w:trPr>
          <w:trHeight w:val="23"/>
        </w:trPr>
        <w:tc>
          <w:tcPr>
            <w:tcW w:w="3828" w:type="dxa"/>
            <w:noWrap/>
            <w:vAlign w:val="center"/>
          </w:tcPr>
          <w:p w14:paraId="2161914F"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3710566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42 (0.4)</w:t>
            </w:r>
          </w:p>
        </w:tc>
        <w:tc>
          <w:tcPr>
            <w:tcW w:w="2026" w:type="dxa"/>
          </w:tcPr>
          <w:p w14:paraId="08D0351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w:t>
            </w:r>
          </w:p>
        </w:tc>
        <w:tc>
          <w:tcPr>
            <w:tcW w:w="2027" w:type="dxa"/>
          </w:tcPr>
          <w:p w14:paraId="3691949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09FF1C0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1AE3464F"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3E815F4" w14:textId="77777777" w:rsidTr="002D2677">
        <w:trPr>
          <w:trHeight w:val="23"/>
        </w:trPr>
        <w:tc>
          <w:tcPr>
            <w:tcW w:w="3828" w:type="dxa"/>
            <w:noWrap/>
            <w:vAlign w:val="center"/>
          </w:tcPr>
          <w:p w14:paraId="3C6AFC0D"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Rheumatic disease</w:t>
            </w:r>
          </w:p>
        </w:tc>
        <w:tc>
          <w:tcPr>
            <w:tcW w:w="2026" w:type="dxa"/>
          </w:tcPr>
          <w:p w14:paraId="6F54440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0EC2C16C"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60830FE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F059ED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35AC0928"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C7B07D0" w14:textId="77777777" w:rsidTr="002D2677">
        <w:trPr>
          <w:trHeight w:val="23"/>
        </w:trPr>
        <w:tc>
          <w:tcPr>
            <w:tcW w:w="3828" w:type="dxa"/>
            <w:noWrap/>
            <w:vAlign w:val="center"/>
          </w:tcPr>
          <w:p w14:paraId="199F03FD"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0468CC4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937 (9.1)</w:t>
            </w:r>
          </w:p>
        </w:tc>
        <w:tc>
          <w:tcPr>
            <w:tcW w:w="2026" w:type="dxa"/>
          </w:tcPr>
          <w:p w14:paraId="4372026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214 (22.8)</w:t>
            </w:r>
          </w:p>
        </w:tc>
        <w:tc>
          <w:tcPr>
            <w:tcW w:w="2027" w:type="dxa"/>
          </w:tcPr>
          <w:p w14:paraId="07D238B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0.77 (0.65, 0.90)</w:t>
            </w:r>
          </w:p>
        </w:tc>
        <w:tc>
          <w:tcPr>
            <w:tcW w:w="2026" w:type="dxa"/>
          </w:tcPr>
          <w:p w14:paraId="26D70A3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0.72 (0.61, 0.85)</w:t>
            </w:r>
          </w:p>
        </w:tc>
        <w:tc>
          <w:tcPr>
            <w:tcW w:w="2027" w:type="dxa"/>
            <w:noWrap/>
          </w:tcPr>
          <w:p w14:paraId="22AFC73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144E7F4F" w14:textId="77777777" w:rsidTr="002D2677">
        <w:trPr>
          <w:trHeight w:val="23"/>
        </w:trPr>
        <w:tc>
          <w:tcPr>
            <w:tcW w:w="3828" w:type="dxa"/>
            <w:noWrap/>
            <w:vAlign w:val="center"/>
          </w:tcPr>
          <w:p w14:paraId="26E7873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1B3A010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9,384 (90.9)</w:t>
            </w:r>
          </w:p>
        </w:tc>
        <w:tc>
          <w:tcPr>
            <w:tcW w:w="2026" w:type="dxa"/>
          </w:tcPr>
          <w:p w14:paraId="1B45183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2,613 (27.8)</w:t>
            </w:r>
          </w:p>
        </w:tc>
        <w:tc>
          <w:tcPr>
            <w:tcW w:w="2027" w:type="dxa"/>
          </w:tcPr>
          <w:p w14:paraId="44BDFCA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4793296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73A822DD"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3CA9AF9" w14:textId="77777777" w:rsidTr="002D2677">
        <w:trPr>
          <w:trHeight w:val="23"/>
        </w:trPr>
        <w:tc>
          <w:tcPr>
            <w:tcW w:w="3828" w:type="dxa"/>
            <w:noWrap/>
            <w:vAlign w:val="center"/>
          </w:tcPr>
          <w:p w14:paraId="2276B977"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lastRenderedPageBreak/>
              <w:t>Peptic ulcer disease</w:t>
            </w:r>
          </w:p>
        </w:tc>
        <w:tc>
          <w:tcPr>
            <w:tcW w:w="2026" w:type="dxa"/>
          </w:tcPr>
          <w:p w14:paraId="3FB5D3C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3D8B944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2EC426BC"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360EC3F4"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F803052"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0FE3B70" w14:textId="77777777" w:rsidTr="002D2677">
        <w:trPr>
          <w:trHeight w:val="23"/>
        </w:trPr>
        <w:tc>
          <w:tcPr>
            <w:tcW w:w="3828" w:type="dxa"/>
            <w:noWrap/>
            <w:vAlign w:val="center"/>
          </w:tcPr>
          <w:p w14:paraId="2EA80C9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7FF6BC7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4,017 (38.9)</w:t>
            </w:r>
          </w:p>
        </w:tc>
        <w:tc>
          <w:tcPr>
            <w:tcW w:w="2026" w:type="dxa"/>
          </w:tcPr>
          <w:p w14:paraId="37A8038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948 (23.6)</w:t>
            </w:r>
          </w:p>
        </w:tc>
        <w:tc>
          <w:tcPr>
            <w:tcW w:w="2027" w:type="dxa"/>
          </w:tcPr>
          <w:p w14:paraId="439B5E9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0.73 (0.66, 0.80)</w:t>
            </w:r>
          </w:p>
        </w:tc>
        <w:tc>
          <w:tcPr>
            <w:tcW w:w="2026" w:type="dxa"/>
          </w:tcPr>
          <w:p w14:paraId="3A88312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0.79 (0.72, 0.87)</w:t>
            </w:r>
          </w:p>
        </w:tc>
        <w:tc>
          <w:tcPr>
            <w:tcW w:w="2027" w:type="dxa"/>
            <w:noWrap/>
          </w:tcPr>
          <w:p w14:paraId="15D17EE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63407BE8" w14:textId="77777777" w:rsidTr="002D2677">
        <w:trPr>
          <w:trHeight w:val="23"/>
        </w:trPr>
        <w:tc>
          <w:tcPr>
            <w:tcW w:w="3828" w:type="dxa"/>
            <w:noWrap/>
            <w:vAlign w:val="center"/>
          </w:tcPr>
          <w:p w14:paraId="543AF128"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7442719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6,304 (61.1)</w:t>
            </w:r>
          </w:p>
        </w:tc>
        <w:tc>
          <w:tcPr>
            <w:tcW w:w="2026" w:type="dxa"/>
          </w:tcPr>
          <w:p w14:paraId="340C4A1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1,879 (29.8)</w:t>
            </w:r>
          </w:p>
        </w:tc>
        <w:tc>
          <w:tcPr>
            <w:tcW w:w="2027" w:type="dxa"/>
          </w:tcPr>
          <w:p w14:paraId="5683B3B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15925F6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2B61D54C"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68684449" w14:textId="77777777" w:rsidTr="002D2677">
        <w:trPr>
          <w:trHeight w:val="23"/>
        </w:trPr>
        <w:tc>
          <w:tcPr>
            <w:tcW w:w="3828" w:type="dxa"/>
            <w:noWrap/>
            <w:vAlign w:val="center"/>
          </w:tcPr>
          <w:p w14:paraId="3BDE4F12"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Mild liver disease</w:t>
            </w:r>
          </w:p>
        </w:tc>
        <w:tc>
          <w:tcPr>
            <w:tcW w:w="2026" w:type="dxa"/>
          </w:tcPr>
          <w:p w14:paraId="5A8C2C9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4E96BE5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08121A7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398E9D9A"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2F40EA46"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8EAD6D9" w14:textId="77777777" w:rsidTr="002D2677">
        <w:trPr>
          <w:trHeight w:val="23"/>
        </w:trPr>
        <w:tc>
          <w:tcPr>
            <w:tcW w:w="3828" w:type="dxa"/>
            <w:noWrap/>
            <w:vAlign w:val="center"/>
          </w:tcPr>
          <w:p w14:paraId="0310A1F4"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3021C3A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2,801 (27.1)</w:t>
            </w:r>
          </w:p>
        </w:tc>
        <w:tc>
          <w:tcPr>
            <w:tcW w:w="2026" w:type="dxa"/>
          </w:tcPr>
          <w:p w14:paraId="1A5C292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640 (22.8)</w:t>
            </w:r>
          </w:p>
        </w:tc>
        <w:tc>
          <w:tcPr>
            <w:tcW w:w="2027" w:type="dxa"/>
          </w:tcPr>
          <w:p w14:paraId="5CA47AB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0.72 (0.65, 0.80)</w:t>
            </w:r>
          </w:p>
        </w:tc>
        <w:tc>
          <w:tcPr>
            <w:tcW w:w="2026" w:type="dxa"/>
          </w:tcPr>
          <w:p w14:paraId="2D04906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0.76 (0.68, 0.84)</w:t>
            </w:r>
          </w:p>
        </w:tc>
        <w:tc>
          <w:tcPr>
            <w:tcW w:w="2027" w:type="dxa"/>
            <w:noWrap/>
          </w:tcPr>
          <w:p w14:paraId="2323A12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15D0BA53" w14:textId="77777777" w:rsidTr="002D2677">
        <w:trPr>
          <w:trHeight w:val="23"/>
        </w:trPr>
        <w:tc>
          <w:tcPr>
            <w:tcW w:w="3828" w:type="dxa"/>
            <w:noWrap/>
            <w:vAlign w:val="center"/>
          </w:tcPr>
          <w:p w14:paraId="54410FB5"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5F047A8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7,520 (72.9)</w:t>
            </w:r>
          </w:p>
        </w:tc>
        <w:tc>
          <w:tcPr>
            <w:tcW w:w="2026" w:type="dxa"/>
          </w:tcPr>
          <w:p w14:paraId="49DD7CD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2,187 (29.1)</w:t>
            </w:r>
          </w:p>
        </w:tc>
        <w:tc>
          <w:tcPr>
            <w:tcW w:w="2027" w:type="dxa"/>
          </w:tcPr>
          <w:p w14:paraId="510AF7E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2CD4604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6A7E996C"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36AA9FA" w14:textId="77777777" w:rsidTr="002D2677">
        <w:trPr>
          <w:trHeight w:val="23"/>
        </w:trPr>
        <w:tc>
          <w:tcPr>
            <w:tcW w:w="3828" w:type="dxa"/>
            <w:noWrap/>
            <w:vAlign w:val="center"/>
          </w:tcPr>
          <w:p w14:paraId="0388BFD3"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Diabetes without chronic complications</w:t>
            </w:r>
          </w:p>
        </w:tc>
        <w:tc>
          <w:tcPr>
            <w:tcW w:w="2026" w:type="dxa"/>
          </w:tcPr>
          <w:p w14:paraId="3033A19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47CA466A"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35FC2B5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616C85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30FE255"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0DE9098" w14:textId="77777777" w:rsidTr="002D2677">
        <w:trPr>
          <w:trHeight w:val="23"/>
        </w:trPr>
        <w:tc>
          <w:tcPr>
            <w:tcW w:w="3828" w:type="dxa"/>
            <w:noWrap/>
            <w:vAlign w:val="center"/>
          </w:tcPr>
          <w:p w14:paraId="4E07A028"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1597EB3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759 (7.4)</w:t>
            </w:r>
          </w:p>
        </w:tc>
        <w:tc>
          <w:tcPr>
            <w:tcW w:w="2026" w:type="dxa"/>
          </w:tcPr>
          <w:p w14:paraId="00263CF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144 (19.0)</w:t>
            </w:r>
          </w:p>
        </w:tc>
        <w:tc>
          <w:tcPr>
            <w:tcW w:w="2027" w:type="dxa"/>
          </w:tcPr>
          <w:p w14:paraId="55FCE5B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0.60 (0.50, 0.72)</w:t>
            </w:r>
          </w:p>
        </w:tc>
        <w:tc>
          <w:tcPr>
            <w:tcW w:w="2026" w:type="dxa"/>
          </w:tcPr>
          <w:p w14:paraId="620529C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0.64 (0.53, 0.78)</w:t>
            </w:r>
          </w:p>
        </w:tc>
        <w:tc>
          <w:tcPr>
            <w:tcW w:w="2027" w:type="dxa"/>
            <w:noWrap/>
          </w:tcPr>
          <w:p w14:paraId="7B204AB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6BDA7128" w14:textId="77777777" w:rsidTr="002D2677">
        <w:trPr>
          <w:trHeight w:val="23"/>
        </w:trPr>
        <w:tc>
          <w:tcPr>
            <w:tcW w:w="3828" w:type="dxa"/>
            <w:noWrap/>
            <w:vAlign w:val="center"/>
          </w:tcPr>
          <w:p w14:paraId="155DC98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4A07E26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9,562 (92.6)</w:t>
            </w:r>
          </w:p>
        </w:tc>
        <w:tc>
          <w:tcPr>
            <w:tcW w:w="2026" w:type="dxa"/>
          </w:tcPr>
          <w:p w14:paraId="2B857E6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2,683 (28.1)</w:t>
            </w:r>
          </w:p>
        </w:tc>
        <w:tc>
          <w:tcPr>
            <w:tcW w:w="2027" w:type="dxa"/>
          </w:tcPr>
          <w:p w14:paraId="3B4E3DD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43A6F21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76A3254A"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6AFBB13" w14:textId="77777777" w:rsidTr="002D2677">
        <w:trPr>
          <w:trHeight w:val="23"/>
        </w:trPr>
        <w:tc>
          <w:tcPr>
            <w:tcW w:w="3828" w:type="dxa"/>
            <w:noWrap/>
            <w:vAlign w:val="center"/>
          </w:tcPr>
          <w:p w14:paraId="3633ED50"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Diabetes with chronic complications</w:t>
            </w:r>
          </w:p>
        </w:tc>
        <w:tc>
          <w:tcPr>
            <w:tcW w:w="2026" w:type="dxa"/>
          </w:tcPr>
          <w:p w14:paraId="0123F18E"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5AF67FBE"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3D8F8DD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4741530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301B699F"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E1FE030" w14:textId="77777777" w:rsidTr="002D2677">
        <w:trPr>
          <w:trHeight w:val="23"/>
        </w:trPr>
        <w:tc>
          <w:tcPr>
            <w:tcW w:w="3828" w:type="dxa"/>
            <w:noWrap/>
            <w:vAlign w:val="center"/>
          </w:tcPr>
          <w:p w14:paraId="3EA8983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64E4B81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954 (9.2)</w:t>
            </w:r>
          </w:p>
        </w:tc>
        <w:tc>
          <w:tcPr>
            <w:tcW w:w="2026" w:type="dxa"/>
          </w:tcPr>
          <w:p w14:paraId="357848F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200 (21.0)</w:t>
            </w:r>
          </w:p>
        </w:tc>
        <w:tc>
          <w:tcPr>
            <w:tcW w:w="2027" w:type="dxa"/>
          </w:tcPr>
          <w:p w14:paraId="62930A8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0.68 (0.58, 0.80)</w:t>
            </w:r>
          </w:p>
        </w:tc>
        <w:tc>
          <w:tcPr>
            <w:tcW w:w="2026" w:type="dxa"/>
          </w:tcPr>
          <w:p w14:paraId="3E08F4F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0.68 (0.57, 0.80)</w:t>
            </w:r>
          </w:p>
        </w:tc>
        <w:tc>
          <w:tcPr>
            <w:tcW w:w="2027" w:type="dxa"/>
            <w:noWrap/>
          </w:tcPr>
          <w:p w14:paraId="78AA08C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758DEF73" w14:textId="77777777" w:rsidTr="002D2677">
        <w:trPr>
          <w:trHeight w:val="23"/>
        </w:trPr>
        <w:tc>
          <w:tcPr>
            <w:tcW w:w="3828" w:type="dxa"/>
            <w:noWrap/>
            <w:vAlign w:val="center"/>
          </w:tcPr>
          <w:p w14:paraId="17E84AE9"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458E8C5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9,367 (90.8)</w:t>
            </w:r>
          </w:p>
        </w:tc>
        <w:tc>
          <w:tcPr>
            <w:tcW w:w="2026" w:type="dxa"/>
          </w:tcPr>
          <w:p w14:paraId="08AA81D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2,627 (28.0)</w:t>
            </w:r>
          </w:p>
        </w:tc>
        <w:tc>
          <w:tcPr>
            <w:tcW w:w="2027" w:type="dxa"/>
          </w:tcPr>
          <w:p w14:paraId="1044746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2D32054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73008226"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DB53D18" w14:textId="77777777" w:rsidTr="002D2677">
        <w:trPr>
          <w:trHeight w:val="23"/>
        </w:trPr>
        <w:tc>
          <w:tcPr>
            <w:tcW w:w="3828" w:type="dxa"/>
            <w:noWrap/>
            <w:vAlign w:val="center"/>
          </w:tcPr>
          <w:p w14:paraId="61281486"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Hemiplegia or paraplegia</w:t>
            </w:r>
          </w:p>
        </w:tc>
        <w:tc>
          <w:tcPr>
            <w:tcW w:w="2026" w:type="dxa"/>
          </w:tcPr>
          <w:p w14:paraId="59A83B5C"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5FA1AB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06E0376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62BA181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183C55D3"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D396509" w14:textId="77777777" w:rsidTr="002D2677">
        <w:trPr>
          <w:trHeight w:val="23"/>
        </w:trPr>
        <w:tc>
          <w:tcPr>
            <w:tcW w:w="3828" w:type="dxa"/>
            <w:noWrap/>
            <w:vAlign w:val="center"/>
          </w:tcPr>
          <w:p w14:paraId="0CF59977"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450D123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198 (1.9)</w:t>
            </w:r>
          </w:p>
        </w:tc>
        <w:tc>
          <w:tcPr>
            <w:tcW w:w="2026" w:type="dxa"/>
          </w:tcPr>
          <w:p w14:paraId="2181AE3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42 (21.2)</w:t>
            </w:r>
          </w:p>
        </w:tc>
        <w:tc>
          <w:tcPr>
            <w:tcW w:w="2027" w:type="dxa"/>
          </w:tcPr>
          <w:p w14:paraId="070537B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0.71 (0.50, 1.00)</w:t>
            </w:r>
          </w:p>
        </w:tc>
        <w:tc>
          <w:tcPr>
            <w:tcW w:w="2026" w:type="dxa"/>
          </w:tcPr>
          <w:p w14:paraId="6E37491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0.78 (0.55, 1.11)</w:t>
            </w:r>
          </w:p>
        </w:tc>
        <w:tc>
          <w:tcPr>
            <w:tcW w:w="2027" w:type="dxa"/>
            <w:noWrap/>
          </w:tcPr>
          <w:p w14:paraId="59FCAB0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0.166</w:t>
            </w:r>
          </w:p>
        </w:tc>
      </w:tr>
      <w:tr w:rsidR="00D250E5" w:rsidRPr="00737A30" w14:paraId="03525502" w14:textId="77777777" w:rsidTr="002D2677">
        <w:trPr>
          <w:trHeight w:val="23"/>
        </w:trPr>
        <w:tc>
          <w:tcPr>
            <w:tcW w:w="3828" w:type="dxa"/>
            <w:noWrap/>
            <w:vAlign w:val="center"/>
          </w:tcPr>
          <w:p w14:paraId="2DE5E708"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67DCF2C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10,123 (98.1)</w:t>
            </w:r>
          </w:p>
        </w:tc>
        <w:tc>
          <w:tcPr>
            <w:tcW w:w="2026" w:type="dxa"/>
          </w:tcPr>
          <w:p w14:paraId="225B749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2,785 (27.5)</w:t>
            </w:r>
          </w:p>
        </w:tc>
        <w:tc>
          <w:tcPr>
            <w:tcW w:w="2027" w:type="dxa"/>
          </w:tcPr>
          <w:p w14:paraId="2994C80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4BCB9CF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5D50E447"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E1C68B4" w14:textId="77777777" w:rsidTr="002D2677">
        <w:trPr>
          <w:trHeight w:val="23"/>
        </w:trPr>
        <w:tc>
          <w:tcPr>
            <w:tcW w:w="3828" w:type="dxa"/>
            <w:noWrap/>
            <w:vAlign w:val="center"/>
          </w:tcPr>
          <w:p w14:paraId="0893DFB5"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Renal disease</w:t>
            </w:r>
          </w:p>
        </w:tc>
        <w:tc>
          <w:tcPr>
            <w:tcW w:w="2026" w:type="dxa"/>
          </w:tcPr>
          <w:p w14:paraId="2BF9DC2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B7F93E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585919E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6D42CDF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36E3D984"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4FC958B" w14:textId="77777777" w:rsidTr="002D2677">
        <w:trPr>
          <w:trHeight w:val="23"/>
        </w:trPr>
        <w:tc>
          <w:tcPr>
            <w:tcW w:w="3828" w:type="dxa"/>
            <w:noWrap/>
            <w:vAlign w:val="center"/>
          </w:tcPr>
          <w:p w14:paraId="02E9B3BC"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5AA0EDD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950 (9.2)</w:t>
            </w:r>
          </w:p>
        </w:tc>
        <w:tc>
          <w:tcPr>
            <w:tcW w:w="2026" w:type="dxa"/>
          </w:tcPr>
          <w:p w14:paraId="6AD03F7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165 (17.4)</w:t>
            </w:r>
          </w:p>
        </w:tc>
        <w:tc>
          <w:tcPr>
            <w:tcW w:w="2027" w:type="dxa"/>
          </w:tcPr>
          <w:p w14:paraId="521EE50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0.53 (0.45, 0.63)</w:t>
            </w:r>
          </w:p>
        </w:tc>
        <w:tc>
          <w:tcPr>
            <w:tcW w:w="2026" w:type="dxa"/>
          </w:tcPr>
          <w:p w14:paraId="064658F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0.57 (0.47, 0.68)</w:t>
            </w:r>
          </w:p>
        </w:tc>
        <w:tc>
          <w:tcPr>
            <w:tcW w:w="2027" w:type="dxa"/>
            <w:noWrap/>
          </w:tcPr>
          <w:p w14:paraId="53D0313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59D4F48B" w14:textId="77777777" w:rsidTr="002D2677">
        <w:trPr>
          <w:trHeight w:val="23"/>
        </w:trPr>
        <w:tc>
          <w:tcPr>
            <w:tcW w:w="3828" w:type="dxa"/>
            <w:noWrap/>
            <w:vAlign w:val="center"/>
          </w:tcPr>
          <w:p w14:paraId="1901E6C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78FF9F6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9,371 (90.8)</w:t>
            </w:r>
          </w:p>
        </w:tc>
        <w:tc>
          <w:tcPr>
            <w:tcW w:w="2026" w:type="dxa"/>
          </w:tcPr>
          <w:p w14:paraId="01944D2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2,662 (28.4)</w:t>
            </w:r>
          </w:p>
        </w:tc>
        <w:tc>
          <w:tcPr>
            <w:tcW w:w="2027" w:type="dxa"/>
          </w:tcPr>
          <w:p w14:paraId="316187E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05A7402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7C54BC9E"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B5774CF" w14:textId="77777777" w:rsidTr="002D2677">
        <w:trPr>
          <w:trHeight w:val="23"/>
        </w:trPr>
        <w:tc>
          <w:tcPr>
            <w:tcW w:w="3828" w:type="dxa"/>
            <w:noWrap/>
            <w:vAlign w:val="center"/>
          </w:tcPr>
          <w:p w14:paraId="59B65362"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Any malignancy</w:t>
            </w:r>
          </w:p>
        </w:tc>
        <w:tc>
          <w:tcPr>
            <w:tcW w:w="2026" w:type="dxa"/>
          </w:tcPr>
          <w:p w14:paraId="42A9BD1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04C87AD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1A1E6A1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BD9E814"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11A8FF51"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9118796" w14:textId="77777777" w:rsidTr="002D2677">
        <w:trPr>
          <w:trHeight w:val="23"/>
        </w:trPr>
        <w:tc>
          <w:tcPr>
            <w:tcW w:w="3828" w:type="dxa"/>
            <w:noWrap/>
            <w:vAlign w:val="center"/>
          </w:tcPr>
          <w:p w14:paraId="0528ED63"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0E27ADA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4,512 (43.7)</w:t>
            </w:r>
          </w:p>
        </w:tc>
        <w:tc>
          <w:tcPr>
            <w:tcW w:w="2026" w:type="dxa"/>
          </w:tcPr>
          <w:p w14:paraId="233EC75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931 (20.6)</w:t>
            </w:r>
          </w:p>
        </w:tc>
        <w:tc>
          <w:tcPr>
            <w:tcW w:w="2027" w:type="dxa"/>
          </w:tcPr>
          <w:p w14:paraId="3A71903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0.54 (0.49, 0.59)</w:t>
            </w:r>
          </w:p>
        </w:tc>
        <w:tc>
          <w:tcPr>
            <w:tcW w:w="2026" w:type="dxa"/>
          </w:tcPr>
          <w:p w14:paraId="31B5AE3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0.80 (0.62, 1.02)</w:t>
            </w:r>
          </w:p>
        </w:tc>
        <w:tc>
          <w:tcPr>
            <w:tcW w:w="2027" w:type="dxa"/>
            <w:noWrap/>
          </w:tcPr>
          <w:p w14:paraId="21E9954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0.073</w:t>
            </w:r>
          </w:p>
        </w:tc>
      </w:tr>
      <w:tr w:rsidR="00D250E5" w:rsidRPr="00737A30" w14:paraId="61A040C5" w14:textId="77777777" w:rsidTr="002D2677">
        <w:trPr>
          <w:trHeight w:val="23"/>
        </w:trPr>
        <w:tc>
          <w:tcPr>
            <w:tcW w:w="3828" w:type="dxa"/>
            <w:noWrap/>
            <w:vAlign w:val="center"/>
          </w:tcPr>
          <w:p w14:paraId="508B4C73"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0B00B22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5,809 (56.3)</w:t>
            </w:r>
          </w:p>
        </w:tc>
        <w:tc>
          <w:tcPr>
            <w:tcW w:w="2026" w:type="dxa"/>
          </w:tcPr>
          <w:p w14:paraId="34BEEB2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1,896 (32.6)</w:t>
            </w:r>
          </w:p>
        </w:tc>
        <w:tc>
          <w:tcPr>
            <w:tcW w:w="2027" w:type="dxa"/>
          </w:tcPr>
          <w:p w14:paraId="1B508D2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7C44551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6481C645"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6CBBBC00" w14:textId="77777777" w:rsidTr="002D2677">
        <w:trPr>
          <w:trHeight w:val="23"/>
        </w:trPr>
        <w:tc>
          <w:tcPr>
            <w:tcW w:w="3828" w:type="dxa"/>
            <w:noWrap/>
            <w:vAlign w:val="center"/>
          </w:tcPr>
          <w:p w14:paraId="5BE1C17F"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Moderate or severe liver disease</w:t>
            </w:r>
          </w:p>
        </w:tc>
        <w:tc>
          <w:tcPr>
            <w:tcW w:w="2026" w:type="dxa"/>
          </w:tcPr>
          <w:p w14:paraId="7EC90F9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0268B1C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057924E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389138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CBDE9B7"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807F3ED" w14:textId="77777777" w:rsidTr="002D2677">
        <w:trPr>
          <w:trHeight w:val="23"/>
        </w:trPr>
        <w:tc>
          <w:tcPr>
            <w:tcW w:w="3828" w:type="dxa"/>
            <w:noWrap/>
            <w:vAlign w:val="center"/>
          </w:tcPr>
          <w:p w14:paraId="79283C21"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1797A46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157 (1.5)</w:t>
            </w:r>
          </w:p>
        </w:tc>
        <w:tc>
          <w:tcPr>
            <w:tcW w:w="2026" w:type="dxa"/>
          </w:tcPr>
          <w:p w14:paraId="2F8B5C0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35 (22.3)</w:t>
            </w:r>
          </w:p>
        </w:tc>
        <w:tc>
          <w:tcPr>
            <w:tcW w:w="2027" w:type="dxa"/>
          </w:tcPr>
          <w:p w14:paraId="1056A3D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0.76 (0.52, 1.11)</w:t>
            </w:r>
          </w:p>
        </w:tc>
        <w:tc>
          <w:tcPr>
            <w:tcW w:w="2026" w:type="dxa"/>
          </w:tcPr>
          <w:p w14:paraId="66D7DEB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0.86 (0.58, 1.28)</w:t>
            </w:r>
          </w:p>
        </w:tc>
        <w:tc>
          <w:tcPr>
            <w:tcW w:w="2027" w:type="dxa"/>
            <w:noWrap/>
          </w:tcPr>
          <w:p w14:paraId="028734F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0.459</w:t>
            </w:r>
          </w:p>
        </w:tc>
      </w:tr>
      <w:tr w:rsidR="00D250E5" w:rsidRPr="00737A30" w14:paraId="1AA418EB" w14:textId="77777777" w:rsidTr="002D2677">
        <w:trPr>
          <w:trHeight w:val="23"/>
        </w:trPr>
        <w:tc>
          <w:tcPr>
            <w:tcW w:w="3828" w:type="dxa"/>
            <w:noWrap/>
            <w:vAlign w:val="center"/>
          </w:tcPr>
          <w:p w14:paraId="042578CF"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2C98600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10,164 (98.5)</w:t>
            </w:r>
          </w:p>
        </w:tc>
        <w:tc>
          <w:tcPr>
            <w:tcW w:w="2026" w:type="dxa"/>
          </w:tcPr>
          <w:p w14:paraId="6CA9140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2,792 (27.5)</w:t>
            </w:r>
          </w:p>
        </w:tc>
        <w:tc>
          <w:tcPr>
            <w:tcW w:w="2027" w:type="dxa"/>
          </w:tcPr>
          <w:p w14:paraId="2D71694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72E130B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4415FD52"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8D5AD00" w14:textId="77777777" w:rsidTr="002D2677">
        <w:trPr>
          <w:trHeight w:val="23"/>
        </w:trPr>
        <w:tc>
          <w:tcPr>
            <w:tcW w:w="3828" w:type="dxa"/>
            <w:noWrap/>
            <w:vAlign w:val="center"/>
          </w:tcPr>
          <w:p w14:paraId="245CB8F4"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Metastatic solid tumor</w:t>
            </w:r>
          </w:p>
        </w:tc>
        <w:tc>
          <w:tcPr>
            <w:tcW w:w="2026" w:type="dxa"/>
          </w:tcPr>
          <w:p w14:paraId="14302A5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6D5A400"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1D015DA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5872BEB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450B2D4D"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61DA3E5" w14:textId="77777777" w:rsidTr="002D2677">
        <w:trPr>
          <w:trHeight w:val="23"/>
        </w:trPr>
        <w:tc>
          <w:tcPr>
            <w:tcW w:w="3828" w:type="dxa"/>
            <w:noWrap/>
            <w:vAlign w:val="center"/>
          </w:tcPr>
          <w:p w14:paraId="185AC486"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6D32154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650 (6.3)</w:t>
            </w:r>
          </w:p>
        </w:tc>
        <w:tc>
          <w:tcPr>
            <w:tcW w:w="2026" w:type="dxa"/>
          </w:tcPr>
          <w:p w14:paraId="356650E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 (15.5)</w:t>
            </w:r>
          </w:p>
        </w:tc>
        <w:tc>
          <w:tcPr>
            <w:tcW w:w="2027" w:type="dxa"/>
          </w:tcPr>
          <w:p w14:paraId="3139A1B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0.47 (0.38, 0.58)</w:t>
            </w:r>
          </w:p>
        </w:tc>
        <w:tc>
          <w:tcPr>
            <w:tcW w:w="2026" w:type="dxa"/>
          </w:tcPr>
          <w:p w14:paraId="0AFE3C2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0.75 (0.59, 0.95)</w:t>
            </w:r>
          </w:p>
        </w:tc>
        <w:tc>
          <w:tcPr>
            <w:tcW w:w="2027" w:type="dxa"/>
            <w:noWrap/>
          </w:tcPr>
          <w:p w14:paraId="565781D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0.019</w:t>
            </w:r>
          </w:p>
        </w:tc>
      </w:tr>
      <w:tr w:rsidR="00D250E5" w:rsidRPr="00737A30" w14:paraId="14530176" w14:textId="77777777" w:rsidTr="002D2677">
        <w:trPr>
          <w:trHeight w:val="23"/>
        </w:trPr>
        <w:tc>
          <w:tcPr>
            <w:tcW w:w="3828" w:type="dxa"/>
            <w:noWrap/>
            <w:vAlign w:val="center"/>
          </w:tcPr>
          <w:p w14:paraId="6A257343"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39C3C0E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9,671 (93.7)</w:t>
            </w:r>
          </w:p>
        </w:tc>
        <w:tc>
          <w:tcPr>
            <w:tcW w:w="2026" w:type="dxa"/>
          </w:tcPr>
          <w:p w14:paraId="25CC6FE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2,726 (28.2)</w:t>
            </w:r>
          </w:p>
        </w:tc>
        <w:tc>
          <w:tcPr>
            <w:tcW w:w="2027" w:type="dxa"/>
          </w:tcPr>
          <w:p w14:paraId="2EECDE4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50185E4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51E68A43"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5924DE0" w14:textId="77777777" w:rsidTr="002D2677">
        <w:trPr>
          <w:trHeight w:val="23"/>
        </w:trPr>
        <w:tc>
          <w:tcPr>
            <w:tcW w:w="13960" w:type="dxa"/>
            <w:gridSpan w:val="6"/>
            <w:tcBorders>
              <w:top w:val="single" w:sz="4" w:space="0" w:color="auto"/>
            </w:tcBorders>
          </w:tcPr>
          <w:p w14:paraId="4F6BCC88"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Visit histories and medical procedures</w:t>
            </w:r>
          </w:p>
        </w:tc>
      </w:tr>
      <w:tr w:rsidR="00D250E5" w:rsidRPr="00737A30" w14:paraId="001C9A19" w14:textId="77777777" w:rsidTr="002D2677">
        <w:trPr>
          <w:trHeight w:val="23"/>
        </w:trPr>
        <w:tc>
          <w:tcPr>
            <w:tcW w:w="3828" w:type="dxa"/>
            <w:noWrap/>
            <w:vAlign w:val="center"/>
          </w:tcPr>
          <w:p w14:paraId="08C28DBA"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 xml:space="preserve">Outpatient visits per </w:t>
            </w:r>
            <w:proofErr w:type="spellStart"/>
            <w:r w:rsidRPr="00495D42">
              <w:rPr>
                <w:rFonts w:cs="Arial"/>
                <w:sz w:val="18"/>
                <w:szCs w:val="18"/>
              </w:rPr>
              <w:t>month</w:t>
            </w:r>
            <w:r w:rsidRPr="00495D42">
              <w:rPr>
                <w:rFonts w:cs="Arial"/>
                <w:sz w:val="18"/>
                <w:szCs w:val="18"/>
                <w:vertAlign w:val="superscript"/>
              </w:rPr>
              <w:t>a</w:t>
            </w:r>
            <w:proofErr w:type="spellEnd"/>
          </w:p>
        </w:tc>
        <w:tc>
          <w:tcPr>
            <w:tcW w:w="2026" w:type="dxa"/>
          </w:tcPr>
          <w:p w14:paraId="2AC3DC1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w:t>
            </w:r>
          </w:p>
        </w:tc>
        <w:tc>
          <w:tcPr>
            <w:tcW w:w="2026" w:type="dxa"/>
          </w:tcPr>
          <w:p w14:paraId="36DEDE5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1F0522E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318A33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33AC177"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E5DED66" w14:textId="77777777" w:rsidTr="002D2677">
        <w:trPr>
          <w:trHeight w:val="23"/>
        </w:trPr>
        <w:tc>
          <w:tcPr>
            <w:tcW w:w="3828" w:type="dxa"/>
            <w:noWrap/>
            <w:vAlign w:val="center"/>
          </w:tcPr>
          <w:p w14:paraId="64505679"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Number of hospitalizations</w:t>
            </w:r>
          </w:p>
        </w:tc>
        <w:tc>
          <w:tcPr>
            <w:tcW w:w="2026" w:type="dxa"/>
          </w:tcPr>
          <w:p w14:paraId="791242EE"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4C9E926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7A627F0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2FB14AE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3F933B7C"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D4C20FA" w14:textId="77777777" w:rsidTr="002D2677">
        <w:trPr>
          <w:trHeight w:val="23"/>
        </w:trPr>
        <w:tc>
          <w:tcPr>
            <w:tcW w:w="3828" w:type="dxa"/>
            <w:noWrap/>
            <w:vAlign w:val="center"/>
          </w:tcPr>
          <w:p w14:paraId="4469245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0</w:t>
            </w:r>
          </w:p>
        </w:tc>
        <w:tc>
          <w:tcPr>
            <w:tcW w:w="2026" w:type="dxa"/>
          </w:tcPr>
          <w:p w14:paraId="10A4FA7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6,301 (61.1)</w:t>
            </w:r>
          </w:p>
        </w:tc>
        <w:tc>
          <w:tcPr>
            <w:tcW w:w="2026" w:type="dxa"/>
          </w:tcPr>
          <w:p w14:paraId="2429C30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2,290 (36.3)</w:t>
            </w:r>
          </w:p>
        </w:tc>
        <w:tc>
          <w:tcPr>
            <w:tcW w:w="2027" w:type="dxa"/>
          </w:tcPr>
          <w:p w14:paraId="712AEF6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172F2DC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07FC837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44D5886D" w14:textId="77777777" w:rsidTr="002D2677">
        <w:trPr>
          <w:trHeight w:val="23"/>
        </w:trPr>
        <w:tc>
          <w:tcPr>
            <w:tcW w:w="3828" w:type="dxa"/>
            <w:noWrap/>
            <w:vAlign w:val="center"/>
          </w:tcPr>
          <w:p w14:paraId="6C9A123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1</w:t>
            </w:r>
          </w:p>
        </w:tc>
        <w:tc>
          <w:tcPr>
            <w:tcW w:w="2026" w:type="dxa"/>
          </w:tcPr>
          <w:p w14:paraId="6DBA1B3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2,461 (23.8)</w:t>
            </w:r>
          </w:p>
        </w:tc>
        <w:tc>
          <w:tcPr>
            <w:tcW w:w="2026" w:type="dxa"/>
          </w:tcPr>
          <w:p w14:paraId="17B2758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353 (14.3)</w:t>
            </w:r>
          </w:p>
        </w:tc>
        <w:tc>
          <w:tcPr>
            <w:tcW w:w="2027" w:type="dxa"/>
          </w:tcPr>
          <w:p w14:paraId="34539B9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0.29 (0.26, 0.33)</w:t>
            </w:r>
          </w:p>
        </w:tc>
        <w:tc>
          <w:tcPr>
            <w:tcW w:w="2026" w:type="dxa"/>
          </w:tcPr>
          <w:p w14:paraId="068446F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0.32 (0.28, 0.37)</w:t>
            </w:r>
          </w:p>
        </w:tc>
        <w:tc>
          <w:tcPr>
            <w:tcW w:w="2027" w:type="dxa"/>
            <w:noWrap/>
          </w:tcPr>
          <w:p w14:paraId="1BA28503"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CEC0733" w14:textId="77777777" w:rsidTr="002D2677">
        <w:trPr>
          <w:trHeight w:val="23"/>
        </w:trPr>
        <w:tc>
          <w:tcPr>
            <w:tcW w:w="3828" w:type="dxa"/>
            <w:noWrap/>
            <w:vAlign w:val="center"/>
          </w:tcPr>
          <w:p w14:paraId="4EDF8A4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≥2</w:t>
            </w:r>
          </w:p>
        </w:tc>
        <w:tc>
          <w:tcPr>
            <w:tcW w:w="2026" w:type="dxa"/>
          </w:tcPr>
          <w:p w14:paraId="70C78C1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1,559 (15.1)</w:t>
            </w:r>
          </w:p>
        </w:tc>
        <w:tc>
          <w:tcPr>
            <w:tcW w:w="2026" w:type="dxa"/>
          </w:tcPr>
          <w:p w14:paraId="3257570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184 (11.8)</w:t>
            </w:r>
          </w:p>
        </w:tc>
        <w:tc>
          <w:tcPr>
            <w:tcW w:w="2027" w:type="dxa"/>
          </w:tcPr>
          <w:p w14:paraId="5BB38D2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0.23 (0.20, 0.28)</w:t>
            </w:r>
          </w:p>
        </w:tc>
        <w:tc>
          <w:tcPr>
            <w:tcW w:w="2026" w:type="dxa"/>
          </w:tcPr>
          <w:p w14:paraId="123BD01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0.29 (0.25, 0.35)</w:t>
            </w:r>
          </w:p>
        </w:tc>
        <w:tc>
          <w:tcPr>
            <w:tcW w:w="2027" w:type="dxa"/>
            <w:noWrap/>
          </w:tcPr>
          <w:p w14:paraId="1BA9D20D"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4034E30" w14:textId="77777777" w:rsidTr="002D2677">
        <w:trPr>
          <w:trHeight w:val="23"/>
        </w:trPr>
        <w:tc>
          <w:tcPr>
            <w:tcW w:w="3828" w:type="dxa"/>
            <w:noWrap/>
            <w:vAlign w:val="center"/>
          </w:tcPr>
          <w:p w14:paraId="65DD1E7F"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History of moderate or severe pulmonary infection or respiratory failure</w:t>
            </w:r>
          </w:p>
        </w:tc>
        <w:tc>
          <w:tcPr>
            <w:tcW w:w="2026" w:type="dxa"/>
          </w:tcPr>
          <w:p w14:paraId="6EE7C85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4CFDF2D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455A33B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307DE45E"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8AEC688"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B9D03AA" w14:textId="77777777" w:rsidTr="002D2677">
        <w:trPr>
          <w:trHeight w:val="23"/>
        </w:trPr>
        <w:tc>
          <w:tcPr>
            <w:tcW w:w="3828" w:type="dxa"/>
            <w:noWrap/>
            <w:vAlign w:val="center"/>
          </w:tcPr>
          <w:p w14:paraId="5DDB47CD"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lastRenderedPageBreak/>
              <w:t>0</w:t>
            </w:r>
          </w:p>
        </w:tc>
        <w:tc>
          <w:tcPr>
            <w:tcW w:w="2026" w:type="dxa"/>
          </w:tcPr>
          <w:p w14:paraId="405E5E7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9,695 (93.9)</w:t>
            </w:r>
          </w:p>
        </w:tc>
        <w:tc>
          <w:tcPr>
            <w:tcW w:w="2026" w:type="dxa"/>
          </w:tcPr>
          <w:p w14:paraId="7F59B5C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2,812 (29.0)</w:t>
            </w:r>
          </w:p>
        </w:tc>
        <w:tc>
          <w:tcPr>
            <w:tcW w:w="2027" w:type="dxa"/>
          </w:tcPr>
          <w:p w14:paraId="2FA0150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2B54413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5A564B8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&lt;0.001</w:t>
            </w:r>
          </w:p>
        </w:tc>
      </w:tr>
      <w:tr w:rsidR="00D250E5" w:rsidRPr="00737A30" w14:paraId="7C4C7A8B" w14:textId="77777777" w:rsidTr="002D2677">
        <w:trPr>
          <w:trHeight w:val="23"/>
        </w:trPr>
        <w:tc>
          <w:tcPr>
            <w:tcW w:w="3828" w:type="dxa"/>
            <w:noWrap/>
            <w:vAlign w:val="center"/>
          </w:tcPr>
          <w:p w14:paraId="11A26761"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1</w:t>
            </w:r>
          </w:p>
        </w:tc>
        <w:tc>
          <w:tcPr>
            <w:tcW w:w="2026" w:type="dxa"/>
          </w:tcPr>
          <w:p w14:paraId="1E64A6D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556 (5.4)</w:t>
            </w:r>
          </w:p>
        </w:tc>
        <w:tc>
          <w:tcPr>
            <w:tcW w:w="2026" w:type="dxa"/>
          </w:tcPr>
          <w:p w14:paraId="16606AB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 (2.7)</w:t>
            </w:r>
          </w:p>
        </w:tc>
        <w:tc>
          <w:tcPr>
            <w:tcW w:w="2027" w:type="dxa"/>
          </w:tcPr>
          <w:p w14:paraId="0BEA5FD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0.07 (0.04, 0.11)</w:t>
            </w:r>
          </w:p>
        </w:tc>
        <w:tc>
          <w:tcPr>
            <w:tcW w:w="2026" w:type="dxa"/>
          </w:tcPr>
          <w:p w14:paraId="396CB7B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0.08 (0.05, 0.14)</w:t>
            </w:r>
          </w:p>
        </w:tc>
        <w:tc>
          <w:tcPr>
            <w:tcW w:w="2027" w:type="dxa"/>
            <w:noWrap/>
          </w:tcPr>
          <w:p w14:paraId="1AD1C3AD"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D90E2E3" w14:textId="77777777" w:rsidTr="002D2677">
        <w:trPr>
          <w:trHeight w:val="23"/>
        </w:trPr>
        <w:tc>
          <w:tcPr>
            <w:tcW w:w="3828" w:type="dxa"/>
            <w:noWrap/>
            <w:vAlign w:val="center"/>
          </w:tcPr>
          <w:p w14:paraId="1D061744"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≥2</w:t>
            </w:r>
          </w:p>
        </w:tc>
        <w:tc>
          <w:tcPr>
            <w:tcW w:w="2026" w:type="dxa"/>
          </w:tcPr>
          <w:p w14:paraId="0DB74D6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70 (0.7)</w:t>
            </w:r>
          </w:p>
        </w:tc>
        <w:tc>
          <w:tcPr>
            <w:tcW w:w="2026" w:type="dxa"/>
          </w:tcPr>
          <w:p w14:paraId="4C21C0C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w:t>
            </w:r>
          </w:p>
        </w:tc>
        <w:tc>
          <w:tcPr>
            <w:tcW w:w="2027" w:type="dxa"/>
          </w:tcPr>
          <w:p w14:paraId="45EEB53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0.00 (0.00, &gt;100)</w:t>
            </w:r>
          </w:p>
        </w:tc>
        <w:tc>
          <w:tcPr>
            <w:tcW w:w="2026" w:type="dxa"/>
          </w:tcPr>
          <w:p w14:paraId="71AAEE0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0.00 (0.00, &gt;100)</w:t>
            </w:r>
          </w:p>
        </w:tc>
        <w:tc>
          <w:tcPr>
            <w:tcW w:w="2027" w:type="dxa"/>
            <w:noWrap/>
          </w:tcPr>
          <w:p w14:paraId="457A3D5D"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ED79AAE" w14:textId="77777777" w:rsidTr="002D2677">
        <w:trPr>
          <w:trHeight w:val="23"/>
        </w:trPr>
        <w:tc>
          <w:tcPr>
            <w:tcW w:w="3828" w:type="dxa"/>
            <w:noWrap/>
            <w:vAlign w:val="center"/>
          </w:tcPr>
          <w:p w14:paraId="3A5D10F5"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Home oxygen therapy</w:t>
            </w:r>
          </w:p>
        </w:tc>
        <w:tc>
          <w:tcPr>
            <w:tcW w:w="2026" w:type="dxa"/>
          </w:tcPr>
          <w:p w14:paraId="1F604F7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4CD52E2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295817D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339730C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4A37196F"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331D517" w14:textId="77777777" w:rsidTr="002D2677">
        <w:trPr>
          <w:trHeight w:val="23"/>
        </w:trPr>
        <w:tc>
          <w:tcPr>
            <w:tcW w:w="3828" w:type="dxa"/>
            <w:noWrap/>
            <w:vAlign w:val="center"/>
          </w:tcPr>
          <w:p w14:paraId="7055D981"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288610F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292 (2.8)</w:t>
            </w:r>
          </w:p>
        </w:tc>
        <w:tc>
          <w:tcPr>
            <w:tcW w:w="2026" w:type="dxa"/>
          </w:tcPr>
          <w:p w14:paraId="3A45AB2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64 (21.9)</w:t>
            </w:r>
          </w:p>
        </w:tc>
        <w:tc>
          <w:tcPr>
            <w:tcW w:w="2027" w:type="dxa"/>
          </w:tcPr>
          <w:p w14:paraId="1DC48FD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0.74 (0.56, 0.98)</w:t>
            </w:r>
          </w:p>
        </w:tc>
        <w:tc>
          <w:tcPr>
            <w:tcW w:w="2026" w:type="dxa"/>
          </w:tcPr>
          <w:p w14:paraId="18CF620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0.95 (0.70, 1.27)</w:t>
            </w:r>
          </w:p>
        </w:tc>
        <w:tc>
          <w:tcPr>
            <w:tcW w:w="2027" w:type="dxa"/>
            <w:noWrap/>
          </w:tcPr>
          <w:p w14:paraId="66EFA8F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0.714</w:t>
            </w:r>
          </w:p>
        </w:tc>
      </w:tr>
      <w:tr w:rsidR="00D250E5" w:rsidRPr="00737A30" w14:paraId="03084CAC" w14:textId="77777777" w:rsidTr="002D2677">
        <w:trPr>
          <w:trHeight w:val="23"/>
        </w:trPr>
        <w:tc>
          <w:tcPr>
            <w:tcW w:w="3828" w:type="dxa"/>
            <w:noWrap/>
            <w:vAlign w:val="center"/>
          </w:tcPr>
          <w:p w14:paraId="79C88029"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Pr>
          <w:p w14:paraId="1BE9969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10,029 (97.2)</w:t>
            </w:r>
          </w:p>
        </w:tc>
        <w:tc>
          <w:tcPr>
            <w:tcW w:w="2026" w:type="dxa"/>
          </w:tcPr>
          <w:p w14:paraId="6B41DAE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2,763 (27.6)</w:t>
            </w:r>
          </w:p>
        </w:tc>
        <w:tc>
          <w:tcPr>
            <w:tcW w:w="2027" w:type="dxa"/>
          </w:tcPr>
          <w:p w14:paraId="5878439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Pr>
          <w:p w14:paraId="18C59FA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noWrap/>
          </w:tcPr>
          <w:p w14:paraId="708A41B9"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86E98B2" w14:textId="77777777" w:rsidTr="002D2677">
        <w:trPr>
          <w:trHeight w:val="23"/>
        </w:trPr>
        <w:tc>
          <w:tcPr>
            <w:tcW w:w="3828" w:type="dxa"/>
            <w:noWrap/>
            <w:vAlign w:val="center"/>
          </w:tcPr>
          <w:p w14:paraId="70721CB3"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Systemic glucocorticoids</w:t>
            </w:r>
          </w:p>
        </w:tc>
        <w:tc>
          <w:tcPr>
            <w:tcW w:w="2026" w:type="dxa"/>
          </w:tcPr>
          <w:p w14:paraId="64C4046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4EE9BA4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tcPr>
          <w:p w14:paraId="779B63D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6" w:type="dxa"/>
          </w:tcPr>
          <w:p w14:paraId="1F51541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E12F5DB"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FAFDF18" w14:textId="77777777" w:rsidTr="002D2677">
        <w:trPr>
          <w:trHeight w:val="23"/>
        </w:trPr>
        <w:tc>
          <w:tcPr>
            <w:tcW w:w="3828" w:type="dxa"/>
            <w:noWrap/>
            <w:vAlign w:val="center"/>
          </w:tcPr>
          <w:p w14:paraId="15E498B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Yes</w:t>
            </w:r>
          </w:p>
        </w:tc>
        <w:tc>
          <w:tcPr>
            <w:tcW w:w="2026" w:type="dxa"/>
          </w:tcPr>
          <w:p w14:paraId="7DC46DB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1,887 (18.3)</w:t>
            </w:r>
          </w:p>
        </w:tc>
        <w:tc>
          <w:tcPr>
            <w:tcW w:w="2026" w:type="dxa"/>
          </w:tcPr>
          <w:p w14:paraId="73B1E44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438 (23.2)</w:t>
            </w:r>
          </w:p>
        </w:tc>
        <w:tc>
          <w:tcPr>
            <w:tcW w:w="2027" w:type="dxa"/>
          </w:tcPr>
          <w:p w14:paraId="0A8ED60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0.76 (0.68, 0.86)</w:t>
            </w:r>
          </w:p>
        </w:tc>
        <w:tc>
          <w:tcPr>
            <w:tcW w:w="2026" w:type="dxa"/>
          </w:tcPr>
          <w:p w14:paraId="24B49AF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0.82 (0.72, 0.93)</w:t>
            </w:r>
          </w:p>
        </w:tc>
        <w:tc>
          <w:tcPr>
            <w:tcW w:w="2027" w:type="dxa"/>
            <w:noWrap/>
          </w:tcPr>
          <w:p w14:paraId="3FAA9F5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0.002</w:t>
            </w:r>
          </w:p>
        </w:tc>
      </w:tr>
      <w:tr w:rsidR="00D250E5" w:rsidRPr="00737A30" w14:paraId="7D00AC9F" w14:textId="77777777" w:rsidTr="002D2677">
        <w:trPr>
          <w:trHeight w:val="23"/>
        </w:trPr>
        <w:tc>
          <w:tcPr>
            <w:tcW w:w="3828" w:type="dxa"/>
            <w:tcBorders>
              <w:bottom w:val="single" w:sz="4" w:space="0" w:color="auto"/>
            </w:tcBorders>
            <w:noWrap/>
            <w:vAlign w:val="center"/>
          </w:tcPr>
          <w:p w14:paraId="690E535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No</w:t>
            </w:r>
          </w:p>
        </w:tc>
        <w:tc>
          <w:tcPr>
            <w:tcW w:w="2026" w:type="dxa"/>
            <w:tcBorders>
              <w:bottom w:val="single" w:sz="4" w:space="0" w:color="auto"/>
            </w:tcBorders>
          </w:tcPr>
          <w:p w14:paraId="659F1BB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8,434 (81.7)</w:t>
            </w:r>
          </w:p>
        </w:tc>
        <w:tc>
          <w:tcPr>
            <w:tcW w:w="2026" w:type="dxa"/>
            <w:tcBorders>
              <w:bottom w:val="single" w:sz="4" w:space="0" w:color="auto"/>
            </w:tcBorders>
          </w:tcPr>
          <w:p w14:paraId="23F7651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2,389 (28.3)</w:t>
            </w:r>
          </w:p>
        </w:tc>
        <w:tc>
          <w:tcPr>
            <w:tcW w:w="2027" w:type="dxa"/>
            <w:tcBorders>
              <w:bottom w:val="single" w:sz="4" w:space="0" w:color="auto"/>
            </w:tcBorders>
          </w:tcPr>
          <w:p w14:paraId="64EF12B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6" w:type="dxa"/>
            <w:tcBorders>
              <w:bottom w:val="single" w:sz="4" w:space="0" w:color="auto"/>
            </w:tcBorders>
          </w:tcPr>
          <w:p w14:paraId="42AE59D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Ref</w:t>
            </w:r>
          </w:p>
        </w:tc>
        <w:tc>
          <w:tcPr>
            <w:tcW w:w="2027" w:type="dxa"/>
            <w:tcBorders>
              <w:bottom w:val="single" w:sz="4" w:space="0" w:color="auto"/>
            </w:tcBorders>
            <w:noWrap/>
          </w:tcPr>
          <w:p w14:paraId="35B85E26" w14:textId="77777777" w:rsidR="00D250E5" w:rsidRPr="00495D42" w:rsidRDefault="00D250E5" w:rsidP="002D2677">
            <w:pPr>
              <w:widowControl/>
              <w:spacing w:before="0" w:beforeAutospacing="0" w:after="0" w:afterAutospacing="0" w:line="276" w:lineRule="auto"/>
              <w:jc w:val="center"/>
              <w:rPr>
                <w:rFonts w:cs="Arial"/>
                <w:sz w:val="18"/>
                <w:szCs w:val="18"/>
              </w:rPr>
            </w:pPr>
          </w:p>
        </w:tc>
      </w:tr>
    </w:tbl>
    <w:p w14:paraId="1DEB4148" w14:textId="77777777" w:rsidR="00D250E5" w:rsidRPr="00737A30" w:rsidRDefault="00D250E5" w:rsidP="00D250E5">
      <w:pPr>
        <w:widowControl/>
        <w:spacing w:before="0" w:beforeAutospacing="0" w:after="0" w:afterAutospacing="0" w:line="276" w:lineRule="auto"/>
        <w:rPr>
          <w:rFonts w:cs="Arial"/>
          <w:sz w:val="18"/>
          <w:szCs w:val="18"/>
        </w:rPr>
      </w:pPr>
      <w:r w:rsidRPr="00737A30">
        <w:rPr>
          <w:rFonts w:cs="Arial"/>
          <w:sz w:val="18"/>
          <w:szCs w:val="18"/>
          <w:vertAlign w:val="superscript"/>
        </w:rPr>
        <w:t>a</w:t>
      </w:r>
      <w:r w:rsidRPr="00737A30">
        <w:rPr>
          <w:rFonts w:cs="Arial"/>
          <w:sz w:val="18"/>
          <w:szCs w:val="18"/>
        </w:rPr>
        <w:t xml:space="preserve"> Log-transformed.</w:t>
      </w:r>
    </w:p>
    <w:p w14:paraId="653421D3" w14:textId="77777777" w:rsidR="00D250E5" w:rsidRPr="00737A30" w:rsidRDefault="00D250E5" w:rsidP="00D250E5">
      <w:pPr>
        <w:widowControl/>
        <w:spacing w:before="0" w:beforeAutospacing="0" w:after="0" w:afterAutospacing="0" w:line="276" w:lineRule="auto"/>
        <w:rPr>
          <w:rFonts w:cs="Arial"/>
        </w:rPr>
        <w:sectPr w:rsidR="00D250E5" w:rsidRPr="00737A30" w:rsidSect="00D250E5">
          <w:endnotePr>
            <w:numFmt w:val="decimal"/>
          </w:endnotePr>
          <w:pgSz w:w="16840" w:h="11907" w:orient="landscape" w:code="9"/>
          <w:pgMar w:top="1701" w:right="1440" w:bottom="1701" w:left="1440" w:header="567" w:footer="567" w:gutter="0"/>
          <w:cols w:space="720"/>
          <w:docGrid w:linePitch="299"/>
        </w:sectPr>
      </w:pPr>
      <w:r w:rsidRPr="002D2677">
        <w:rPr>
          <w:rFonts w:cs="Arial"/>
          <w:b/>
          <w:bCs/>
          <w:sz w:val="18"/>
          <w:szCs w:val="18"/>
        </w:rPr>
        <w:t>Abbreviations:</w:t>
      </w:r>
      <w:r>
        <w:rPr>
          <w:rFonts w:cs="Arial"/>
          <w:sz w:val="18"/>
          <w:szCs w:val="18"/>
        </w:rPr>
        <w:t xml:space="preserve"> </w:t>
      </w:r>
      <w:r w:rsidRPr="00737A30">
        <w:rPr>
          <w:rFonts w:cs="Arial"/>
          <w:sz w:val="18"/>
          <w:szCs w:val="18"/>
        </w:rPr>
        <w:t>CB, chronic bronchitis; CCI, Charlson Comorbidity Index; CI, confidence interval; COPD, chronic obstructive pulmonary disease; Ref, reference</w:t>
      </w:r>
      <w:r w:rsidRPr="00737A30">
        <w:rPr>
          <w:rFonts w:cs="Arial"/>
        </w:rPr>
        <w:t>.</w:t>
      </w:r>
    </w:p>
    <w:p w14:paraId="26ACC593" w14:textId="4973A82B" w:rsidR="00D250E5" w:rsidRPr="0062328C" w:rsidRDefault="00D250E5" w:rsidP="0062328C">
      <w:pPr>
        <w:pStyle w:val="Heading3"/>
        <w:rPr>
          <w:b/>
          <w:bCs/>
          <w:color w:val="000000" w:themeColor="text1"/>
          <w:sz w:val="20"/>
          <w:szCs w:val="20"/>
          <w:lang w:eastAsia="ja-JP"/>
        </w:rPr>
      </w:pPr>
      <w:r w:rsidRPr="00D250E5">
        <w:rPr>
          <w:b/>
          <w:bCs/>
          <w:color w:val="000000" w:themeColor="text1"/>
          <w:sz w:val="20"/>
          <w:szCs w:val="20"/>
          <w:lang w:eastAsia="ja-JP"/>
        </w:rPr>
        <w:lastRenderedPageBreak/>
        <w:t xml:space="preserve">Supplementary Table </w:t>
      </w:r>
      <w:r w:rsidR="00B765D9">
        <w:rPr>
          <w:b/>
          <w:bCs/>
          <w:color w:val="000000" w:themeColor="text1"/>
          <w:sz w:val="20"/>
          <w:szCs w:val="20"/>
          <w:lang w:eastAsia="ja-JP"/>
        </w:rPr>
        <w:t>6</w:t>
      </w:r>
      <w:r w:rsidRPr="00737A30">
        <w:rPr>
          <w:rFonts w:cs="Arial"/>
        </w:rPr>
        <w:t xml:space="preserve"> </w:t>
      </w:r>
      <w:r w:rsidRPr="0062328C">
        <w:rPr>
          <w:b/>
          <w:bCs/>
          <w:color w:val="000000" w:themeColor="text1"/>
          <w:sz w:val="20"/>
          <w:szCs w:val="20"/>
          <w:lang w:eastAsia="ja-JP"/>
        </w:rPr>
        <w:t>Complete case analysis of the predictors of missing data on body mass index by logistic regression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2026"/>
        <w:gridCol w:w="2026"/>
        <w:gridCol w:w="2027"/>
        <w:gridCol w:w="2026"/>
        <w:gridCol w:w="2027"/>
      </w:tblGrid>
      <w:tr w:rsidR="00D250E5" w:rsidRPr="00737A30" w14:paraId="0D7060E7" w14:textId="77777777" w:rsidTr="002D2677">
        <w:trPr>
          <w:trHeight w:val="23"/>
        </w:trPr>
        <w:tc>
          <w:tcPr>
            <w:tcW w:w="3828" w:type="dxa"/>
            <w:vMerge w:val="restart"/>
            <w:tcBorders>
              <w:top w:val="single" w:sz="4" w:space="0" w:color="auto"/>
            </w:tcBorders>
            <w:noWrap/>
            <w:hideMark/>
          </w:tcPr>
          <w:p w14:paraId="4D24643B" w14:textId="77777777" w:rsidR="00D250E5" w:rsidRPr="00737A30" w:rsidRDefault="00D250E5" w:rsidP="002D2677">
            <w:pPr>
              <w:widowControl/>
              <w:spacing w:before="0" w:beforeAutospacing="0" w:after="0" w:afterAutospacing="0" w:line="276" w:lineRule="auto"/>
              <w:rPr>
                <w:rFonts w:cs="Arial"/>
                <w:b/>
                <w:bCs/>
                <w:sz w:val="18"/>
                <w:szCs w:val="18"/>
              </w:rPr>
            </w:pPr>
          </w:p>
        </w:tc>
        <w:tc>
          <w:tcPr>
            <w:tcW w:w="2026" w:type="dxa"/>
            <w:vMerge w:val="restart"/>
            <w:tcBorders>
              <w:top w:val="single" w:sz="4" w:space="0" w:color="auto"/>
            </w:tcBorders>
            <w:hideMark/>
          </w:tcPr>
          <w:p w14:paraId="0825FE62" w14:textId="77777777" w:rsidR="00D250E5" w:rsidRPr="00737A30" w:rsidRDefault="00D250E5" w:rsidP="002D2677">
            <w:pPr>
              <w:widowControl/>
              <w:spacing w:before="0" w:beforeAutospacing="0" w:after="0" w:afterAutospacing="0" w:line="276" w:lineRule="auto"/>
              <w:jc w:val="center"/>
              <w:rPr>
                <w:rFonts w:cs="Arial"/>
                <w:b/>
                <w:bCs/>
                <w:sz w:val="18"/>
                <w:szCs w:val="18"/>
              </w:rPr>
            </w:pPr>
            <w:r w:rsidRPr="00737A30">
              <w:rPr>
                <w:rFonts w:cs="Arial"/>
                <w:b/>
                <w:bCs/>
                <w:sz w:val="18"/>
                <w:szCs w:val="18"/>
              </w:rPr>
              <w:t>Number of patients</w:t>
            </w:r>
          </w:p>
          <w:p w14:paraId="349CAC0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b/>
                <w:bCs/>
                <w:sz w:val="18"/>
                <w:szCs w:val="18"/>
              </w:rPr>
              <w:t>(N=10,321)</w:t>
            </w:r>
          </w:p>
        </w:tc>
        <w:tc>
          <w:tcPr>
            <w:tcW w:w="6079" w:type="dxa"/>
            <w:gridSpan w:val="3"/>
            <w:tcBorders>
              <w:top w:val="single" w:sz="4" w:space="0" w:color="auto"/>
            </w:tcBorders>
            <w:noWrap/>
            <w:hideMark/>
          </w:tcPr>
          <w:p w14:paraId="797F50E4" w14:textId="77777777" w:rsidR="00D250E5" w:rsidRPr="00737A30" w:rsidRDefault="00D250E5" w:rsidP="002D2677">
            <w:pPr>
              <w:widowControl/>
              <w:spacing w:before="0" w:beforeAutospacing="0" w:after="0" w:afterAutospacing="0" w:line="276" w:lineRule="auto"/>
              <w:jc w:val="center"/>
              <w:rPr>
                <w:rFonts w:cs="Arial"/>
                <w:b/>
                <w:bCs/>
                <w:sz w:val="18"/>
                <w:szCs w:val="18"/>
              </w:rPr>
            </w:pPr>
            <w:r w:rsidRPr="00737A30">
              <w:rPr>
                <w:rFonts w:cs="Arial"/>
                <w:b/>
                <w:bCs/>
                <w:sz w:val="18"/>
                <w:szCs w:val="18"/>
              </w:rPr>
              <w:t>BMI</w:t>
            </w:r>
          </w:p>
        </w:tc>
        <w:tc>
          <w:tcPr>
            <w:tcW w:w="2027" w:type="dxa"/>
            <w:vMerge w:val="restart"/>
            <w:tcBorders>
              <w:top w:val="single" w:sz="4" w:space="0" w:color="auto"/>
            </w:tcBorders>
            <w:noWrap/>
            <w:hideMark/>
          </w:tcPr>
          <w:p w14:paraId="244F3351" w14:textId="77777777" w:rsidR="00D250E5" w:rsidRPr="00737A30" w:rsidRDefault="00D250E5" w:rsidP="002D2677">
            <w:pPr>
              <w:widowControl/>
              <w:spacing w:before="0" w:beforeAutospacing="0" w:after="0" w:afterAutospacing="0" w:line="276" w:lineRule="auto"/>
              <w:jc w:val="center"/>
              <w:rPr>
                <w:rFonts w:cs="Arial"/>
                <w:b/>
                <w:bCs/>
                <w:sz w:val="18"/>
                <w:szCs w:val="18"/>
              </w:rPr>
            </w:pPr>
            <w:r w:rsidRPr="00737A30">
              <w:rPr>
                <w:rFonts w:cs="Arial"/>
                <w:b/>
                <w:bCs/>
                <w:sz w:val="18"/>
                <w:szCs w:val="18"/>
              </w:rPr>
              <w:t>p-value</w:t>
            </w:r>
          </w:p>
        </w:tc>
      </w:tr>
      <w:tr w:rsidR="00D250E5" w:rsidRPr="00737A30" w14:paraId="4E152F47" w14:textId="77777777" w:rsidTr="002D2677">
        <w:trPr>
          <w:trHeight w:val="23"/>
        </w:trPr>
        <w:tc>
          <w:tcPr>
            <w:tcW w:w="3828" w:type="dxa"/>
            <w:vMerge/>
            <w:tcBorders>
              <w:bottom w:val="single" w:sz="4" w:space="0" w:color="auto"/>
            </w:tcBorders>
            <w:noWrap/>
            <w:hideMark/>
          </w:tcPr>
          <w:p w14:paraId="2B42336B" w14:textId="77777777" w:rsidR="00D250E5" w:rsidRPr="00737A30" w:rsidRDefault="00D250E5" w:rsidP="002D2677">
            <w:pPr>
              <w:widowControl/>
              <w:spacing w:before="0" w:beforeAutospacing="0" w:after="0" w:afterAutospacing="0" w:line="276" w:lineRule="auto"/>
              <w:rPr>
                <w:rFonts w:cs="Arial"/>
                <w:b/>
                <w:bCs/>
                <w:sz w:val="18"/>
                <w:szCs w:val="18"/>
              </w:rPr>
            </w:pPr>
          </w:p>
        </w:tc>
        <w:tc>
          <w:tcPr>
            <w:tcW w:w="2026" w:type="dxa"/>
            <w:vMerge/>
            <w:tcBorders>
              <w:bottom w:val="single" w:sz="4" w:space="0" w:color="auto"/>
            </w:tcBorders>
            <w:vAlign w:val="center"/>
            <w:hideMark/>
          </w:tcPr>
          <w:p w14:paraId="25BB5DE0" w14:textId="77777777" w:rsidR="00D250E5" w:rsidRPr="00737A30" w:rsidRDefault="00D250E5" w:rsidP="002D2677">
            <w:pPr>
              <w:widowControl/>
              <w:spacing w:before="0" w:beforeAutospacing="0" w:after="0" w:afterAutospacing="0" w:line="276" w:lineRule="auto"/>
              <w:jc w:val="center"/>
              <w:rPr>
                <w:rFonts w:cs="Arial"/>
                <w:b/>
                <w:bCs/>
                <w:sz w:val="18"/>
                <w:szCs w:val="18"/>
              </w:rPr>
            </w:pPr>
          </w:p>
        </w:tc>
        <w:tc>
          <w:tcPr>
            <w:tcW w:w="2026" w:type="dxa"/>
            <w:tcBorders>
              <w:bottom w:val="single" w:sz="4" w:space="0" w:color="auto"/>
            </w:tcBorders>
            <w:noWrap/>
            <w:hideMark/>
          </w:tcPr>
          <w:p w14:paraId="200D113A" w14:textId="77777777" w:rsidR="00D250E5" w:rsidRPr="00737A30" w:rsidRDefault="00D250E5" w:rsidP="002D2677">
            <w:pPr>
              <w:widowControl/>
              <w:spacing w:before="0" w:beforeAutospacing="0" w:after="0" w:afterAutospacing="0" w:line="276" w:lineRule="auto"/>
              <w:jc w:val="center"/>
              <w:rPr>
                <w:rFonts w:cs="Arial"/>
                <w:b/>
                <w:bCs/>
                <w:sz w:val="18"/>
                <w:szCs w:val="18"/>
              </w:rPr>
            </w:pPr>
            <w:r w:rsidRPr="00737A30">
              <w:rPr>
                <w:rFonts w:cs="Arial"/>
                <w:b/>
                <w:bCs/>
                <w:sz w:val="18"/>
                <w:szCs w:val="18"/>
              </w:rPr>
              <w:t>Missing data, N (%)</w:t>
            </w:r>
          </w:p>
        </w:tc>
        <w:tc>
          <w:tcPr>
            <w:tcW w:w="2027" w:type="dxa"/>
            <w:tcBorders>
              <w:bottom w:val="single" w:sz="4" w:space="0" w:color="auto"/>
            </w:tcBorders>
            <w:noWrap/>
            <w:hideMark/>
          </w:tcPr>
          <w:p w14:paraId="305A900C" w14:textId="77777777" w:rsidR="00D250E5" w:rsidRPr="00737A30" w:rsidRDefault="00D250E5" w:rsidP="002D2677">
            <w:pPr>
              <w:widowControl/>
              <w:spacing w:before="0" w:beforeAutospacing="0" w:after="0" w:afterAutospacing="0" w:line="276" w:lineRule="auto"/>
              <w:jc w:val="center"/>
              <w:rPr>
                <w:rFonts w:cs="Arial"/>
                <w:b/>
                <w:bCs/>
                <w:sz w:val="18"/>
                <w:szCs w:val="18"/>
              </w:rPr>
            </w:pPr>
            <w:r w:rsidRPr="00737A30">
              <w:rPr>
                <w:rFonts w:cs="Arial"/>
                <w:b/>
                <w:bCs/>
                <w:sz w:val="18"/>
                <w:szCs w:val="18"/>
              </w:rPr>
              <w:t>Univariate odds ratio (95% CI)</w:t>
            </w:r>
          </w:p>
        </w:tc>
        <w:tc>
          <w:tcPr>
            <w:tcW w:w="2026" w:type="dxa"/>
            <w:tcBorders>
              <w:bottom w:val="single" w:sz="4" w:space="0" w:color="auto"/>
            </w:tcBorders>
            <w:noWrap/>
            <w:hideMark/>
          </w:tcPr>
          <w:p w14:paraId="1D54FC1F" w14:textId="77777777" w:rsidR="00D250E5" w:rsidRPr="00737A30" w:rsidRDefault="00D250E5" w:rsidP="002D2677">
            <w:pPr>
              <w:widowControl/>
              <w:spacing w:before="0" w:beforeAutospacing="0" w:after="0" w:afterAutospacing="0" w:line="276" w:lineRule="auto"/>
              <w:jc w:val="center"/>
              <w:rPr>
                <w:rFonts w:cs="Arial"/>
                <w:b/>
                <w:bCs/>
                <w:sz w:val="18"/>
                <w:szCs w:val="18"/>
              </w:rPr>
            </w:pPr>
            <w:r w:rsidRPr="00737A30">
              <w:rPr>
                <w:rFonts w:cs="Arial"/>
                <w:b/>
                <w:bCs/>
                <w:sz w:val="18"/>
                <w:szCs w:val="18"/>
              </w:rPr>
              <w:t>Covariate-adjusted rate ratio (95% CI)</w:t>
            </w:r>
          </w:p>
        </w:tc>
        <w:tc>
          <w:tcPr>
            <w:tcW w:w="2027" w:type="dxa"/>
            <w:vMerge/>
            <w:tcBorders>
              <w:bottom w:val="single" w:sz="4" w:space="0" w:color="auto"/>
            </w:tcBorders>
            <w:noWrap/>
            <w:vAlign w:val="center"/>
            <w:hideMark/>
          </w:tcPr>
          <w:p w14:paraId="6058E9FB" w14:textId="77777777" w:rsidR="00D250E5" w:rsidRPr="00737A30" w:rsidRDefault="00D250E5" w:rsidP="002D2677">
            <w:pPr>
              <w:widowControl/>
              <w:spacing w:before="0" w:beforeAutospacing="0" w:after="0" w:afterAutospacing="0" w:line="276" w:lineRule="auto"/>
              <w:jc w:val="center"/>
              <w:rPr>
                <w:rFonts w:cs="Arial"/>
                <w:b/>
                <w:bCs/>
                <w:sz w:val="18"/>
                <w:szCs w:val="18"/>
              </w:rPr>
            </w:pPr>
          </w:p>
        </w:tc>
      </w:tr>
      <w:tr w:rsidR="00D250E5" w:rsidRPr="00737A30" w14:paraId="1C5A3D57" w14:textId="77777777" w:rsidTr="002D2677">
        <w:trPr>
          <w:trHeight w:val="23"/>
        </w:trPr>
        <w:tc>
          <w:tcPr>
            <w:tcW w:w="3828" w:type="dxa"/>
            <w:tcBorders>
              <w:top w:val="single" w:sz="4" w:space="0" w:color="auto"/>
            </w:tcBorders>
          </w:tcPr>
          <w:p w14:paraId="1DC3A29E" w14:textId="77777777" w:rsidR="00D250E5" w:rsidRPr="00737A30" w:rsidRDefault="00D250E5" w:rsidP="002D2677">
            <w:pPr>
              <w:widowControl/>
              <w:spacing w:before="0" w:beforeAutospacing="0" w:after="0" w:afterAutospacing="0" w:line="276" w:lineRule="auto"/>
              <w:rPr>
                <w:rFonts w:cs="Arial"/>
                <w:b/>
                <w:bCs/>
                <w:sz w:val="18"/>
                <w:szCs w:val="18"/>
              </w:rPr>
            </w:pPr>
            <w:r w:rsidRPr="00737A30">
              <w:rPr>
                <w:rFonts w:cs="Arial"/>
                <w:b/>
                <w:bCs/>
                <w:sz w:val="18"/>
                <w:szCs w:val="18"/>
              </w:rPr>
              <w:t>Demographic characteristics</w:t>
            </w:r>
          </w:p>
        </w:tc>
        <w:tc>
          <w:tcPr>
            <w:tcW w:w="2026" w:type="dxa"/>
            <w:tcBorders>
              <w:top w:val="single" w:sz="4" w:space="0" w:color="auto"/>
            </w:tcBorders>
            <w:hideMark/>
          </w:tcPr>
          <w:p w14:paraId="7542497B" w14:textId="77777777" w:rsidR="00D250E5" w:rsidRPr="00737A30" w:rsidRDefault="00D250E5" w:rsidP="002D2677">
            <w:pPr>
              <w:widowControl/>
              <w:spacing w:before="0" w:beforeAutospacing="0" w:after="0" w:afterAutospacing="0" w:line="276" w:lineRule="auto"/>
              <w:jc w:val="center"/>
              <w:rPr>
                <w:rFonts w:cs="Arial"/>
                <w:b/>
                <w:bCs/>
                <w:sz w:val="18"/>
                <w:szCs w:val="18"/>
              </w:rPr>
            </w:pPr>
          </w:p>
        </w:tc>
        <w:tc>
          <w:tcPr>
            <w:tcW w:w="2026" w:type="dxa"/>
            <w:tcBorders>
              <w:top w:val="single" w:sz="4" w:space="0" w:color="auto"/>
            </w:tcBorders>
            <w:hideMark/>
          </w:tcPr>
          <w:p w14:paraId="0B09FBD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Borders>
              <w:top w:val="single" w:sz="4" w:space="0" w:color="auto"/>
            </w:tcBorders>
            <w:hideMark/>
          </w:tcPr>
          <w:p w14:paraId="190ECF8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Borders>
              <w:top w:val="single" w:sz="4" w:space="0" w:color="auto"/>
            </w:tcBorders>
            <w:hideMark/>
          </w:tcPr>
          <w:p w14:paraId="683B5962"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Borders>
              <w:top w:val="single" w:sz="4" w:space="0" w:color="auto"/>
            </w:tcBorders>
            <w:noWrap/>
            <w:hideMark/>
          </w:tcPr>
          <w:p w14:paraId="47E0F66B"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69120AA" w14:textId="77777777" w:rsidTr="002D2677">
        <w:trPr>
          <w:trHeight w:val="23"/>
        </w:trPr>
        <w:tc>
          <w:tcPr>
            <w:tcW w:w="3828" w:type="dxa"/>
            <w:noWrap/>
          </w:tcPr>
          <w:p w14:paraId="4CEFFD9C"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Age categories, n (%)</w:t>
            </w:r>
          </w:p>
        </w:tc>
        <w:tc>
          <w:tcPr>
            <w:tcW w:w="2026" w:type="dxa"/>
          </w:tcPr>
          <w:p w14:paraId="2DE11CB2"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016960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6D8681A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5C29C2B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491F7325"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7A05543A" w14:textId="77777777" w:rsidTr="002D2677">
        <w:trPr>
          <w:trHeight w:val="23"/>
        </w:trPr>
        <w:tc>
          <w:tcPr>
            <w:tcW w:w="3828" w:type="dxa"/>
            <w:noWrap/>
          </w:tcPr>
          <w:p w14:paraId="189F0BE0"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40–59 years</w:t>
            </w:r>
          </w:p>
        </w:tc>
        <w:tc>
          <w:tcPr>
            <w:tcW w:w="2026" w:type="dxa"/>
          </w:tcPr>
          <w:p w14:paraId="28975C5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887 (8.6)</w:t>
            </w:r>
          </w:p>
        </w:tc>
        <w:tc>
          <w:tcPr>
            <w:tcW w:w="2026" w:type="dxa"/>
          </w:tcPr>
          <w:p w14:paraId="51BEC99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676 (76.2)</w:t>
            </w:r>
          </w:p>
        </w:tc>
        <w:tc>
          <w:tcPr>
            <w:tcW w:w="2027" w:type="dxa"/>
          </w:tcPr>
          <w:p w14:paraId="1F48074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0.99 (0.82, 1.19)</w:t>
            </w:r>
          </w:p>
        </w:tc>
        <w:tc>
          <w:tcPr>
            <w:tcW w:w="2026" w:type="dxa"/>
          </w:tcPr>
          <w:p w14:paraId="294C512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0.87 (0.72, 1.05)</w:t>
            </w:r>
          </w:p>
        </w:tc>
        <w:tc>
          <w:tcPr>
            <w:tcW w:w="2027" w:type="dxa"/>
            <w:noWrap/>
          </w:tcPr>
          <w:p w14:paraId="6FD2835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0.008</w:t>
            </w:r>
          </w:p>
        </w:tc>
      </w:tr>
      <w:tr w:rsidR="00D250E5" w:rsidRPr="00737A30" w14:paraId="426CEB09" w14:textId="77777777" w:rsidTr="002D2677">
        <w:trPr>
          <w:trHeight w:val="23"/>
        </w:trPr>
        <w:tc>
          <w:tcPr>
            <w:tcW w:w="3828" w:type="dxa"/>
            <w:noWrap/>
          </w:tcPr>
          <w:p w14:paraId="397D3B1E"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60–69 years</w:t>
            </w:r>
          </w:p>
        </w:tc>
        <w:tc>
          <w:tcPr>
            <w:tcW w:w="2026" w:type="dxa"/>
          </w:tcPr>
          <w:p w14:paraId="1451C61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1,995 (19.3)</w:t>
            </w:r>
          </w:p>
        </w:tc>
        <w:tc>
          <w:tcPr>
            <w:tcW w:w="2026" w:type="dxa"/>
          </w:tcPr>
          <w:p w14:paraId="2029322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1,525 (76.4)</w:t>
            </w:r>
          </w:p>
        </w:tc>
        <w:tc>
          <w:tcPr>
            <w:tcW w:w="2027" w:type="dxa"/>
          </w:tcPr>
          <w:p w14:paraId="6776CFA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5409E5D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1AC2E8E2"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24D9CFBA" w14:textId="77777777" w:rsidTr="002D2677">
        <w:trPr>
          <w:trHeight w:val="23"/>
        </w:trPr>
        <w:tc>
          <w:tcPr>
            <w:tcW w:w="3828" w:type="dxa"/>
            <w:noWrap/>
          </w:tcPr>
          <w:p w14:paraId="6781964D"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70–79 years</w:t>
            </w:r>
          </w:p>
        </w:tc>
        <w:tc>
          <w:tcPr>
            <w:tcW w:w="2026" w:type="dxa"/>
          </w:tcPr>
          <w:p w14:paraId="7170069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4,177 (40.5)</w:t>
            </w:r>
          </w:p>
        </w:tc>
        <w:tc>
          <w:tcPr>
            <w:tcW w:w="2026" w:type="dxa"/>
          </w:tcPr>
          <w:p w14:paraId="71BA1AB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3,027 (72.5)</w:t>
            </w:r>
          </w:p>
        </w:tc>
        <w:tc>
          <w:tcPr>
            <w:tcW w:w="2027" w:type="dxa"/>
          </w:tcPr>
          <w:p w14:paraId="0BA0819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0.81 (0.72, 0.92)</w:t>
            </w:r>
          </w:p>
        </w:tc>
        <w:tc>
          <w:tcPr>
            <w:tcW w:w="2026" w:type="dxa"/>
          </w:tcPr>
          <w:p w14:paraId="2797D82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0.85 (0.75, 0.96)</w:t>
            </w:r>
          </w:p>
        </w:tc>
        <w:tc>
          <w:tcPr>
            <w:tcW w:w="2027" w:type="dxa"/>
            <w:noWrap/>
          </w:tcPr>
          <w:p w14:paraId="074CB574"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3C6D2542" w14:textId="77777777" w:rsidTr="002D2677">
        <w:trPr>
          <w:trHeight w:val="23"/>
        </w:trPr>
        <w:tc>
          <w:tcPr>
            <w:tcW w:w="3828" w:type="dxa"/>
            <w:noWrap/>
          </w:tcPr>
          <w:p w14:paraId="5302C8F8"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80–89 years</w:t>
            </w:r>
          </w:p>
        </w:tc>
        <w:tc>
          <w:tcPr>
            <w:tcW w:w="2026" w:type="dxa"/>
          </w:tcPr>
          <w:p w14:paraId="2CE4A6F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2,868 (27.8)</w:t>
            </w:r>
          </w:p>
        </w:tc>
        <w:tc>
          <w:tcPr>
            <w:tcW w:w="2026" w:type="dxa"/>
            <w:noWrap/>
          </w:tcPr>
          <w:p w14:paraId="5AE70A0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2,077 (72.4)</w:t>
            </w:r>
          </w:p>
        </w:tc>
        <w:tc>
          <w:tcPr>
            <w:tcW w:w="2027" w:type="dxa"/>
            <w:noWrap/>
          </w:tcPr>
          <w:p w14:paraId="6C78B1B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0.81 (0.71, 0.92)</w:t>
            </w:r>
          </w:p>
        </w:tc>
        <w:tc>
          <w:tcPr>
            <w:tcW w:w="2026" w:type="dxa"/>
            <w:noWrap/>
          </w:tcPr>
          <w:p w14:paraId="6D47A1E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0.86 (0.75, 0.98)</w:t>
            </w:r>
          </w:p>
        </w:tc>
        <w:tc>
          <w:tcPr>
            <w:tcW w:w="2027" w:type="dxa"/>
            <w:noWrap/>
          </w:tcPr>
          <w:p w14:paraId="701A4F9D"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C9AB55F" w14:textId="77777777" w:rsidTr="002D2677">
        <w:trPr>
          <w:trHeight w:val="23"/>
        </w:trPr>
        <w:tc>
          <w:tcPr>
            <w:tcW w:w="3828" w:type="dxa"/>
            <w:noWrap/>
          </w:tcPr>
          <w:p w14:paraId="423B2C1E"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≥90 years</w:t>
            </w:r>
          </w:p>
        </w:tc>
        <w:tc>
          <w:tcPr>
            <w:tcW w:w="2026" w:type="dxa"/>
          </w:tcPr>
          <w:p w14:paraId="73185E4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394 (3.8)</w:t>
            </w:r>
          </w:p>
        </w:tc>
        <w:tc>
          <w:tcPr>
            <w:tcW w:w="2026" w:type="dxa"/>
          </w:tcPr>
          <w:p w14:paraId="08E4B7E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268 (68.0)</w:t>
            </w:r>
          </w:p>
        </w:tc>
        <w:tc>
          <w:tcPr>
            <w:tcW w:w="2027" w:type="dxa"/>
          </w:tcPr>
          <w:p w14:paraId="4970267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0.66 (0.52, 0.83)</w:t>
            </w:r>
          </w:p>
        </w:tc>
        <w:tc>
          <w:tcPr>
            <w:tcW w:w="2026" w:type="dxa"/>
          </w:tcPr>
          <w:p w14:paraId="6E8034E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0.66 (0.52, 0.83)</w:t>
            </w:r>
          </w:p>
        </w:tc>
        <w:tc>
          <w:tcPr>
            <w:tcW w:w="2027" w:type="dxa"/>
            <w:noWrap/>
          </w:tcPr>
          <w:p w14:paraId="477AC9C0"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3A19592" w14:textId="77777777" w:rsidTr="002D2677">
        <w:trPr>
          <w:trHeight w:val="23"/>
        </w:trPr>
        <w:tc>
          <w:tcPr>
            <w:tcW w:w="3828" w:type="dxa"/>
            <w:noWrap/>
          </w:tcPr>
          <w:p w14:paraId="662CE98E"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Sex, n (%)</w:t>
            </w:r>
          </w:p>
        </w:tc>
        <w:tc>
          <w:tcPr>
            <w:tcW w:w="2026" w:type="dxa"/>
          </w:tcPr>
          <w:p w14:paraId="6408E9F0"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450397F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35E9E1A2"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6881C3D7"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542ED97"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324D1C16" w14:textId="77777777" w:rsidTr="002D2677">
        <w:trPr>
          <w:trHeight w:val="23"/>
        </w:trPr>
        <w:tc>
          <w:tcPr>
            <w:tcW w:w="3828" w:type="dxa"/>
            <w:noWrap/>
          </w:tcPr>
          <w:p w14:paraId="68F3C21A"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Male</w:t>
            </w:r>
          </w:p>
        </w:tc>
        <w:tc>
          <w:tcPr>
            <w:tcW w:w="2026" w:type="dxa"/>
          </w:tcPr>
          <w:p w14:paraId="6A6A44E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6,946 (67.3)</w:t>
            </w:r>
          </w:p>
        </w:tc>
        <w:tc>
          <w:tcPr>
            <w:tcW w:w="2026" w:type="dxa"/>
          </w:tcPr>
          <w:p w14:paraId="09E2032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5,020 (72.3)</w:t>
            </w:r>
          </w:p>
        </w:tc>
        <w:tc>
          <w:tcPr>
            <w:tcW w:w="2027" w:type="dxa"/>
          </w:tcPr>
          <w:p w14:paraId="3E9F893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0960F17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671BD87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0.191</w:t>
            </w:r>
          </w:p>
        </w:tc>
      </w:tr>
      <w:tr w:rsidR="00D250E5" w:rsidRPr="00737A30" w14:paraId="1DBF2C53" w14:textId="77777777" w:rsidTr="002D2677">
        <w:trPr>
          <w:trHeight w:val="23"/>
        </w:trPr>
        <w:tc>
          <w:tcPr>
            <w:tcW w:w="3828" w:type="dxa"/>
            <w:noWrap/>
          </w:tcPr>
          <w:p w14:paraId="533B4851"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Female</w:t>
            </w:r>
          </w:p>
        </w:tc>
        <w:tc>
          <w:tcPr>
            <w:tcW w:w="2026" w:type="dxa"/>
          </w:tcPr>
          <w:p w14:paraId="24521A7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3,375 (32.7)</w:t>
            </w:r>
          </w:p>
        </w:tc>
        <w:tc>
          <w:tcPr>
            <w:tcW w:w="2026" w:type="dxa"/>
          </w:tcPr>
          <w:p w14:paraId="7CCE85F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2,553 (75.6)</w:t>
            </w:r>
          </w:p>
        </w:tc>
        <w:tc>
          <w:tcPr>
            <w:tcW w:w="2027" w:type="dxa"/>
          </w:tcPr>
          <w:p w14:paraId="19F7730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1.19 (1.08, 1.31)</w:t>
            </w:r>
          </w:p>
        </w:tc>
        <w:tc>
          <w:tcPr>
            <w:tcW w:w="2026" w:type="dxa"/>
          </w:tcPr>
          <w:p w14:paraId="4503F8C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1.07 (0.97, 1.18)</w:t>
            </w:r>
          </w:p>
        </w:tc>
        <w:tc>
          <w:tcPr>
            <w:tcW w:w="2027" w:type="dxa"/>
            <w:noWrap/>
          </w:tcPr>
          <w:p w14:paraId="446CD1F3"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224D3839" w14:textId="77777777" w:rsidTr="002D2677">
        <w:trPr>
          <w:trHeight w:val="23"/>
        </w:trPr>
        <w:tc>
          <w:tcPr>
            <w:tcW w:w="3828" w:type="dxa"/>
            <w:noWrap/>
          </w:tcPr>
          <w:p w14:paraId="4A1425D9"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Region</w:t>
            </w:r>
          </w:p>
        </w:tc>
        <w:tc>
          <w:tcPr>
            <w:tcW w:w="2026" w:type="dxa"/>
          </w:tcPr>
          <w:p w14:paraId="01FCCA6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59EE943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30B8A294"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641D2C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163FA297"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77265F3A" w14:textId="77777777" w:rsidTr="002D2677">
        <w:trPr>
          <w:trHeight w:val="23"/>
        </w:trPr>
        <w:tc>
          <w:tcPr>
            <w:tcW w:w="3828" w:type="dxa"/>
            <w:noWrap/>
          </w:tcPr>
          <w:p w14:paraId="0772B37C"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Hokkaido</w:t>
            </w:r>
          </w:p>
        </w:tc>
        <w:tc>
          <w:tcPr>
            <w:tcW w:w="2026" w:type="dxa"/>
          </w:tcPr>
          <w:p w14:paraId="565C482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678 (6.6)</w:t>
            </w:r>
          </w:p>
        </w:tc>
        <w:tc>
          <w:tcPr>
            <w:tcW w:w="2026" w:type="dxa"/>
          </w:tcPr>
          <w:p w14:paraId="2D49E60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403 (59.4)</w:t>
            </w:r>
          </w:p>
        </w:tc>
        <w:tc>
          <w:tcPr>
            <w:tcW w:w="2027" w:type="dxa"/>
          </w:tcPr>
          <w:p w14:paraId="070A61C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0.49 (0.41, 0.57)</w:t>
            </w:r>
          </w:p>
        </w:tc>
        <w:tc>
          <w:tcPr>
            <w:tcW w:w="2026" w:type="dxa"/>
          </w:tcPr>
          <w:p w14:paraId="3456C55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0.47 (0.40, 0.56)</w:t>
            </w:r>
          </w:p>
        </w:tc>
        <w:tc>
          <w:tcPr>
            <w:tcW w:w="2027" w:type="dxa"/>
            <w:noWrap/>
          </w:tcPr>
          <w:p w14:paraId="7FDDB2E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233E167E" w14:textId="77777777" w:rsidTr="002D2677">
        <w:trPr>
          <w:trHeight w:val="23"/>
        </w:trPr>
        <w:tc>
          <w:tcPr>
            <w:tcW w:w="3828" w:type="dxa"/>
            <w:noWrap/>
          </w:tcPr>
          <w:p w14:paraId="16201D33"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Tohoku</w:t>
            </w:r>
          </w:p>
        </w:tc>
        <w:tc>
          <w:tcPr>
            <w:tcW w:w="2026" w:type="dxa"/>
          </w:tcPr>
          <w:p w14:paraId="690CDB0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1,104 (10.7)</w:t>
            </w:r>
          </w:p>
        </w:tc>
        <w:tc>
          <w:tcPr>
            <w:tcW w:w="2026" w:type="dxa"/>
          </w:tcPr>
          <w:p w14:paraId="2D3ABF6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791 (71.6)</w:t>
            </w:r>
          </w:p>
        </w:tc>
        <w:tc>
          <w:tcPr>
            <w:tcW w:w="2027" w:type="dxa"/>
          </w:tcPr>
          <w:p w14:paraId="41CCDC6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0.84 (0.72, 0.97)</w:t>
            </w:r>
          </w:p>
        </w:tc>
        <w:tc>
          <w:tcPr>
            <w:tcW w:w="2026" w:type="dxa"/>
          </w:tcPr>
          <w:p w14:paraId="6B30586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0.80 (0.69, 0.93)</w:t>
            </w:r>
          </w:p>
        </w:tc>
        <w:tc>
          <w:tcPr>
            <w:tcW w:w="2027" w:type="dxa"/>
            <w:noWrap/>
          </w:tcPr>
          <w:p w14:paraId="38BC19FF"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E5ACDCC" w14:textId="77777777" w:rsidTr="002D2677">
        <w:trPr>
          <w:trHeight w:val="23"/>
        </w:trPr>
        <w:tc>
          <w:tcPr>
            <w:tcW w:w="3828" w:type="dxa"/>
            <w:noWrap/>
          </w:tcPr>
          <w:p w14:paraId="1FF1A4DC"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Kanto</w:t>
            </w:r>
          </w:p>
        </w:tc>
        <w:tc>
          <w:tcPr>
            <w:tcW w:w="2026" w:type="dxa"/>
          </w:tcPr>
          <w:p w14:paraId="144E518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1,014 (9.8)</w:t>
            </w:r>
          </w:p>
        </w:tc>
        <w:tc>
          <w:tcPr>
            <w:tcW w:w="2026" w:type="dxa"/>
          </w:tcPr>
          <w:p w14:paraId="1B9A9E6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834 (82.2)</w:t>
            </w:r>
          </w:p>
        </w:tc>
        <w:tc>
          <w:tcPr>
            <w:tcW w:w="2027" w:type="dxa"/>
          </w:tcPr>
          <w:p w14:paraId="15BCBB8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1.54 (1.29, 1.83)</w:t>
            </w:r>
          </w:p>
        </w:tc>
        <w:tc>
          <w:tcPr>
            <w:tcW w:w="2026" w:type="dxa"/>
          </w:tcPr>
          <w:p w14:paraId="0471F9A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1.43 (1.20, 1.71)</w:t>
            </w:r>
          </w:p>
        </w:tc>
        <w:tc>
          <w:tcPr>
            <w:tcW w:w="2027" w:type="dxa"/>
            <w:noWrap/>
          </w:tcPr>
          <w:p w14:paraId="2383B245"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D3D64C3" w14:textId="77777777" w:rsidTr="002D2677">
        <w:trPr>
          <w:trHeight w:val="23"/>
        </w:trPr>
        <w:tc>
          <w:tcPr>
            <w:tcW w:w="3828" w:type="dxa"/>
            <w:noWrap/>
          </w:tcPr>
          <w:p w14:paraId="4C95BE96"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Chubu</w:t>
            </w:r>
          </w:p>
        </w:tc>
        <w:tc>
          <w:tcPr>
            <w:tcW w:w="2026" w:type="dxa"/>
          </w:tcPr>
          <w:p w14:paraId="27BD522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1,083 (10.5)</w:t>
            </w:r>
          </w:p>
        </w:tc>
        <w:tc>
          <w:tcPr>
            <w:tcW w:w="2026" w:type="dxa"/>
          </w:tcPr>
          <w:p w14:paraId="2505EEA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684 (63.2)</w:t>
            </w:r>
          </w:p>
        </w:tc>
        <w:tc>
          <w:tcPr>
            <w:tcW w:w="2027" w:type="dxa"/>
          </w:tcPr>
          <w:p w14:paraId="6FA1248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0.57 (0.49, 0.65)</w:t>
            </w:r>
          </w:p>
        </w:tc>
        <w:tc>
          <w:tcPr>
            <w:tcW w:w="2026" w:type="dxa"/>
          </w:tcPr>
          <w:p w14:paraId="1403412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0.57 (0.49, 0.66)</w:t>
            </w:r>
          </w:p>
        </w:tc>
        <w:tc>
          <w:tcPr>
            <w:tcW w:w="2027" w:type="dxa"/>
            <w:noWrap/>
          </w:tcPr>
          <w:p w14:paraId="5BE78DF2"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BB12ADD" w14:textId="77777777" w:rsidTr="002D2677">
        <w:trPr>
          <w:trHeight w:val="23"/>
        </w:trPr>
        <w:tc>
          <w:tcPr>
            <w:tcW w:w="3828" w:type="dxa"/>
            <w:noWrap/>
          </w:tcPr>
          <w:p w14:paraId="174F839B"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Kinki</w:t>
            </w:r>
          </w:p>
        </w:tc>
        <w:tc>
          <w:tcPr>
            <w:tcW w:w="2026" w:type="dxa"/>
          </w:tcPr>
          <w:p w14:paraId="607880F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4,643 (45.0)</w:t>
            </w:r>
          </w:p>
        </w:tc>
        <w:tc>
          <w:tcPr>
            <w:tcW w:w="2026" w:type="dxa"/>
          </w:tcPr>
          <w:p w14:paraId="09F84B4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3,487 (75.1)</w:t>
            </w:r>
          </w:p>
        </w:tc>
        <w:tc>
          <w:tcPr>
            <w:tcW w:w="2027" w:type="dxa"/>
          </w:tcPr>
          <w:p w14:paraId="156D1B4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15BBE13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63BAADFA"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014F7EF" w14:textId="77777777" w:rsidTr="002D2677">
        <w:trPr>
          <w:trHeight w:val="23"/>
        </w:trPr>
        <w:tc>
          <w:tcPr>
            <w:tcW w:w="3828" w:type="dxa"/>
            <w:noWrap/>
          </w:tcPr>
          <w:p w14:paraId="26C60800"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Chugoku</w:t>
            </w:r>
          </w:p>
        </w:tc>
        <w:tc>
          <w:tcPr>
            <w:tcW w:w="2026" w:type="dxa"/>
          </w:tcPr>
          <w:p w14:paraId="162DA5D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1,089 (10.6)</w:t>
            </w:r>
          </w:p>
        </w:tc>
        <w:tc>
          <w:tcPr>
            <w:tcW w:w="2026" w:type="dxa"/>
          </w:tcPr>
          <w:p w14:paraId="703F172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863 (79.2)</w:t>
            </w:r>
          </w:p>
        </w:tc>
        <w:tc>
          <w:tcPr>
            <w:tcW w:w="2027" w:type="dxa"/>
          </w:tcPr>
          <w:p w14:paraId="3F67C69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1.27 (1.08, 1.49)</w:t>
            </w:r>
          </w:p>
        </w:tc>
        <w:tc>
          <w:tcPr>
            <w:tcW w:w="2026" w:type="dxa"/>
          </w:tcPr>
          <w:p w14:paraId="0B39D10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1.21 (1.03, 1.43)</w:t>
            </w:r>
          </w:p>
        </w:tc>
        <w:tc>
          <w:tcPr>
            <w:tcW w:w="2027" w:type="dxa"/>
            <w:noWrap/>
          </w:tcPr>
          <w:p w14:paraId="44154C17"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71F49AF2" w14:textId="77777777" w:rsidTr="002D2677">
        <w:trPr>
          <w:trHeight w:val="23"/>
        </w:trPr>
        <w:tc>
          <w:tcPr>
            <w:tcW w:w="3828" w:type="dxa"/>
            <w:noWrap/>
          </w:tcPr>
          <w:p w14:paraId="3F783CAE"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Shikoku</w:t>
            </w:r>
          </w:p>
        </w:tc>
        <w:tc>
          <w:tcPr>
            <w:tcW w:w="2026" w:type="dxa"/>
          </w:tcPr>
          <w:p w14:paraId="02BCA32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291 (2.8)</w:t>
            </w:r>
          </w:p>
        </w:tc>
        <w:tc>
          <w:tcPr>
            <w:tcW w:w="2026" w:type="dxa"/>
          </w:tcPr>
          <w:p w14:paraId="19CCACC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217 (74.6)</w:t>
            </w:r>
          </w:p>
        </w:tc>
        <w:tc>
          <w:tcPr>
            <w:tcW w:w="2027" w:type="dxa"/>
          </w:tcPr>
          <w:p w14:paraId="5C0DD17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0.97 (0.74, 1.28)</w:t>
            </w:r>
          </w:p>
        </w:tc>
        <w:tc>
          <w:tcPr>
            <w:tcW w:w="2026" w:type="dxa"/>
          </w:tcPr>
          <w:p w14:paraId="1929E4C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0.86 (0.65, 1.14)</w:t>
            </w:r>
          </w:p>
        </w:tc>
        <w:tc>
          <w:tcPr>
            <w:tcW w:w="2027" w:type="dxa"/>
            <w:noWrap/>
          </w:tcPr>
          <w:p w14:paraId="773972C3"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2B001AD" w14:textId="77777777" w:rsidTr="002D2677">
        <w:trPr>
          <w:trHeight w:val="23"/>
        </w:trPr>
        <w:tc>
          <w:tcPr>
            <w:tcW w:w="3828" w:type="dxa"/>
            <w:noWrap/>
          </w:tcPr>
          <w:p w14:paraId="4FE93CB6"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Kyushu or Okinawa</w:t>
            </w:r>
          </w:p>
        </w:tc>
        <w:tc>
          <w:tcPr>
            <w:tcW w:w="2026" w:type="dxa"/>
          </w:tcPr>
          <w:p w14:paraId="41CAE34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419 (4.1)</w:t>
            </w:r>
          </w:p>
        </w:tc>
        <w:tc>
          <w:tcPr>
            <w:tcW w:w="2026" w:type="dxa"/>
          </w:tcPr>
          <w:p w14:paraId="1F7D76A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294 (70.2)</w:t>
            </w:r>
          </w:p>
        </w:tc>
        <w:tc>
          <w:tcPr>
            <w:tcW w:w="2027" w:type="dxa"/>
          </w:tcPr>
          <w:p w14:paraId="2B3EB5E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0.78 (0.63, 0.97)</w:t>
            </w:r>
          </w:p>
        </w:tc>
        <w:tc>
          <w:tcPr>
            <w:tcW w:w="2026" w:type="dxa"/>
          </w:tcPr>
          <w:p w14:paraId="1FD5E7D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0.67 (0.54, 0.84)</w:t>
            </w:r>
          </w:p>
        </w:tc>
        <w:tc>
          <w:tcPr>
            <w:tcW w:w="2027" w:type="dxa"/>
            <w:noWrap/>
          </w:tcPr>
          <w:p w14:paraId="6C2CEDE9"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6735EE5" w14:textId="77777777" w:rsidTr="002D2677">
        <w:trPr>
          <w:trHeight w:val="23"/>
        </w:trPr>
        <w:tc>
          <w:tcPr>
            <w:tcW w:w="3828" w:type="dxa"/>
            <w:noWrap/>
          </w:tcPr>
          <w:p w14:paraId="053D1168"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Hospital bed size</w:t>
            </w:r>
          </w:p>
        </w:tc>
        <w:tc>
          <w:tcPr>
            <w:tcW w:w="2026" w:type="dxa"/>
          </w:tcPr>
          <w:p w14:paraId="12D1882B"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0B6194B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3993FC90"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D4CFB59"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D5379C6"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7104C33E" w14:textId="77777777" w:rsidTr="002D2677">
        <w:trPr>
          <w:trHeight w:val="23"/>
        </w:trPr>
        <w:tc>
          <w:tcPr>
            <w:tcW w:w="3828" w:type="dxa"/>
            <w:noWrap/>
          </w:tcPr>
          <w:p w14:paraId="230C5959"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0–19</w:t>
            </w:r>
          </w:p>
        </w:tc>
        <w:tc>
          <w:tcPr>
            <w:tcW w:w="2026" w:type="dxa"/>
          </w:tcPr>
          <w:p w14:paraId="2BCC833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 (&lt;0.1)</w:t>
            </w:r>
          </w:p>
        </w:tc>
        <w:tc>
          <w:tcPr>
            <w:tcW w:w="2026" w:type="dxa"/>
          </w:tcPr>
          <w:p w14:paraId="5FD2FE0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 (100.0)</w:t>
            </w:r>
          </w:p>
        </w:tc>
        <w:tc>
          <w:tcPr>
            <w:tcW w:w="2027" w:type="dxa"/>
          </w:tcPr>
          <w:p w14:paraId="3C67D74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&gt;100 (0.00, &gt;100)</w:t>
            </w:r>
          </w:p>
        </w:tc>
        <w:tc>
          <w:tcPr>
            <w:tcW w:w="2026" w:type="dxa"/>
          </w:tcPr>
          <w:p w14:paraId="76BA102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&gt;100 (0.00, &gt;100)</w:t>
            </w:r>
          </w:p>
        </w:tc>
        <w:tc>
          <w:tcPr>
            <w:tcW w:w="2027" w:type="dxa"/>
            <w:noWrap/>
          </w:tcPr>
          <w:p w14:paraId="5B0BDC0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4B7BDB62" w14:textId="77777777" w:rsidTr="002D2677">
        <w:trPr>
          <w:trHeight w:val="23"/>
        </w:trPr>
        <w:tc>
          <w:tcPr>
            <w:tcW w:w="3828" w:type="dxa"/>
            <w:noWrap/>
          </w:tcPr>
          <w:p w14:paraId="5EC32565"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20–99</w:t>
            </w:r>
          </w:p>
        </w:tc>
        <w:tc>
          <w:tcPr>
            <w:tcW w:w="2026" w:type="dxa"/>
          </w:tcPr>
          <w:p w14:paraId="7F7E87E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106 (1.0)</w:t>
            </w:r>
          </w:p>
        </w:tc>
        <w:tc>
          <w:tcPr>
            <w:tcW w:w="2026" w:type="dxa"/>
          </w:tcPr>
          <w:p w14:paraId="34309E8E" w14:textId="77777777" w:rsidR="00D250E5" w:rsidRPr="00737A30" w:rsidRDefault="00D250E5" w:rsidP="002D2677">
            <w:pPr>
              <w:widowControl/>
              <w:spacing w:before="0" w:beforeAutospacing="0" w:after="0" w:afterAutospacing="0" w:line="276" w:lineRule="auto"/>
              <w:jc w:val="center"/>
              <w:rPr>
                <w:rFonts w:cs="Arial"/>
                <w:sz w:val="18"/>
                <w:szCs w:val="18"/>
              </w:rPr>
            </w:pPr>
            <w:r>
              <w:rPr>
                <w:rFonts w:cs="Arial"/>
                <w:sz w:val="18"/>
                <w:szCs w:val="18"/>
              </w:rPr>
              <w:t>94</w:t>
            </w:r>
            <w:r w:rsidRPr="00737A30">
              <w:rPr>
                <w:rFonts w:cs="Arial"/>
                <w:sz w:val="18"/>
                <w:szCs w:val="18"/>
              </w:rPr>
              <w:t xml:space="preserve"> (</w:t>
            </w:r>
            <w:r>
              <w:rPr>
                <w:rFonts w:cs="Arial"/>
                <w:sz w:val="18"/>
                <w:szCs w:val="18"/>
              </w:rPr>
              <w:t>88.7</w:t>
            </w:r>
            <w:r w:rsidRPr="00737A30">
              <w:rPr>
                <w:rFonts w:cs="Arial"/>
                <w:sz w:val="18"/>
                <w:szCs w:val="18"/>
              </w:rPr>
              <w:t>)</w:t>
            </w:r>
          </w:p>
        </w:tc>
        <w:tc>
          <w:tcPr>
            <w:tcW w:w="2027" w:type="dxa"/>
          </w:tcPr>
          <w:p w14:paraId="483F8E51" w14:textId="77777777" w:rsidR="00D250E5" w:rsidRPr="00737A30" w:rsidRDefault="00D250E5" w:rsidP="002D2677">
            <w:pPr>
              <w:widowControl/>
              <w:spacing w:before="0" w:beforeAutospacing="0" w:after="0" w:afterAutospacing="0" w:line="276" w:lineRule="auto"/>
              <w:jc w:val="center"/>
              <w:rPr>
                <w:rFonts w:cs="Arial"/>
                <w:sz w:val="18"/>
                <w:szCs w:val="18"/>
              </w:rPr>
            </w:pPr>
            <w:r>
              <w:rPr>
                <w:rFonts w:cs="Arial"/>
                <w:sz w:val="18"/>
                <w:szCs w:val="18"/>
              </w:rPr>
              <w:t>3.07 (1.68, 5.63)</w:t>
            </w:r>
          </w:p>
        </w:tc>
        <w:tc>
          <w:tcPr>
            <w:tcW w:w="2026" w:type="dxa"/>
          </w:tcPr>
          <w:p w14:paraId="4943A65F" w14:textId="77777777" w:rsidR="00D250E5" w:rsidRPr="00737A30" w:rsidRDefault="00D250E5" w:rsidP="002D2677">
            <w:pPr>
              <w:widowControl/>
              <w:spacing w:before="0" w:beforeAutospacing="0" w:after="0" w:afterAutospacing="0" w:line="276" w:lineRule="auto"/>
              <w:jc w:val="center"/>
              <w:rPr>
                <w:rFonts w:cs="Arial"/>
                <w:sz w:val="18"/>
                <w:szCs w:val="18"/>
              </w:rPr>
            </w:pPr>
            <w:r>
              <w:rPr>
                <w:rFonts w:cs="Arial"/>
                <w:sz w:val="18"/>
                <w:szCs w:val="18"/>
              </w:rPr>
              <w:t>2.87 (1.56, 5.28)</w:t>
            </w:r>
          </w:p>
        </w:tc>
        <w:tc>
          <w:tcPr>
            <w:tcW w:w="2027" w:type="dxa"/>
            <w:noWrap/>
          </w:tcPr>
          <w:p w14:paraId="43526866"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366A4A1C" w14:textId="77777777" w:rsidTr="002D2677">
        <w:trPr>
          <w:trHeight w:val="23"/>
        </w:trPr>
        <w:tc>
          <w:tcPr>
            <w:tcW w:w="3828" w:type="dxa"/>
            <w:noWrap/>
          </w:tcPr>
          <w:p w14:paraId="699C1FA2"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100–299</w:t>
            </w:r>
          </w:p>
        </w:tc>
        <w:tc>
          <w:tcPr>
            <w:tcW w:w="2026" w:type="dxa"/>
          </w:tcPr>
          <w:p w14:paraId="25766C4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2,891 (28.0)</w:t>
            </w:r>
          </w:p>
        </w:tc>
        <w:tc>
          <w:tcPr>
            <w:tcW w:w="2026" w:type="dxa"/>
          </w:tcPr>
          <w:p w14:paraId="4B25E01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2,317 (80.1)</w:t>
            </w:r>
          </w:p>
        </w:tc>
        <w:tc>
          <w:tcPr>
            <w:tcW w:w="2027" w:type="dxa"/>
          </w:tcPr>
          <w:p w14:paraId="0713114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1.58 (1.41, 1.78)</w:t>
            </w:r>
          </w:p>
        </w:tc>
        <w:tc>
          <w:tcPr>
            <w:tcW w:w="2026" w:type="dxa"/>
          </w:tcPr>
          <w:p w14:paraId="018A7D6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1.43 (1.26, 1.62)</w:t>
            </w:r>
          </w:p>
        </w:tc>
        <w:tc>
          <w:tcPr>
            <w:tcW w:w="2027" w:type="dxa"/>
            <w:noWrap/>
          </w:tcPr>
          <w:p w14:paraId="38F8A8A3"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96A3E44" w14:textId="77777777" w:rsidTr="002D2677">
        <w:trPr>
          <w:trHeight w:val="23"/>
        </w:trPr>
        <w:tc>
          <w:tcPr>
            <w:tcW w:w="3828" w:type="dxa"/>
            <w:noWrap/>
          </w:tcPr>
          <w:p w14:paraId="26A9F1C2"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300–499</w:t>
            </w:r>
          </w:p>
        </w:tc>
        <w:tc>
          <w:tcPr>
            <w:tcW w:w="2026" w:type="dxa"/>
          </w:tcPr>
          <w:p w14:paraId="60AC744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4,020 (38.9)</w:t>
            </w:r>
          </w:p>
        </w:tc>
        <w:tc>
          <w:tcPr>
            <w:tcW w:w="2026" w:type="dxa"/>
          </w:tcPr>
          <w:p w14:paraId="52F652C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2,789 (69.4)</w:t>
            </w:r>
          </w:p>
        </w:tc>
        <w:tc>
          <w:tcPr>
            <w:tcW w:w="2027" w:type="dxa"/>
          </w:tcPr>
          <w:p w14:paraId="4ED1E3C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0.89 (0.80, 0.98)</w:t>
            </w:r>
          </w:p>
        </w:tc>
        <w:tc>
          <w:tcPr>
            <w:tcW w:w="2026" w:type="dxa"/>
          </w:tcPr>
          <w:p w14:paraId="651CE49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0.88 (0.79, 0.97)</w:t>
            </w:r>
          </w:p>
        </w:tc>
        <w:tc>
          <w:tcPr>
            <w:tcW w:w="2027" w:type="dxa"/>
            <w:noWrap/>
          </w:tcPr>
          <w:p w14:paraId="207A931B"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A8DFFC9" w14:textId="77777777" w:rsidTr="002D2677">
        <w:trPr>
          <w:trHeight w:val="23"/>
        </w:trPr>
        <w:tc>
          <w:tcPr>
            <w:tcW w:w="3828" w:type="dxa"/>
            <w:noWrap/>
          </w:tcPr>
          <w:p w14:paraId="1BE366CF"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500+</w:t>
            </w:r>
          </w:p>
        </w:tc>
        <w:tc>
          <w:tcPr>
            <w:tcW w:w="2026" w:type="dxa"/>
          </w:tcPr>
          <w:p w14:paraId="7DEBDE3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3,303 (32.0)</w:t>
            </w:r>
          </w:p>
        </w:tc>
        <w:tc>
          <w:tcPr>
            <w:tcW w:w="2026" w:type="dxa"/>
          </w:tcPr>
          <w:p w14:paraId="5CB843E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2,372 (71.8)</w:t>
            </w:r>
          </w:p>
        </w:tc>
        <w:tc>
          <w:tcPr>
            <w:tcW w:w="2027" w:type="dxa"/>
          </w:tcPr>
          <w:p w14:paraId="2412256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6730A4A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502946CD"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4412983" w14:textId="77777777" w:rsidTr="002D2677">
        <w:trPr>
          <w:trHeight w:val="23"/>
        </w:trPr>
        <w:tc>
          <w:tcPr>
            <w:tcW w:w="3828" w:type="dxa"/>
            <w:tcBorders>
              <w:top w:val="single" w:sz="4" w:space="0" w:color="auto"/>
            </w:tcBorders>
          </w:tcPr>
          <w:p w14:paraId="149AAFA5" w14:textId="77777777" w:rsidR="00D250E5" w:rsidRPr="00737A30" w:rsidRDefault="00D250E5" w:rsidP="002D2677">
            <w:pPr>
              <w:widowControl/>
              <w:spacing w:before="0" w:beforeAutospacing="0" w:after="0" w:afterAutospacing="0" w:line="276" w:lineRule="auto"/>
              <w:rPr>
                <w:rFonts w:cs="Arial"/>
                <w:b/>
                <w:bCs/>
                <w:sz w:val="18"/>
                <w:szCs w:val="18"/>
              </w:rPr>
            </w:pPr>
            <w:r w:rsidRPr="00737A30">
              <w:rPr>
                <w:rFonts w:cs="Arial"/>
                <w:b/>
                <w:bCs/>
                <w:sz w:val="18"/>
                <w:szCs w:val="18"/>
              </w:rPr>
              <w:t>COPD subtypes</w:t>
            </w:r>
          </w:p>
        </w:tc>
        <w:tc>
          <w:tcPr>
            <w:tcW w:w="2026" w:type="dxa"/>
            <w:tcBorders>
              <w:top w:val="single" w:sz="4" w:space="0" w:color="auto"/>
            </w:tcBorders>
          </w:tcPr>
          <w:p w14:paraId="0D50F67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Borders>
              <w:top w:val="single" w:sz="4" w:space="0" w:color="auto"/>
            </w:tcBorders>
          </w:tcPr>
          <w:p w14:paraId="760B8BB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Borders>
              <w:top w:val="single" w:sz="4" w:space="0" w:color="auto"/>
            </w:tcBorders>
          </w:tcPr>
          <w:p w14:paraId="33FCDC6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Borders>
              <w:top w:val="single" w:sz="4" w:space="0" w:color="auto"/>
            </w:tcBorders>
          </w:tcPr>
          <w:p w14:paraId="06A12ABA"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Borders>
              <w:top w:val="single" w:sz="4" w:space="0" w:color="auto"/>
            </w:tcBorders>
            <w:noWrap/>
          </w:tcPr>
          <w:p w14:paraId="6FF0CEF9"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31EEB80" w14:textId="77777777" w:rsidTr="002D2677">
        <w:trPr>
          <w:trHeight w:val="23"/>
        </w:trPr>
        <w:tc>
          <w:tcPr>
            <w:tcW w:w="3828" w:type="dxa"/>
            <w:noWrap/>
          </w:tcPr>
          <w:p w14:paraId="52E22E3A"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CB/emphysema</w:t>
            </w:r>
          </w:p>
        </w:tc>
        <w:tc>
          <w:tcPr>
            <w:tcW w:w="2026" w:type="dxa"/>
          </w:tcPr>
          <w:p w14:paraId="4A14444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068C5680"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50DF25E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BBDA147"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4E0E786"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ECA2DF0" w14:textId="77777777" w:rsidTr="002D2677">
        <w:trPr>
          <w:trHeight w:val="23"/>
        </w:trPr>
        <w:tc>
          <w:tcPr>
            <w:tcW w:w="3828" w:type="dxa"/>
            <w:noWrap/>
          </w:tcPr>
          <w:p w14:paraId="643D75F3"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CB-dominant</w:t>
            </w:r>
          </w:p>
        </w:tc>
        <w:tc>
          <w:tcPr>
            <w:tcW w:w="2026" w:type="dxa"/>
          </w:tcPr>
          <w:p w14:paraId="24E2CD1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4,319 (41.8)</w:t>
            </w:r>
          </w:p>
        </w:tc>
        <w:tc>
          <w:tcPr>
            <w:tcW w:w="2026" w:type="dxa"/>
          </w:tcPr>
          <w:p w14:paraId="2BE193D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3,228 (74.7)</w:t>
            </w:r>
          </w:p>
        </w:tc>
        <w:tc>
          <w:tcPr>
            <w:tcW w:w="2027" w:type="dxa"/>
          </w:tcPr>
          <w:p w14:paraId="07F24FD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1.58 (1.43, 1.74)</w:t>
            </w:r>
          </w:p>
        </w:tc>
        <w:tc>
          <w:tcPr>
            <w:tcW w:w="2026" w:type="dxa"/>
          </w:tcPr>
          <w:p w14:paraId="75EDBAA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1.50 (1.35, 1.67)</w:t>
            </w:r>
          </w:p>
        </w:tc>
        <w:tc>
          <w:tcPr>
            <w:tcW w:w="2027" w:type="dxa"/>
            <w:noWrap/>
          </w:tcPr>
          <w:p w14:paraId="3C1F7B4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187C6EA2" w14:textId="77777777" w:rsidTr="002D2677">
        <w:trPr>
          <w:trHeight w:val="23"/>
        </w:trPr>
        <w:tc>
          <w:tcPr>
            <w:tcW w:w="3828" w:type="dxa"/>
            <w:noWrap/>
          </w:tcPr>
          <w:p w14:paraId="4D51186B"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lastRenderedPageBreak/>
              <w:t>Emphysema-dominant</w:t>
            </w:r>
          </w:p>
        </w:tc>
        <w:tc>
          <w:tcPr>
            <w:tcW w:w="2026" w:type="dxa"/>
          </w:tcPr>
          <w:p w14:paraId="3B229E9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2,274 (22.0)</w:t>
            </w:r>
          </w:p>
        </w:tc>
        <w:tc>
          <w:tcPr>
            <w:tcW w:w="2026" w:type="dxa"/>
          </w:tcPr>
          <w:p w14:paraId="3A2B831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1,803 (79.3)</w:t>
            </w:r>
          </w:p>
        </w:tc>
        <w:tc>
          <w:tcPr>
            <w:tcW w:w="2027" w:type="dxa"/>
          </w:tcPr>
          <w:p w14:paraId="324FE61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2.04 (1.80, 2.31)</w:t>
            </w:r>
          </w:p>
        </w:tc>
        <w:tc>
          <w:tcPr>
            <w:tcW w:w="2026" w:type="dxa"/>
          </w:tcPr>
          <w:p w14:paraId="3E3ABBB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2.08 (1.83, 2.37)</w:t>
            </w:r>
          </w:p>
        </w:tc>
        <w:tc>
          <w:tcPr>
            <w:tcW w:w="2027" w:type="dxa"/>
            <w:noWrap/>
          </w:tcPr>
          <w:p w14:paraId="6E3F9678"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7947C6E" w14:textId="77777777" w:rsidTr="002D2677">
        <w:trPr>
          <w:trHeight w:val="23"/>
        </w:trPr>
        <w:tc>
          <w:tcPr>
            <w:tcW w:w="3828" w:type="dxa"/>
            <w:noWrap/>
          </w:tcPr>
          <w:p w14:paraId="78AD0C33"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CB and emphysema</w:t>
            </w:r>
          </w:p>
        </w:tc>
        <w:tc>
          <w:tcPr>
            <w:tcW w:w="2026" w:type="dxa"/>
          </w:tcPr>
          <w:p w14:paraId="21B9E81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588 (5.7)</w:t>
            </w:r>
          </w:p>
        </w:tc>
        <w:tc>
          <w:tcPr>
            <w:tcW w:w="2026" w:type="dxa"/>
          </w:tcPr>
          <w:p w14:paraId="7409224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494 (84.0)</w:t>
            </w:r>
          </w:p>
        </w:tc>
        <w:tc>
          <w:tcPr>
            <w:tcW w:w="2027" w:type="dxa"/>
          </w:tcPr>
          <w:p w14:paraId="1D75D86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2.80 (2.22, 3.54)</w:t>
            </w:r>
          </w:p>
        </w:tc>
        <w:tc>
          <w:tcPr>
            <w:tcW w:w="2026" w:type="dxa"/>
          </w:tcPr>
          <w:p w14:paraId="4CFC187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3.06 (2.41, 3.88)</w:t>
            </w:r>
          </w:p>
        </w:tc>
        <w:tc>
          <w:tcPr>
            <w:tcW w:w="2027" w:type="dxa"/>
            <w:noWrap/>
          </w:tcPr>
          <w:p w14:paraId="7E43BC1C"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379B5B6F" w14:textId="77777777" w:rsidTr="002D2677">
        <w:trPr>
          <w:trHeight w:val="23"/>
        </w:trPr>
        <w:tc>
          <w:tcPr>
            <w:tcW w:w="3828" w:type="dxa"/>
            <w:noWrap/>
          </w:tcPr>
          <w:p w14:paraId="66763DFB"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Unspecified</w:t>
            </w:r>
          </w:p>
        </w:tc>
        <w:tc>
          <w:tcPr>
            <w:tcW w:w="2026" w:type="dxa"/>
          </w:tcPr>
          <w:p w14:paraId="6134C4F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3,140 (30.4)</w:t>
            </w:r>
          </w:p>
        </w:tc>
        <w:tc>
          <w:tcPr>
            <w:tcW w:w="2026" w:type="dxa"/>
          </w:tcPr>
          <w:p w14:paraId="4074F81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2,048 (65.2)</w:t>
            </w:r>
          </w:p>
        </w:tc>
        <w:tc>
          <w:tcPr>
            <w:tcW w:w="2027" w:type="dxa"/>
          </w:tcPr>
          <w:p w14:paraId="625E8BA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60217FA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002C1E84"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98C41B2" w14:textId="77777777" w:rsidTr="002D2677">
        <w:trPr>
          <w:trHeight w:val="23"/>
        </w:trPr>
        <w:tc>
          <w:tcPr>
            <w:tcW w:w="3828" w:type="dxa"/>
            <w:noWrap/>
          </w:tcPr>
          <w:p w14:paraId="5E0F94FB"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Bronchial asthma</w:t>
            </w:r>
          </w:p>
        </w:tc>
        <w:tc>
          <w:tcPr>
            <w:tcW w:w="2026" w:type="dxa"/>
          </w:tcPr>
          <w:p w14:paraId="16D3396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noWrap/>
          </w:tcPr>
          <w:p w14:paraId="404CE9B2"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1AE38F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noWrap/>
          </w:tcPr>
          <w:p w14:paraId="73CD2E4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2174667B"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2720D7DA" w14:textId="77777777" w:rsidTr="002D2677">
        <w:trPr>
          <w:trHeight w:val="23"/>
        </w:trPr>
        <w:tc>
          <w:tcPr>
            <w:tcW w:w="3828" w:type="dxa"/>
            <w:noWrap/>
          </w:tcPr>
          <w:p w14:paraId="64C1084D"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5C686C7B" w14:textId="77777777" w:rsidR="00D250E5" w:rsidRPr="00737A30" w:rsidRDefault="00D250E5" w:rsidP="002D2677">
            <w:pPr>
              <w:widowControl/>
              <w:spacing w:before="0" w:beforeAutospacing="0" w:after="0" w:afterAutospacing="0" w:line="276" w:lineRule="auto"/>
              <w:jc w:val="center"/>
              <w:rPr>
                <w:rFonts w:cs="Arial"/>
                <w:sz w:val="18"/>
                <w:szCs w:val="18"/>
              </w:rPr>
            </w:pPr>
            <w:r>
              <w:rPr>
                <w:rFonts w:cs="Arial"/>
                <w:sz w:val="18"/>
                <w:szCs w:val="18"/>
              </w:rPr>
              <w:t>4</w:t>
            </w:r>
            <w:r w:rsidRPr="00737A30">
              <w:rPr>
                <w:rFonts w:cs="Arial"/>
                <w:sz w:val="18"/>
                <w:szCs w:val="18"/>
              </w:rPr>
              <w:t>,</w:t>
            </w:r>
            <w:r>
              <w:rPr>
                <w:rFonts w:cs="Arial"/>
                <w:sz w:val="18"/>
                <w:szCs w:val="18"/>
              </w:rPr>
              <w:t>72</w:t>
            </w:r>
            <w:r w:rsidRPr="00737A30">
              <w:rPr>
                <w:rFonts w:cs="Arial"/>
                <w:sz w:val="18"/>
                <w:szCs w:val="18"/>
              </w:rPr>
              <w:t>3 (</w:t>
            </w:r>
            <w:r>
              <w:rPr>
                <w:rFonts w:cs="Arial"/>
                <w:sz w:val="18"/>
                <w:szCs w:val="18"/>
              </w:rPr>
              <w:t>45</w:t>
            </w:r>
            <w:r w:rsidRPr="00737A30">
              <w:rPr>
                <w:rFonts w:cs="Arial"/>
                <w:sz w:val="18"/>
                <w:szCs w:val="18"/>
              </w:rPr>
              <w:t>.</w:t>
            </w:r>
            <w:r>
              <w:rPr>
                <w:rFonts w:cs="Arial"/>
                <w:sz w:val="18"/>
                <w:szCs w:val="18"/>
              </w:rPr>
              <w:t>8</w:t>
            </w:r>
            <w:r w:rsidRPr="00737A30">
              <w:rPr>
                <w:rFonts w:cs="Arial"/>
                <w:sz w:val="18"/>
                <w:szCs w:val="18"/>
              </w:rPr>
              <w:t>)</w:t>
            </w:r>
          </w:p>
        </w:tc>
        <w:tc>
          <w:tcPr>
            <w:tcW w:w="2026" w:type="dxa"/>
            <w:noWrap/>
          </w:tcPr>
          <w:p w14:paraId="2D1683D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3,654 (77.4)</w:t>
            </w:r>
          </w:p>
        </w:tc>
        <w:tc>
          <w:tcPr>
            <w:tcW w:w="2027" w:type="dxa"/>
            <w:noWrap/>
          </w:tcPr>
          <w:p w14:paraId="53CCFB8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1.46 (1.34, 1.60)</w:t>
            </w:r>
          </w:p>
        </w:tc>
        <w:tc>
          <w:tcPr>
            <w:tcW w:w="2026" w:type="dxa"/>
            <w:noWrap/>
          </w:tcPr>
          <w:p w14:paraId="79D9CF1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1.41 (1.28, 1.55)</w:t>
            </w:r>
          </w:p>
        </w:tc>
        <w:tc>
          <w:tcPr>
            <w:tcW w:w="2027" w:type="dxa"/>
            <w:noWrap/>
          </w:tcPr>
          <w:p w14:paraId="33E9B06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57BB1DC9" w14:textId="77777777" w:rsidTr="002D2677">
        <w:trPr>
          <w:trHeight w:val="23"/>
        </w:trPr>
        <w:tc>
          <w:tcPr>
            <w:tcW w:w="3828" w:type="dxa"/>
            <w:noWrap/>
          </w:tcPr>
          <w:p w14:paraId="320592C6"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1ADC81D6" w14:textId="77777777" w:rsidR="00D250E5" w:rsidRPr="00737A30" w:rsidRDefault="00D250E5" w:rsidP="002D2677">
            <w:pPr>
              <w:widowControl/>
              <w:spacing w:before="0" w:beforeAutospacing="0" w:after="0" w:afterAutospacing="0" w:line="276" w:lineRule="auto"/>
              <w:jc w:val="center"/>
              <w:rPr>
                <w:rFonts w:cs="Arial"/>
                <w:sz w:val="18"/>
                <w:szCs w:val="18"/>
              </w:rPr>
            </w:pPr>
            <w:r>
              <w:rPr>
                <w:rFonts w:cs="Arial"/>
                <w:sz w:val="18"/>
                <w:szCs w:val="18"/>
              </w:rPr>
              <w:t>5</w:t>
            </w:r>
            <w:r w:rsidRPr="00737A30">
              <w:rPr>
                <w:rFonts w:cs="Arial"/>
                <w:sz w:val="18"/>
                <w:szCs w:val="18"/>
              </w:rPr>
              <w:t>,</w:t>
            </w:r>
            <w:r>
              <w:rPr>
                <w:rFonts w:cs="Arial"/>
                <w:sz w:val="18"/>
                <w:szCs w:val="18"/>
              </w:rPr>
              <w:t>59</w:t>
            </w:r>
            <w:r w:rsidRPr="00737A30">
              <w:rPr>
                <w:rFonts w:cs="Arial"/>
                <w:sz w:val="18"/>
                <w:szCs w:val="18"/>
              </w:rPr>
              <w:t>8 (</w:t>
            </w:r>
            <w:r>
              <w:rPr>
                <w:rFonts w:cs="Arial"/>
                <w:sz w:val="18"/>
                <w:szCs w:val="18"/>
              </w:rPr>
              <w:t>54</w:t>
            </w:r>
            <w:r w:rsidRPr="00737A30">
              <w:rPr>
                <w:rFonts w:cs="Arial"/>
                <w:sz w:val="18"/>
                <w:szCs w:val="18"/>
              </w:rPr>
              <w:t>.</w:t>
            </w:r>
            <w:r>
              <w:rPr>
                <w:rFonts w:cs="Arial"/>
                <w:sz w:val="18"/>
                <w:szCs w:val="18"/>
              </w:rPr>
              <w:t>2</w:t>
            </w:r>
            <w:r w:rsidRPr="00737A30">
              <w:rPr>
                <w:rFonts w:cs="Arial"/>
                <w:sz w:val="18"/>
                <w:szCs w:val="18"/>
              </w:rPr>
              <w:t>)</w:t>
            </w:r>
          </w:p>
        </w:tc>
        <w:tc>
          <w:tcPr>
            <w:tcW w:w="2026" w:type="dxa"/>
            <w:noWrap/>
          </w:tcPr>
          <w:p w14:paraId="186DA24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3,919 (70.0)</w:t>
            </w:r>
          </w:p>
        </w:tc>
        <w:tc>
          <w:tcPr>
            <w:tcW w:w="2027" w:type="dxa"/>
            <w:noWrap/>
          </w:tcPr>
          <w:p w14:paraId="40F7EFE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noWrap/>
          </w:tcPr>
          <w:p w14:paraId="02BAACB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4E8176E5"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61E9EE2E" w14:textId="77777777" w:rsidTr="002D2677">
        <w:trPr>
          <w:trHeight w:val="23"/>
        </w:trPr>
        <w:tc>
          <w:tcPr>
            <w:tcW w:w="3828" w:type="dxa"/>
            <w:tcBorders>
              <w:top w:val="single" w:sz="4" w:space="0" w:color="auto"/>
            </w:tcBorders>
          </w:tcPr>
          <w:p w14:paraId="40729CC2" w14:textId="77777777" w:rsidR="00D250E5" w:rsidRPr="00737A30" w:rsidRDefault="00D250E5" w:rsidP="002D2677">
            <w:pPr>
              <w:widowControl/>
              <w:spacing w:before="0" w:beforeAutospacing="0" w:after="0" w:afterAutospacing="0" w:line="276" w:lineRule="auto"/>
              <w:rPr>
                <w:rFonts w:cs="Arial"/>
                <w:b/>
                <w:bCs/>
                <w:sz w:val="18"/>
                <w:szCs w:val="18"/>
              </w:rPr>
            </w:pPr>
            <w:r w:rsidRPr="00737A30">
              <w:rPr>
                <w:rFonts w:cs="Arial"/>
                <w:b/>
                <w:bCs/>
                <w:sz w:val="18"/>
                <w:szCs w:val="18"/>
              </w:rPr>
              <w:t>Comorbidities</w:t>
            </w:r>
          </w:p>
        </w:tc>
        <w:tc>
          <w:tcPr>
            <w:tcW w:w="2026" w:type="dxa"/>
            <w:tcBorders>
              <w:top w:val="single" w:sz="4" w:space="0" w:color="auto"/>
            </w:tcBorders>
          </w:tcPr>
          <w:p w14:paraId="07F4982B"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Borders>
              <w:top w:val="single" w:sz="4" w:space="0" w:color="auto"/>
            </w:tcBorders>
          </w:tcPr>
          <w:p w14:paraId="4D7E6D5B"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Borders>
              <w:top w:val="single" w:sz="4" w:space="0" w:color="auto"/>
            </w:tcBorders>
          </w:tcPr>
          <w:p w14:paraId="06361DB2"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Borders>
              <w:top w:val="single" w:sz="4" w:space="0" w:color="auto"/>
            </w:tcBorders>
          </w:tcPr>
          <w:p w14:paraId="651DDCC6"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Borders>
              <w:top w:val="single" w:sz="4" w:space="0" w:color="auto"/>
            </w:tcBorders>
            <w:noWrap/>
          </w:tcPr>
          <w:p w14:paraId="45AB9117"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707C0D0" w14:textId="77777777" w:rsidTr="002D2677">
        <w:trPr>
          <w:trHeight w:val="23"/>
        </w:trPr>
        <w:tc>
          <w:tcPr>
            <w:tcW w:w="3828" w:type="dxa"/>
          </w:tcPr>
          <w:p w14:paraId="666337D8"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Allergic comorbidities</w:t>
            </w:r>
          </w:p>
        </w:tc>
        <w:tc>
          <w:tcPr>
            <w:tcW w:w="2026" w:type="dxa"/>
          </w:tcPr>
          <w:p w14:paraId="0762513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61D21BC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54803346"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553BF50C"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7834A76C"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621650D" w14:textId="77777777" w:rsidTr="002D2677">
        <w:trPr>
          <w:trHeight w:val="23"/>
        </w:trPr>
        <w:tc>
          <w:tcPr>
            <w:tcW w:w="3828" w:type="dxa"/>
          </w:tcPr>
          <w:p w14:paraId="1F7CB8AB"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0EC5281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3,193 (30.9)</w:t>
            </w:r>
          </w:p>
        </w:tc>
        <w:tc>
          <w:tcPr>
            <w:tcW w:w="2026" w:type="dxa"/>
          </w:tcPr>
          <w:p w14:paraId="3C9F445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2,465 (77.2)</w:t>
            </w:r>
          </w:p>
        </w:tc>
        <w:tc>
          <w:tcPr>
            <w:tcW w:w="2027" w:type="dxa"/>
          </w:tcPr>
          <w:p w14:paraId="450D4C2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1.34 (1.21, 1.48)</w:t>
            </w:r>
          </w:p>
        </w:tc>
        <w:tc>
          <w:tcPr>
            <w:tcW w:w="2026" w:type="dxa"/>
          </w:tcPr>
          <w:p w14:paraId="2A2EE40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1.29 (1.16, 1.42)</w:t>
            </w:r>
          </w:p>
        </w:tc>
        <w:tc>
          <w:tcPr>
            <w:tcW w:w="2027" w:type="dxa"/>
            <w:noWrap/>
          </w:tcPr>
          <w:p w14:paraId="63EFEB4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1B13336D" w14:textId="77777777" w:rsidTr="002D2677">
        <w:trPr>
          <w:trHeight w:val="23"/>
        </w:trPr>
        <w:tc>
          <w:tcPr>
            <w:tcW w:w="3828" w:type="dxa"/>
          </w:tcPr>
          <w:p w14:paraId="4A2E52ED"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6E30389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7,128 (69.1)</w:t>
            </w:r>
          </w:p>
        </w:tc>
        <w:tc>
          <w:tcPr>
            <w:tcW w:w="2026" w:type="dxa"/>
          </w:tcPr>
          <w:p w14:paraId="4AF7172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5,108 (71.7)</w:t>
            </w:r>
          </w:p>
        </w:tc>
        <w:tc>
          <w:tcPr>
            <w:tcW w:w="2027" w:type="dxa"/>
          </w:tcPr>
          <w:p w14:paraId="043FEC0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234F104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2B313D8E"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2E308BF5" w14:textId="77777777" w:rsidTr="002D2677">
        <w:trPr>
          <w:trHeight w:val="23"/>
        </w:trPr>
        <w:tc>
          <w:tcPr>
            <w:tcW w:w="3828" w:type="dxa"/>
          </w:tcPr>
          <w:p w14:paraId="4AA890F9"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Allergic rhinitis</w:t>
            </w:r>
          </w:p>
        </w:tc>
        <w:tc>
          <w:tcPr>
            <w:tcW w:w="2026" w:type="dxa"/>
          </w:tcPr>
          <w:p w14:paraId="3FCE7906"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6F05A97A"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4743A66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0953ABA4"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9EC6D78"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A9DA137" w14:textId="77777777" w:rsidTr="002D2677">
        <w:trPr>
          <w:trHeight w:val="23"/>
        </w:trPr>
        <w:tc>
          <w:tcPr>
            <w:tcW w:w="3828" w:type="dxa"/>
            <w:noWrap/>
          </w:tcPr>
          <w:p w14:paraId="1775F70B"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23932DF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2,853 (27.6)</w:t>
            </w:r>
          </w:p>
        </w:tc>
        <w:tc>
          <w:tcPr>
            <w:tcW w:w="2026" w:type="dxa"/>
          </w:tcPr>
          <w:p w14:paraId="60568BA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2,213 (77.6)</w:t>
            </w:r>
          </w:p>
        </w:tc>
        <w:tc>
          <w:tcPr>
            <w:tcW w:w="2027" w:type="dxa"/>
          </w:tcPr>
          <w:p w14:paraId="733897B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1.36 (1.23, 1.50)</w:t>
            </w:r>
          </w:p>
        </w:tc>
        <w:tc>
          <w:tcPr>
            <w:tcW w:w="2026" w:type="dxa"/>
          </w:tcPr>
          <w:p w14:paraId="5D20AEE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1.30 (1.17, 1.44)</w:t>
            </w:r>
          </w:p>
        </w:tc>
        <w:tc>
          <w:tcPr>
            <w:tcW w:w="2027" w:type="dxa"/>
            <w:noWrap/>
          </w:tcPr>
          <w:p w14:paraId="49E2BDF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2055EFF8" w14:textId="77777777" w:rsidTr="002D2677">
        <w:trPr>
          <w:trHeight w:val="23"/>
        </w:trPr>
        <w:tc>
          <w:tcPr>
            <w:tcW w:w="3828" w:type="dxa"/>
            <w:noWrap/>
          </w:tcPr>
          <w:p w14:paraId="2C3E8C94"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76A3DC2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7,468 (72.4)</w:t>
            </w:r>
          </w:p>
        </w:tc>
        <w:tc>
          <w:tcPr>
            <w:tcW w:w="2026" w:type="dxa"/>
          </w:tcPr>
          <w:p w14:paraId="0742EFC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5,360 (71.8)</w:t>
            </w:r>
          </w:p>
        </w:tc>
        <w:tc>
          <w:tcPr>
            <w:tcW w:w="2027" w:type="dxa"/>
          </w:tcPr>
          <w:p w14:paraId="2DF5BD7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4772A16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13A79D9B"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6F12FB0A" w14:textId="77777777" w:rsidTr="002D2677">
        <w:trPr>
          <w:trHeight w:val="23"/>
        </w:trPr>
        <w:tc>
          <w:tcPr>
            <w:tcW w:w="3828" w:type="dxa"/>
            <w:noWrap/>
          </w:tcPr>
          <w:p w14:paraId="1BE3BA76"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Allergic conjunctivitis</w:t>
            </w:r>
          </w:p>
        </w:tc>
        <w:tc>
          <w:tcPr>
            <w:tcW w:w="2026" w:type="dxa"/>
          </w:tcPr>
          <w:p w14:paraId="0A7511A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48329313"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57411937"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7714099"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4EC823D1"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211AA462" w14:textId="77777777" w:rsidTr="002D2677">
        <w:trPr>
          <w:trHeight w:val="23"/>
        </w:trPr>
        <w:tc>
          <w:tcPr>
            <w:tcW w:w="3828" w:type="dxa"/>
            <w:noWrap/>
          </w:tcPr>
          <w:p w14:paraId="4635A0F9"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126D517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664 (6.4)</w:t>
            </w:r>
          </w:p>
        </w:tc>
        <w:tc>
          <w:tcPr>
            <w:tcW w:w="2026" w:type="dxa"/>
          </w:tcPr>
          <w:p w14:paraId="06DC0AD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510 (76.8)</w:t>
            </w:r>
          </w:p>
        </w:tc>
        <w:tc>
          <w:tcPr>
            <w:tcW w:w="2027" w:type="dxa"/>
          </w:tcPr>
          <w:p w14:paraId="4299B40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1.22 (1.01, 1.46)</w:t>
            </w:r>
          </w:p>
        </w:tc>
        <w:tc>
          <w:tcPr>
            <w:tcW w:w="2026" w:type="dxa"/>
          </w:tcPr>
          <w:p w14:paraId="1D9D228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1.13 (0.93, 1.36)</w:t>
            </w:r>
          </w:p>
        </w:tc>
        <w:tc>
          <w:tcPr>
            <w:tcW w:w="2027" w:type="dxa"/>
            <w:noWrap/>
          </w:tcPr>
          <w:p w14:paraId="30434E2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0.225</w:t>
            </w:r>
          </w:p>
        </w:tc>
      </w:tr>
      <w:tr w:rsidR="00D250E5" w:rsidRPr="00737A30" w14:paraId="59562E16" w14:textId="77777777" w:rsidTr="002D2677">
        <w:trPr>
          <w:trHeight w:val="23"/>
        </w:trPr>
        <w:tc>
          <w:tcPr>
            <w:tcW w:w="3828" w:type="dxa"/>
            <w:noWrap/>
          </w:tcPr>
          <w:p w14:paraId="16211880"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0EB5924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9,657 (93.6)</w:t>
            </w:r>
          </w:p>
        </w:tc>
        <w:tc>
          <w:tcPr>
            <w:tcW w:w="2026" w:type="dxa"/>
          </w:tcPr>
          <w:p w14:paraId="66B8CAD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7,063 (73.1)</w:t>
            </w:r>
          </w:p>
        </w:tc>
        <w:tc>
          <w:tcPr>
            <w:tcW w:w="2027" w:type="dxa"/>
          </w:tcPr>
          <w:p w14:paraId="5A49696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4D5E489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3513F2CB"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3A77DC40" w14:textId="77777777" w:rsidTr="002D2677">
        <w:trPr>
          <w:trHeight w:val="23"/>
        </w:trPr>
        <w:tc>
          <w:tcPr>
            <w:tcW w:w="3828" w:type="dxa"/>
            <w:noWrap/>
          </w:tcPr>
          <w:p w14:paraId="5A32E1C0"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Atopic dermatitis</w:t>
            </w:r>
          </w:p>
        </w:tc>
        <w:tc>
          <w:tcPr>
            <w:tcW w:w="2026" w:type="dxa"/>
          </w:tcPr>
          <w:p w14:paraId="6D0B61D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68B51579"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0605AEC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230EF0BF"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F368ACF"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609AFFC" w14:textId="77777777" w:rsidTr="002D2677">
        <w:trPr>
          <w:trHeight w:val="23"/>
        </w:trPr>
        <w:tc>
          <w:tcPr>
            <w:tcW w:w="3828" w:type="dxa"/>
            <w:noWrap/>
          </w:tcPr>
          <w:p w14:paraId="23494DCE"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4E3AA76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207 (2.0)</w:t>
            </w:r>
          </w:p>
        </w:tc>
        <w:tc>
          <w:tcPr>
            <w:tcW w:w="2026" w:type="dxa"/>
          </w:tcPr>
          <w:p w14:paraId="3B353D3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156 (75.4)</w:t>
            </w:r>
          </w:p>
        </w:tc>
        <w:tc>
          <w:tcPr>
            <w:tcW w:w="2027" w:type="dxa"/>
          </w:tcPr>
          <w:p w14:paraId="047B1BB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1.11 (0.81, 1.53)</w:t>
            </w:r>
          </w:p>
        </w:tc>
        <w:tc>
          <w:tcPr>
            <w:tcW w:w="2026" w:type="dxa"/>
          </w:tcPr>
          <w:p w14:paraId="01E1F03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1.10 (0.80, 1.53)</w:t>
            </w:r>
          </w:p>
        </w:tc>
        <w:tc>
          <w:tcPr>
            <w:tcW w:w="2027" w:type="dxa"/>
            <w:noWrap/>
          </w:tcPr>
          <w:p w14:paraId="53C8B66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0.561</w:t>
            </w:r>
          </w:p>
        </w:tc>
      </w:tr>
      <w:tr w:rsidR="00D250E5" w:rsidRPr="00737A30" w14:paraId="3BC43954" w14:textId="77777777" w:rsidTr="002D2677">
        <w:trPr>
          <w:trHeight w:val="23"/>
        </w:trPr>
        <w:tc>
          <w:tcPr>
            <w:tcW w:w="3828" w:type="dxa"/>
            <w:noWrap/>
          </w:tcPr>
          <w:p w14:paraId="4CB133FB"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4524116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10,114 (98.0)</w:t>
            </w:r>
          </w:p>
        </w:tc>
        <w:tc>
          <w:tcPr>
            <w:tcW w:w="2026" w:type="dxa"/>
          </w:tcPr>
          <w:p w14:paraId="13BD7C5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7,417 (73.3)</w:t>
            </w:r>
          </w:p>
        </w:tc>
        <w:tc>
          <w:tcPr>
            <w:tcW w:w="2027" w:type="dxa"/>
          </w:tcPr>
          <w:p w14:paraId="67588F4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4B7D063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1665002B"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63AFFBD8" w14:textId="77777777" w:rsidTr="002D2677">
        <w:trPr>
          <w:trHeight w:val="23"/>
        </w:trPr>
        <w:tc>
          <w:tcPr>
            <w:tcW w:w="3828" w:type="dxa"/>
            <w:noWrap/>
          </w:tcPr>
          <w:p w14:paraId="71D81ED5"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Eosinophilic sinusitis</w:t>
            </w:r>
          </w:p>
        </w:tc>
        <w:tc>
          <w:tcPr>
            <w:tcW w:w="2026" w:type="dxa"/>
          </w:tcPr>
          <w:p w14:paraId="0B23D0FC"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81513E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5BA9AC9B"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74FA3E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550B155"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2FBFC1C" w14:textId="77777777" w:rsidTr="002D2677">
        <w:trPr>
          <w:trHeight w:val="23"/>
        </w:trPr>
        <w:tc>
          <w:tcPr>
            <w:tcW w:w="3828" w:type="dxa"/>
            <w:noWrap/>
          </w:tcPr>
          <w:p w14:paraId="715D71DF"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28E6612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24 (0.2)</w:t>
            </w:r>
          </w:p>
        </w:tc>
        <w:tc>
          <w:tcPr>
            <w:tcW w:w="2026" w:type="dxa"/>
          </w:tcPr>
          <w:p w14:paraId="29294F9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17 (70.8)</w:t>
            </w:r>
          </w:p>
        </w:tc>
        <w:tc>
          <w:tcPr>
            <w:tcW w:w="2027" w:type="dxa"/>
          </w:tcPr>
          <w:p w14:paraId="30DE049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0.88 (0.36, 2.13)</w:t>
            </w:r>
          </w:p>
        </w:tc>
        <w:tc>
          <w:tcPr>
            <w:tcW w:w="2026" w:type="dxa"/>
          </w:tcPr>
          <w:p w14:paraId="5063781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0.72 (0.30, 1.75)</w:t>
            </w:r>
          </w:p>
        </w:tc>
        <w:tc>
          <w:tcPr>
            <w:tcW w:w="2027" w:type="dxa"/>
            <w:noWrap/>
          </w:tcPr>
          <w:p w14:paraId="1303C72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0.467</w:t>
            </w:r>
          </w:p>
        </w:tc>
      </w:tr>
      <w:tr w:rsidR="00D250E5" w:rsidRPr="00737A30" w14:paraId="79F3717D" w14:textId="77777777" w:rsidTr="002D2677">
        <w:trPr>
          <w:trHeight w:val="23"/>
        </w:trPr>
        <w:tc>
          <w:tcPr>
            <w:tcW w:w="3828" w:type="dxa"/>
            <w:noWrap/>
          </w:tcPr>
          <w:p w14:paraId="680388F3"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6AA9B6C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10,297 (99.8)</w:t>
            </w:r>
          </w:p>
        </w:tc>
        <w:tc>
          <w:tcPr>
            <w:tcW w:w="2026" w:type="dxa"/>
          </w:tcPr>
          <w:p w14:paraId="0BD4FA3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7,556 (73.4)</w:t>
            </w:r>
          </w:p>
        </w:tc>
        <w:tc>
          <w:tcPr>
            <w:tcW w:w="2027" w:type="dxa"/>
          </w:tcPr>
          <w:p w14:paraId="048F92E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130384F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09115B97"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77A5DBE5" w14:textId="77777777" w:rsidTr="002D2677">
        <w:trPr>
          <w:trHeight w:val="23"/>
        </w:trPr>
        <w:tc>
          <w:tcPr>
            <w:tcW w:w="3828" w:type="dxa"/>
            <w:noWrap/>
          </w:tcPr>
          <w:p w14:paraId="0B55CD1D"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Chronic sinusitis</w:t>
            </w:r>
          </w:p>
        </w:tc>
        <w:tc>
          <w:tcPr>
            <w:tcW w:w="2026" w:type="dxa"/>
          </w:tcPr>
          <w:p w14:paraId="75AA790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27F1AA7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7D2504DF"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038CBF6"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DF55409"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DAA432A" w14:textId="77777777" w:rsidTr="002D2677">
        <w:trPr>
          <w:trHeight w:val="23"/>
        </w:trPr>
        <w:tc>
          <w:tcPr>
            <w:tcW w:w="3828" w:type="dxa"/>
            <w:noWrap/>
          </w:tcPr>
          <w:p w14:paraId="30F1DF7F"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4A17D5F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1,171 (11.3)</w:t>
            </w:r>
          </w:p>
        </w:tc>
        <w:tc>
          <w:tcPr>
            <w:tcW w:w="2026" w:type="dxa"/>
          </w:tcPr>
          <w:p w14:paraId="0F79365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920 (78.6)</w:t>
            </w:r>
          </w:p>
        </w:tc>
        <w:tc>
          <w:tcPr>
            <w:tcW w:w="2027" w:type="dxa"/>
          </w:tcPr>
          <w:p w14:paraId="38272D0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1.38 (1.19, 1.59)</w:t>
            </w:r>
          </w:p>
        </w:tc>
        <w:tc>
          <w:tcPr>
            <w:tcW w:w="2026" w:type="dxa"/>
          </w:tcPr>
          <w:p w14:paraId="51F75BE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1.34 (1.16, 1.56)</w:t>
            </w:r>
          </w:p>
        </w:tc>
        <w:tc>
          <w:tcPr>
            <w:tcW w:w="2027" w:type="dxa"/>
            <w:noWrap/>
          </w:tcPr>
          <w:p w14:paraId="198E930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744FC8A8" w14:textId="77777777" w:rsidTr="002D2677">
        <w:trPr>
          <w:trHeight w:val="23"/>
        </w:trPr>
        <w:tc>
          <w:tcPr>
            <w:tcW w:w="3828" w:type="dxa"/>
            <w:noWrap/>
          </w:tcPr>
          <w:p w14:paraId="57DF65C4"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3050034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9,150 (88.7)</w:t>
            </w:r>
          </w:p>
        </w:tc>
        <w:tc>
          <w:tcPr>
            <w:tcW w:w="2026" w:type="dxa"/>
          </w:tcPr>
          <w:p w14:paraId="089B2E1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6,653 (72.7)</w:t>
            </w:r>
          </w:p>
        </w:tc>
        <w:tc>
          <w:tcPr>
            <w:tcW w:w="2027" w:type="dxa"/>
          </w:tcPr>
          <w:p w14:paraId="4443D3A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791BFA2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41585208"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72FDBCCA" w14:textId="77777777" w:rsidTr="002D2677">
        <w:trPr>
          <w:trHeight w:val="23"/>
        </w:trPr>
        <w:tc>
          <w:tcPr>
            <w:tcW w:w="3828" w:type="dxa"/>
            <w:noWrap/>
          </w:tcPr>
          <w:p w14:paraId="33D1C75F"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Bronchiectasis</w:t>
            </w:r>
          </w:p>
        </w:tc>
        <w:tc>
          <w:tcPr>
            <w:tcW w:w="2026" w:type="dxa"/>
          </w:tcPr>
          <w:p w14:paraId="11DA688C"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02E97EF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52B8240A"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D4B85D3"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559D99A"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943AADC" w14:textId="77777777" w:rsidTr="002D2677">
        <w:trPr>
          <w:trHeight w:val="23"/>
        </w:trPr>
        <w:tc>
          <w:tcPr>
            <w:tcW w:w="3828" w:type="dxa"/>
            <w:noWrap/>
          </w:tcPr>
          <w:p w14:paraId="0B40750A"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42D6CA9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323 (3.1)</w:t>
            </w:r>
          </w:p>
        </w:tc>
        <w:tc>
          <w:tcPr>
            <w:tcW w:w="2026" w:type="dxa"/>
          </w:tcPr>
          <w:p w14:paraId="4526C10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264 (81.7)</w:t>
            </w:r>
          </w:p>
        </w:tc>
        <w:tc>
          <w:tcPr>
            <w:tcW w:w="2027" w:type="dxa"/>
          </w:tcPr>
          <w:p w14:paraId="7AC8BA0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1.65 (1.24, 2.19)</w:t>
            </w:r>
          </w:p>
        </w:tc>
        <w:tc>
          <w:tcPr>
            <w:tcW w:w="2026" w:type="dxa"/>
          </w:tcPr>
          <w:p w14:paraId="01969CF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1.68 (1.25, 2.25)</w:t>
            </w:r>
          </w:p>
        </w:tc>
        <w:tc>
          <w:tcPr>
            <w:tcW w:w="2027" w:type="dxa"/>
            <w:noWrap/>
          </w:tcPr>
          <w:p w14:paraId="0A11004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6838B22A" w14:textId="77777777" w:rsidTr="002D2677">
        <w:trPr>
          <w:trHeight w:val="23"/>
        </w:trPr>
        <w:tc>
          <w:tcPr>
            <w:tcW w:w="3828" w:type="dxa"/>
            <w:noWrap/>
          </w:tcPr>
          <w:p w14:paraId="43FE98D2"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193978D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9,998 (96.9)</w:t>
            </w:r>
          </w:p>
        </w:tc>
        <w:tc>
          <w:tcPr>
            <w:tcW w:w="2026" w:type="dxa"/>
          </w:tcPr>
          <w:p w14:paraId="4CDCE38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7,309 (73.1)</w:t>
            </w:r>
          </w:p>
        </w:tc>
        <w:tc>
          <w:tcPr>
            <w:tcW w:w="2027" w:type="dxa"/>
          </w:tcPr>
          <w:p w14:paraId="5111D10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338D576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505F0467"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36EF1934" w14:textId="77777777" w:rsidTr="002D2677">
        <w:trPr>
          <w:trHeight w:val="23"/>
        </w:trPr>
        <w:tc>
          <w:tcPr>
            <w:tcW w:w="3828" w:type="dxa"/>
            <w:noWrap/>
          </w:tcPr>
          <w:p w14:paraId="6217F1C9"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Interstitial pneumonia</w:t>
            </w:r>
          </w:p>
        </w:tc>
        <w:tc>
          <w:tcPr>
            <w:tcW w:w="2026" w:type="dxa"/>
          </w:tcPr>
          <w:p w14:paraId="4BA3A7E0"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606C1FE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2F0FDCF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0E9CF4F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366E0CD5"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B43C819" w14:textId="77777777" w:rsidTr="002D2677">
        <w:trPr>
          <w:trHeight w:val="23"/>
        </w:trPr>
        <w:tc>
          <w:tcPr>
            <w:tcW w:w="3828" w:type="dxa"/>
            <w:noWrap/>
          </w:tcPr>
          <w:p w14:paraId="0DA6A0DB"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4C75B78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1,039 (10.1)</w:t>
            </w:r>
          </w:p>
        </w:tc>
        <w:tc>
          <w:tcPr>
            <w:tcW w:w="2026" w:type="dxa"/>
          </w:tcPr>
          <w:p w14:paraId="5B0F1BF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787 (75.7)</w:t>
            </w:r>
          </w:p>
        </w:tc>
        <w:tc>
          <w:tcPr>
            <w:tcW w:w="2027" w:type="dxa"/>
          </w:tcPr>
          <w:p w14:paraId="6DB1F0E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1.15 (0.99, 1.33)</w:t>
            </w:r>
          </w:p>
        </w:tc>
        <w:tc>
          <w:tcPr>
            <w:tcW w:w="2026" w:type="dxa"/>
          </w:tcPr>
          <w:p w14:paraId="5E74DED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1.19 (1.02, 1.39)</w:t>
            </w:r>
          </w:p>
        </w:tc>
        <w:tc>
          <w:tcPr>
            <w:tcW w:w="2027" w:type="dxa"/>
            <w:noWrap/>
          </w:tcPr>
          <w:p w14:paraId="4496764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0.025</w:t>
            </w:r>
          </w:p>
        </w:tc>
      </w:tr>
      <w:tr w:rsidR="00D250E5" w:rsidRPr="00737A30" w14:paraId="5E41AA1A" w14:textId="77777777" w:rsidTr="002D2677">
        <w:trPr>
          <w:trHeight w:val="23"/>
        </w:trPr>
        <w:tc>
          <w:tcPr>
            <w:tcW w:w="3828" w:type="dxa"/>
            <w:noWrap/>
          </w:tcPr>
          <w:p w14:paraId="5260462A"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5270A65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9,282 (89.9)</w:t>
            </w:r>
          </w:p>
        </w:tc>
        <w:tc>
          <w:tcPr>
            <w:tcW w:w="2026" w:type="dxa"/>
          </w:tcPr>
          <w:p w14:paraId="46AAB68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6,786 (73.1)</w:t>
            </w:r>
          </w:p>
        </w:tc>
        <w:tc>
          <w:tcPr>
            <w:tcW w:w="2027" w:type="dxa"/>
          </w:tcPr>
          <w:p w14:paraId="1E28CE6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1E83273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2883AAF1"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312320A" w14:textId="77777777" w:rsidTr="002D2677">
        <w:trPr>
          <w:trHeight w:val="23"/>
        </w:trPr>
        <w:tc>
          <w:tcPr>
            <w:tcW w:w="3828" w:type="dxa"/>
            <w:noWrap/>
          </w:tcPr>
          <w:p w14:paraId="18279D63"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Lung cancer</w:t>
            </w:r>
          </w:p>
        </w:tc>
        <w:tc>
          <w:tcPr>
            <w:tcW w:w="2026" w:type="dxa"/>
          </w:tcPr>
          <w:p w14:paraId="42CD8EB2"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62E81130"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7BE8460F"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8D4B5AC"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334A43A7"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2863D9F6" w14:textId="77777777" w:rsidTr="002D2677">
        <w:trPr>
          <w:trHeight w:val="23"/>
        </w:trPr>
        <w:tc>
          <w:tcPr>
            <w:tcW w:w="3828" w:type="dxa"/>
            <w:noWrap/>
          </w:tcPr>
          <w:p w14:paraId="2C167157"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7406E9E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2,059 (19.9)</w:t>
            </w:r>
          </w:p>
        </w:tc>
        <w:tc>
          <w:tcPr>
            <w:tcW w:w="2026" w:type="dxa"/>
          </w:tcPr>
          <w:p w14:paraId="4849025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1,409 (68.4)</w:t>
            </w:r>
          </w:p>
        </w:tc>
        <w:tc>
          <w:tcPr>
            <w:tcW w:w="2027" w:type="dxa"/>
          </w:tcPr>
          <w:p w14:paraId="33EB83F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0.74 (0.66, 0.82)</w:t>
            </w:r>
          </w:p>
        </w:tc>
        <w:tc>
          <w:tcPr>
            <w:tcW w:w="2026" w:type="dxa"/>
          </w:tcPr>
          <w:p w14:paraId="6D329C0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0.82 (0.74, 0.92)</w:t>
            </w:r>
          </w:p>
        </w:tc>
        <w:tc>
          <w:tcPr>
            <w:tcW w:w="2027" w:type="dxa"/>
            <w:noWrap/>
          </w:tcPr>
          <w:p w14:paraId="4999B28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03478B6F" w14:textId="77777777" w:rsidTr="002D2677">
        <w:trPr>
          <w:trHeight w:val="23"/>
        </w:trPr>
        <w:tc>
          <w:tcPr>
            <w:tcW w:w="3828" w:type="dxa"/>
            <w:noWrap/>
          </w:tcPr>
          <w:p w14:paraId="19AD8D2F"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320DFD3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8,262 (80.1)</w:t>
            </w:r>
          </w:p>
        </w:tc>
        <w:tc>
          <w:tcPr>
            <w:tcW w:w="2026" w:type="dxa"/>
          </w:tcPr>
          <w:p w14:paraId="5DB9241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6,164 (74.6)</w:t>
            </w:r>
          </w:p>
        </w:tc>
        <w:tc>
          <w:tcPr>
            <w:tcW w:w="2027" w:type="dxa"/>
          </w:tcPr>
          <w:p w14:paraId="22A9734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59B808C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043513DC"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6C2D1E34" w14:textId="77777777" w:rsidTr="002D2677">
        <w:trPr>
          <w:trHeight w:val="23"/>
        </w:trPr>
        <w:tc>
          <w:tcPr>
            <w:tcW w:w="3828" w:type="dxa"/>
            <w:noWrap/>
          </w:tcPr>
          <w:p w14:paraId="6ABCD0C0"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Hypercapnia</w:t>
            </w:r>
          </w:p>
        </w:tc>
        <w:tc>
          <w:tcPr>
            <w:tcW w:w="2026" w:type="dxa"/>
          </w:tcPr>
          <w:p w14:paraId="68A1552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04BBBB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446E18F4"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4EC0139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39BB9418"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97B8308" w14:textId="77777777" w:rsidTr="002D2677">
        <w:trPr>
          <w:trHeight w:val="23"/>
        </w:trPr>
        <w:tc>
          <w:tcPr>
            <w:tcW w:w="3828" w:type="dxa"/>
            <w:noWrap/>
          </w:tcPr>
          <w:p w14:paraId="19ECA7A8"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lastRenderedPageBreak/>
              <w:t>Yes</w:t>
            </w:r>
          </w:p>
        </w:tc>
        <w:tc>
          <w:tcPr>
            <w:tcW w:w="2026" w:type="dxa"/>
          </w:tcPr>
          <w:p w14:paraId="26E887C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43 (0.4)</w:t>
            </w:r>
          </w:p>
        </w:tc>
        <w:tc>
          <w:tcPr>
            <w:tcW w:w="2026" w:type="dxa"/>
          </w:tcPr>
          <w:p w14:paraId="41AD125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29 (67.4)</w:t>
            </w:r>
          </w:p>
        </w:tc>
        <w:tc>
          <w:tcPr>
            <w:tcW w:w="2027" w:type="dxa"/>
          </w:tcPr>
          <w:p w14:paraId="27A6616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0.75 (0.40, 1.42)</w:t>
            </w:r>
          </w:p>
        </w:tc>
        <w:tc>
          <w:tcPr>
            <w:tcW w:w="2026" w:type="dxa"/>
          </w:tcPr>
          <w:p w14:paraId="34F3DB0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0.78 (0.41, 1.50)</w:t>
            </w:r>
          </w:p>
        </w:tc>
        <w:tc>
          <w:tcPr>
            <w:tcW w:w="2027" w:type="dxa"/>
            <w:noWrap/>
          </w:tcPr>
          <w:p w14:paraId="0A25716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0.464</w:t>
            </w:r>
          </w:p>
        </w:tc>
      </w:tr>
      <w:tr w:rsidR="00D250E5" w:rsidRPr="00737A30" w14:paraId="42661F54" w14:textId="77777777" w:rsidTr="002D2677">
        <w:trPr>
          <w:trHeight w:val="23"/>
        </w:trPr>
        <w:tc>
          <w:tcPr>
            <w:tcW w:w="3828" w:type="dxa"/>
            <w:noWrap/>
          </w:tcPr>
          <w:p w14:paraId="725EC037"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3800F6E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10,278 (99.6)</w:t>
            </w:r>
          </w:p>
        </w:tc>
        <w:tc>
          <w:tcPr>
            <w:tcW w:w="2026" w:type="dxa"/>
          </w:tcPr>
          <w:p w14:paraId="180D4F7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7,544 (73.4)</w:t>
            </w:r>
          </w:p>
        </w:tc>
        <w:tc>
          <w:tcPr>
            <w:tcW w:w="2027" w:type="dxa"/>
          </w:tcPr>
          <w:p w14:paraId="51AD731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06265AA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086FC1B0"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2A4CD9A3" w14:textId="77777777" w:rsidTr="002D2677">
        <w:trPr>
          <w:trHeight w:val="23"/>
        </w:trPr>
        <w:tc>
          <w:tcPr>
            <w:tcW w:w="3828" w:type="dxa"/>
            <w:noWrap/>
          </w:tcPr>
          <w:p w14:paraId="62CCC1AA"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Pulmonary hypertension</w:t>
            </w:r>
          </w:p>
        </w:tc>
        <w:tc>
          <w:tcPr>
            <w:tcW w:w="2026" w:type="dxa"/>
          </w:tcPr>
          <w:p w14:paraId="642E8307"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67658F70"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3E3CAB1B"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87D087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2FBABF62"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85AC5EC" w14:textId="77777777" w:rsidTr="002D2677">
        <w:trPr>
          <w:trHeight w:val="23"/>
        </w:trPr>
        <w:tc>
          <w:tcPr>
            <w:tcW w:w="3828" w:type="dxa"/>
            <w:noWrap/>
          </w:tcPr>
          <w:p w14:paraId="6145FD2F"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550ECC0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152 (1.5)</w:t>
            </w:r>
          </w:p>
        </w:tc>
        <w:tc>
          <w:tcPr>
            <w:tcW w:w="2026" w:type="dxa"/>
          </w:tcPr>
          <w:p w14:paraId="33B67EE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114 (75.0)</w:t>
            </w:r>
          </w:p>
        </w:tc>
        <w:tc>
          <w:tcPr>
            <w:tcW w:w="2027" w:type="dxa"/>
          </w:tcPr>
          <w:p w14:paraId="7B2FA45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1.09 (0.75, 1.58)</w:t>
            </w:r>
          </w:p>
        </w:tc>
        <w:tc>
          <w:tcPr>
            <w:tcW w:w="2026" w:type="dxa"/>
          </w:tcPr>
          <w:p w14:paraId="6DC03C1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1.04 (0.71, 1.51)</w:t>
            </w:r>
          </w:p>
        </w:tc>
        <w:tc>
          <w:tcPr>
            <w:tcW w:w="2027" w:type="dxa"/>
            <w:noWrap/>
          </w:tcPr>
          <w:p w14:paraId="02CE889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0.843</w:t>
            </w:r>
          </w:p>
        </w:tc>
      </w:tr>
      <w:tr w:rsidR="00D250E5" w:rsidRPr="00737A30" w14:paraId="723A362E" w14:textId="77777777" w:rsidTr="002D2677">
        <w:trPr>
          <w:trHeight w:val="23"/>
        </w:trPr>
        <w:tc>
          <w:tcPr>
            <w:tcW w:w="3828" w:type="dxa"/>
            <w:noWrap/>
          </w:tcPr>
          <w:p w14:paraId="5D67C9FF"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71BD359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10,169 (98.5)</w:t>
            </w:r>
          </w:p>
        </w:tc>
        <w:tc>
          <w:tcPr>
            <w:tcW w:w="2026" w:type="dxa"/>
          </w:tcPr>
          <w:p w14:paraId="02BEE38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7,459 (73.4)</w:t>
            </w:r>
          </w:p>
        </w:tc>
        <w:tc>
          <w:tcPr>
            <w:tcW w:w="2027" w:type="dxa"/>
          </w:tcPr>
          <w:p w14:paraId="702AEED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3A193DD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75665790"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7439304B" w14:textId="77777777" w:rsidTr="002D2677">
        <w:trPr>
          <w:trHeight w:val="23"/>
        </w:trPr>
        <w:tc>
          <w:tcPr>
            <w:tcW w:w="3828" w:type="dxa"/>
            <w:noWrap/>
          </w:tcPr>
          <w:p w14:paraId="3E3D811E"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Pulmonary embolism</w:t>
            </w:r>
          </w:p>
        </w:tc>
        <w:tc>
          <w:tcPr>
            <w:tcW w:w="2026" w:type="dxa"/>
          </w:tcPr>
          <w:p w14:paraId="588F1FDB"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05C60B19"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19A47F33"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56B0751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4A889140"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5B02597" w14:textId="77777777" w:rsidTr="002D2677">
        <w:trPr>
          <w:trHeight w:val="23"/>
        </w:trPr>
        <w:tc>
          <w:tcPr>
            <w:tcW w:w="3828" w:type="dxa"/>
            <w:noWrap/>
          </w:tcPr>
          <w:p w14:paraId="50FEAA9A"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54E3AB7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113 (1.1)</w:t>
            </w:r>
          </w:p>
        </w:tc>
        <w:tc>
          <w:tcPr>
            <w:tcW w:w="2026" w:type="dxa"/>
          </w:tcPr>
          <w:p w14:paraId="3D34CB3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75 (66.4)</w:t>
            </w:r>
          </w:p>
        </w:tc>
        <w:tc>
          <w:tcPr>
            <w:tcW w:w="2027" w:type="dxa"/>
          </w:tcPr>
          <w:p w14:paraId="2D63F90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0.71 (0.48, 1.06)</w:t>
            </w:r>
          </w:p>
        </w:tc>
        <w:tc>
          <w:tcPr>
            <w:tcW w:w="2026" w:type="dxa"/>
          </w:tcPr>
          <w:p w14:paraId="6F5586C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0.70 (0.47, 1.05)</w:t>
            </w:r>
          </w:p>
        </w:tc>
        <w:tc>
          <w:tcPr>
            <w:tcW w:w="2027" w:type="dxa"/>
            <w:noWrap/>
          </w:tcPr>
          <w:p w14:paraId="3F1FE56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0.082</w:t>
            </w:r>
          </w:p>
        </w:tc>
      </w:tr>
      <w:tr w:rsidR="00D250E5" w:rsidRPr="00737A30" w14:paraId="66F347B6" w14:textId="77777777" w:rsidTr="002D2677">
        <w:trPr>
          <w:trHeight w:val="23"/>
        </w:trPr>
        <w:tc>
          <w:tcPr>
            <w:tcW w:w="3828" w:type="dxa"/>
            <w:noWrap/>
          </w:tcPr>
          <w:p w14:paraId="119ED9CA"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1615DC3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10,208 (98.9)</w:t>
            </w:r>
          </w:p>
        </w:tc>
        <w:tc>
          <w:tcPr>
            <w:tcW w:w="2026" w:type="dxa"/>
          </w:tcPr>
          <w:p w14:paraId="5FAF29C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7,498 (73.5)</w:t>
            </w:r>
          </w:p>
        </w:tc>
        <w:tc>
          <w:tcPr>
            <w:tcW w:w="2027" w:type="dxa"/>
          </w:tcPr>
          <w:p w14:paraId="5DE2059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42FE47D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30166A28"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90AB659" w14:textId="77777777" w:rsidTr="002D2677">
        <w:trPr>
          <w:trHeight w:val="23"/>
        </w:trPr>
        <w:tc>
          <w:tcPr>
            <w:tcW w:w="3828" w:type="dxa"/>
            <w:noWrap/>
          </w:tcPr>
          <w:p w14:paraId="1E130063"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Diabetes mellitus</w:t>
            </w:r>
          </w:p>
        </w:tc>
        <w:tc>
          <w:tcPr>
            <w:tcW w:w="2026" w:type="dxa"/>
          </w:tcPr>
          <w:p w14:paraId="5A02A5B0"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29B34F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074BD46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031F4F4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3302510"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95DF9AF" w14:textId="77777777" w:rsidTr="002D2677">
        <w:trPr>
          <w:trHeight w:val="23"/>
        </w:trPr>
        <w:tc>
          <w:tcPr>
            <w:tcW w:w="3828" w:type="dxa"/>
            <w:noWrap/>
          </w:tcPr>
          <w:p w14:paraId="3B025584"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639772F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4,983 (48.3)</w:t>
            </w:r>
          </w:p>
        </w:tc>
        <w:tc>
          <w:tcPr>
            <w:tcW w:w="2026" w:type="dxa"/>
          </w:tcPr>
          <w:p w14:paraId="4422F2B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3,538 (71.0)</w:t>
            </w:r>
          </w:p>
        </w:tc>
        <w:tc>
          <w:tcPr>
            <w:tcW w:w="2027" w:type="dxa"/>
          </w:tcPr>
          <w:p w14:paraId="0BC5D65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0.79 (0.72, 0.86)</w:t>
            </w:r>
          </w:p>
        </w:tc>
        <w:tc>
          <w:tcPr>
            <w:tcW w:w="2026" w:type="dxa"/>
          </w:tcPr>
          <w:p w14:paraId="3FBC46C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0.81 (0.74, 0.89)</w:t>
            </w:r>
          </w:p>
        </w:tc>
        <w:tc>
          <w:tcPr>
            <w:tcW w:w="2027" w:type="dxa"/>
            <w:noWrap/>
          </w:tcPr>
          <w:p w14:paraId="34F4409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3796622B" w14:textId="77777777" w:rsidTr="002D2677">
        <w:trPr>
          <w:trHeight w:val="23"/>
        </w:trPr>
        <w:tc>
          <w:tcPr>
            <w:tcW w:w="3828" w:type="dxa"/>
            <w:noWrap/>
          </w:tcPr>
          <w:p w14:paraId="45405D7B"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514F064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5,338 (51.7)</w:t>
            </w:r>
          </w:p>
        </w:tc>
        <w:tc>
          <w:tcPr>
            <w:tcW w:w="2026" w:type="dxa"/>
          </w:tcPr>
          <w:p w14:paraId="5FB0E6C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4,035 (75.6)</w:t>
            </w:r>
          </w:p>
        </w:tc>
        <w:tc>
          <w:tcPr>
            <w:tcW w:w="2027" w:type="dxa"/>
          </w:tcPr>
          <w:p w14:paraId="2091317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7D2444C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737055BE"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5AFD42B" w14:textId="77777777" w:rsidTr="002D2677">
        <w:trPr>
          <w:trHeight w:val="23"/>
        </w:trPr>
        <w:tc>
          <w:tcPr>
            <w:tcW w:w="3828" w:type="dxa"/>
            <w:noWrap/>
          </w:tcPr>
          <w:p w14:paraId="1F40E71C"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Hypertension</w:t>
            </w:r>
          </w:p>
        </w:tc>
        <w:tc>
          <w:tcPr>
            <w:tcW w:w="2026" w:type="dxa"/>
          </w:tcPr>
          <w:p w14:paraId="17EEEEB2"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4447EE1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1686CB5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4C34A027"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19F0CB31"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75CD815" w14:textId="77777777" w:rsidTr="002D2677">
        <w:trPr>
          <w:trHeight w:val="23"/>
        </w:trPr>
        <w:tc>
          <w:tcPr>
            <w:tcW w:w="3828" w:type="dxa"/>
            <w:noWrap/>
          </w:tcPr>
          <w:p w14:paraId="056B4666"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7F78632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6,412 (62.1)</w:t>
            </w:r>
          </w:p>
        </w:tc>
        <w:tc>
          <w:tcPr>
            <w:tcW w:w="2026" w:type="dxa"/>
          </w:tcPr>
          <w:p w14:paraId="488201C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4,552 (71.0)</w:t>
            </w:r>
          </w:p>
        </w:tc>
        <w:tc>
          <w:tcPr>
            <w:tcW w:w="2027" w:type="dxa"/>
          </w:tcPr>
          <w:p w14:paraId="3E8A105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0.72 (0.66, 0.79)</w:t>
            </w:r>
          </w:p>
        </w:tc>
        <w:tc>
          <w:tcPr>
            <w:tcW w:w="2026" w:type="dxa"/>
          </w:tcPr>
          <w:p w14:paraId="51A2DC6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0.71 (0.65, 0.79)</w:t>
            </w:r>
          </w:p>
        </w:tc>
        <w:tc>
          <w:tcPr>
            <w:tcW w:w="2027" w:type="dxa"/>
            <w:noWrap/>
          </w:tcPr>
          <w:p w14:paraId="6FED8D9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559DE343" w14:textId="77777777" w:rsidTr="002D2677">
        <w:trPr>
          <w:trHeight w:val="23"/>
        </w:trPr>
        <w:tc>
          <w:tcPr>
            <w:tcW w:w="3828" w:type="dxa"/>
            <w:noWrap/>
          </w:tcPr>
          <w:p w14:paraId="0FDA6065"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47B0B01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3,909 (37.9)</w:t>
            </w:r>
          </w:p>
        </w:tc>
        <w:tc>
          <w:tcPr>
            <w:tcW w:w="2026" w:type="dxa"/>
          </w:tcPr>
          <w:p w14:paraId="60608BC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3,021 (77.3)</w:t>
            </w:r>
          </w:p>
        </w:tc>
        <w:tc>
          <w:tcPr>
            <w:tcW w:w="2027" w:type="dxa"/>
          </w:tcPr>
          <w:p w14:paraId="72DED27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693E020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0AE02FFE"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DF4938F" w14:textId="77777777" w:rsidTr="002D2677">
        <w:trPr>
          <w:trHeight w:val="23"/>
        </w:trPr>
        <w:tc>
          <w:tcPr>
            <w:tcW w:w="3828" w:type="dxa"/>
            <w:noWrap/>
          </w:tcPr>
          <w:p w14:paraId="25245FD4"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Hyperlipidemia</w:t>
            </w:r>
          </w:p>
        </w:tc>
        <w:tc>
          <w:tcPr>
            <w:tcW w:w="2026" w:type="dxa"/>
          </w:tcPr>
          <w:p w14:paraId="7F7CFD5C"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910BF3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12846026"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B694A13"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114BA48E"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651BAAF0" w14:textId="77777777" w:rsidTr="002D2677">
        <w:trPr>
          <w:trHeight w:val="23"/>
        </w:trPr>
        <w:tc>
          <w:tcPr>
            <w:tcW w:w="3828" w:type="dxa"/>
            <w:noWrap/>
          </w:tcPr>
          <w:p w14:paraId="4ACDA2B9"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4DE881E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4,441 (43.0)</w:t>
            </w:r>
          </w:p>
        </w:tc>
        <w:tc>
          <w:tcPr>
            <w:tcW w:w="2026" w:type="dxa"/>
          </w:tcPr>
          <w:p w14:paraId="6BCB531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3,193 (71.9)</w:t>
            </w:r>
          </w:p>
        </w:tc>
        <w:tc>
          <w:tcPr>
            <w:tcW w:w="2027" w:type="dxa"/>
          </w:tcPr>
          <w:p w14:paraId="723F04E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0.88 (0.80, 0.96)</w:t>
            </w:r>
          </w:p>
        </w:tc>
        <w:tc>
          <w:tcPr>
            <w:tcW w:w="2026" w:type="dxa"/>
          </w:tcPr>
          <w:p w14:paraId="76ABD54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0.82 (0.75, 0.90)</w:t>
            </w:r>
          </w:p>
        </w:tc>
        <w:tc>
          <w:tcPr>
            <w:tcW w:w="2027" w:type="dxa"/>
            <w:noWrap/>
          </w:tcPr>
          <w:p w14:paraId="3921EA0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3D5B6DDF" w14:textId="77777777" w:rsidTr="002D2677">
        <w:trPr>
          <w:trHeight w:val="23"/>
        </w:trPr>
        <w:tc>
          <w:tcPr>
            <w:tcW w:w="3828" w:type="dxa"/>
            <w:noWrap/>
          </w:tcPr>
          <w:p w14:paraId="7179B351"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64E12D7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5,880 (57.0)</w:t>
            </w:r>
          </w:p>
        </w:tc>
        <w:tc>
          <w:tcPr>
            <w:tcW w:w="2026" w:type="dxa"/>
          </w:tcPr>
          <w:p w14:paraId="2D9A6F5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4,380 (74.5)</w:t>
            </w:r>
          </w:p>
        </w:tc>
        <w:tc>
          <w:tcPr>
            <w:tcW w:w="2027" w:type="dxa"/>
          </w:tcPr>
          <w:p w14:paraId="18AD7A0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522E2A5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501B2B5D"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4A34285" w14:textId="77777777" w:rsidTr="002D2677">
        <w:trPr>
          <w:trHeight w:val="23"/>
        </w:trPr>
        <w:tc>
          <w:tcPr>
            <w:tcW w:w="3828" w:type="dxa"/>
            <w:noWrap/>
          </w:tcPr>
          <w:p w14:paraId="7792CABE"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Atrial fibrillation</w:t>
            </w:r>
          </w:p>
        </w:tc>
        <w:tc>
          <w:tcPr>
            <w:tcW w:w="2026" w:type="dxa"/>
          </w:tcPr>
          <w:p w14:paraId="5578C6D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57134FF"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330ADD06"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42CE0679"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74DB1AE2"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DF12BFB" w14:textId="77777777" w:rsidTr="002D2677">
        <w:trPr>
          <w:trHeight w:val="23"/>
        </w:trPr>
        <w:tc>
          <w:tcPr>
            <w:tcW w:w="3828" w:type="dxa"/>
            <w:noWrap/>
          </w:tcPr>
          <w:p w14:paraId="563BA9E1"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49F0F41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1,466 (14.2)</w:t>
            </w:r>
          </w:p>
        </w:tc>
        <w:tc>
          <w:tcPr>
            <w:tcW w:w="2026" w:type="dxa"/>
          </w:tcPr>
          <w:p w14:paraId="3BD181B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947 (64.6)</w:t>
            </w:r>
          </w:p>
        </w:tc>
        <w:tc>
          <w:tcPr>
            <w:tcW w:w="2027" w:type="dxa"/>
          </w:tcPr>
          <w:p w14:paraId="6F69C4A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0.61 (0.55, 0.69)</w:t>
            </w:r>
          </w:p>
        </w:tc>
        <w:tc>
          <w:tcPr>
            <w:tcW w:w="2026" w:type="dxa"/>
          </w:tcPr>
          <w:p w14:paraId="47AB55C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0.60 (0.53, 0.68)</w:t>
            </w:r>
          </w:p>
        </w:tc>
        <w:tc>
          <w:tcPr>
            <w:tcW w:w="2027" w:type="dxa"/>
            <w:noWrap/>
          </w:tcPr>
          <w:p w14:paraId="1307666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176E4462" w14:textId="77777777" w:rsidTr="002D2677">
        <w:trPr>
          <w:trHeight w:val="23"/>
        </w:trPr>
        <w:tc>
          <w:tcPr>
            <w:tcW w:w="3828" w:type="dxa"/>
            <w:noWrap/>
          </w:tcPr>
          <w:p w14:paraId="4831017E"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1B13194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8,855 (85.8)</w:t>
            </w:r>
          </w:p>
        </w:tc>
        <w:tc>
          <w:tcPr>
            <w:tcW w:w="2026" w:type="dxa"/>
          </w:tcPr>
          <w:p w14:paraId="46BDEF8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6,626 (74.8)</w:t>
            </w:r>
          </w:p>
        </w:tc>
        <w:tc>
          <w:tcPr>
            <w:tcW w:w="2027" w:type="dxa"/>
          </w:tcPr>
          <w:p w14:paraId="7F9B822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0BDD307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3F9A2445"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691360B6" w14:textId="77777777" w:rsidTr="002D2677">
        <w:trPr>
          <w:trHeight w:val="23"/>
        </w:trPr>
        <w:tc>
          <w:tcPr>
            <w:tcW w:w="3828" w:type="dxa"/>
            <w:noWrap/>
          </w:tcPr>
          <w:p w14:paraId="7C422ADB"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Gastroesophageal reflux disease</w:t>
            </w:r>
          </w:p>
        </w:tc>
        <w:tc>
          <w:tcPr>
            <w:tcW w:w="2026" w:type="dxa"/>
          </w:tcPr>
          <w:p w14:paraId="117309CC"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054BA2D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41B3C443"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287D1F39"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323A239"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EBD87D3" w14:textId="77777777" w:rsidTr="002D2677">
        <w:trPr>
          <w:trHeight w:val="23"/>
        </w:trPr>
        <w:tc>
          <w:tcPr>
            <w:tcW w:w="3828" w:type="dxa"/>
            <w:noWrap/>
          </w:tcPr>
          <w:p w14:paraId="2772178F"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5EFEA2F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5,231 (50.7)</w:t>
            </w:r>
          </w:p>
        </w:tc>
        <w:tc>
          <w:tcPr>
            <w:tcW w:w="2026" w:type="dxa"/>
          </w:tcPr>
          <w:p w14:paraId="69BDB0C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3,651 (69.8)</w:t>
            </w:r>
          </w:p>
        </w:tc>
        <w:tc>
          <w:tcPr>
            <w:tcW w:w="2027" w:type="dxa"/>
          </w:tcPr>
          <w:p w14:paraId="2D34534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0.69 (0.63, 0.75)</w:t>
            </w:r>
          </w:p>
        </w:tc>
        <w:tc>
          <w:tcPr>
            <w:tcW w:w="2026" w:type="dxa"/>
          </w:tcPr>
          <w:p w14:paraId="4B6AD9F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0.71 (0.65, 0.78)</w:t>
            </w:r>
          </w:p>
        </w:tc>
        <w:tc>
          <w:tcPr>
            <w:tcW w:w="2027" w:type="dxa"/>
            <w:noWrap/>
          </w:tcPr>
          <w:p w14:paraId="5D382A5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246855CB" w14:textId="77777777" w:rsidTr="002D2677">
        <w:trPr>
          <w:trHeight w:val="23"/>
        </w:trPr>
        <w:tc>
          <w:tcPr>
            <w:tcW w:w="3828" w:type="dxa"/>
            <w:noWrap/>
          </w:tcPr>
          <w:p w14:paraId="58108E48"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0E2F37D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5,090 (49.3)</w:t>
            </w:r>
          </w:p>
        </w:tc>
        <w:tc>
          <w:tcPr>
            <w:tcW w:w="2026" w:type="dxa"/>
          </w:tcPr>
          <w:p w14:paraId="447D610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3,922 (77.1)</w:t>
            </w:r>
          </w:p>
        </w:tc>
        <w:tc>
          <w:tcPr>
            <w:tcW w:w="2027" w:type="dxa"/>
          </w:tcPr>
          <w:p w14:paraId="19015A4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63F07FB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1C5FDB2F"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78864D0" w14:textId="77777777" w:rsidTr="002D2677">
        <w:trPr>
          <w:trHeight w:val="23"/>
        </w:trPr>
        <w:tc>
          <w:tcPr>
            <w:tcW w:w="3828" w:type="dxa"/>
            <w:noWrap/>
          </w:tcPr>
          <w:p w14:paraId="51B01DAB"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Disuse syndrome</w:t>
            </w:r>
          </w:p>
        </w:tc>
        <w:tc>
          <w:tcPr>
            <w:tcW w:w="2026" w:type="dxa"/>
          </w:tcPr>
          <w:p w14:paraId="6C6F098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ACE5DA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59EBE48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49ABCC10"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EC06FA8"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14BFC79" w14:textId="77777777" w:rsidTr="002D2677">
        <w:trPr>
          <w:trHeight w:val="23"/>
        </w:trPr>
        <w:tc>
          <w:tcPr>
            <w:tcW w:w="3828" w:type="dxa"/>
            <w:noWrap/>
          </w:tcPr>
          <w:p w14:paraId="66903ECD"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46C6240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865 (8.4)</w:t>
            </w:r>
          </w:p>
        </w:tc>
        <w:tc>
          <w:tcPr>
            <w:tcW w:w="2026" w:type="dxa"/>
          </w:tcPr>
          <w:p w14:paraId="3A5FF28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474 (54.8)</w:t>
            </w:r>
          </w:p>
        </w:tc>
        <w:tc>
          <w:tcPr>
            <w:tcW w:w="2027" w:type="dxa"/>
          </w:tcPr>
          <w:p w14:paraId="0DE93AA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0.40 (0.35, 0.46)</w:t>
            </w:r>
          </w:p>
        </w:tc>
        <w:tc>
          <w:tcPr>
            <w:tcW w:w="2026" w:type="dxa"/>
          </w:tcPr>
          <w:p w14:paraId="477B14C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0.42 (0.37, 0.49)</w:t>
            </w:r>
          </w:p>
        </w:tc>
        <w:tc>
          <w:tcPr>
            <w:tcW w:w="2027" w:type="dxa"/>
            <w:noWrap/>
          </w:tcPr>
          <w:p w14:paraId="57D9959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7672CBB0" w14:textId="77777777" w:rsidTr="002D2677">
        <w:trPr>
          <w:trHeight w:val="23"/>
        </w:trPr>
        <w:tc>
          <w:tcPr>
            <w:tcW w:w="3828" w:type="dxa"/>
            <w:noWrap/>
          </w:tcPr>
          <w:p w14:paraId="6B218027"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7F3E3BF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9,456 (91.6)</w:t>
            </w:r>
          </w:p>
        </w:tc>
        <w:tc>
          <w:tcPr>
            <w:tcW w:w="2026" w:type="dxa"/>
          </w:tcPr>
          <w:p w14:paraId="118F973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7,099 (75.1)</w:t>
            </w:r>
          </w:p>
        </w:tc>
        <w:tc>
          <w:tcPr>
            <w:tcW w:w="2027" w:type="dxa"/>
          </w:tcPr>
          <w:p w14:paraId="4CA84DF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6FC4507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59503E4C"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60E70074" w14:textId="77777777" w:rsidTr="002D2677">
        <w:trPr>
          <w:trHeight w:val="23"/>
        </w:trPr>
        <w:tc>
          <w:tcPr>
            <w:tcW w:w="3828" w:type="dxa"/>
            <w:noWrap/>
          </w:tcPr>
          <w:p w14:paraId="2CFD163A"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Malignancy excluding lung cancer and non-melanoma skin cancer</w:t>
            </w:r>
          </w:p>
        </w:tc>
        <w:tc>
          <w:tcPr>
            <w:tcW w:w="2026" w:type="dxa"/>
          </w:tcPr>
          <w:p w14:paraId="044A692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5B05B27"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49A5AF2C"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43E1A2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D7F1F78"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369DB203" w14:textId="77777777" w:rsidTr="002D2677">
        <w:trPr>
          <w:trHeight w:val="23"/>
        </w:trPr>
        <w:tc>
          <w:tcPr>
            <w:tcW w:w="3828" w:type="dxa"/>
            <w:noWrap/>
          </w:tcPr>
          <w:p w14:paraId="19095562"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161D520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3,330 (32.3)</w:t>
            </w:r>
          </w:p>
        </w:tc>
        <w:tc>
          <w:tcPr>
            <w:tcW w:w="2026" w:type="dxa"/>
          </w:tcPr>
          <w:p w14:paraId="7DE02CE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2,172 (65.2)</w:t>
            </w:r>
          </w:p>
        </w:tc>
        <w:tc>
          <w:tcPr>
            <w:tcW w:w="2027" w:type="dxa"/>
          </w:tcPr>
          <w:p w14:paraId="1C26B43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0.55 (0.50, 0.60)</w:t>
            </w:r>
          </w:p>
        </w:tc>
        <w:tc>
          <w:tcPr>
            <w:tcW w:w="2026" w:type="dxa"/>
          </w:tcPr>
          <w:p w14:paraId="13DD75C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0.57 (0.52, 0.63)</w:t>
            </w:r>
          </w:p>
        </w:tc>
        <w:tc>
          <w:tcPr>
            <w:tcW w:w="2027" w:type="dxa"/>
            <w:noWrap/>
          </w:tcPr>
          <w:p w14:paraId="31FC498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38E17731" w14:textId="77777777" w:rsidTr="002D2677">
        <w:trPr>
          <w:trHeight w:val="23"/>
        </w:trPr>
        <w:tc>
          <w:tcPr>
            <w:tcW w:w="3828" w:type="dxa"/>
            <w:noWrap/>
          </w:tcPr>
          <w:p w14:paraId="5AC2DB21"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005D6A1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6,991 (67.7)</w:t>
            </w:r>
          </w:p>
        </w:tc>
        <w:tc>
          <w:tcPr>
            <w:tcW w:w="2026" w:type="dxa"/>
          </w:tcPr>
          <w:p w14:paraId="1ABCAE4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5,401 (77.3)</w:t>
            </w:r>
          </w:p>
        </w:tc>
        <w:tc>
          <w:tcPr>
            <w:tcW w:w="2027" w:type="dxa"/>
          </w:tcPr>
          <w:p w14:paraId="5377C30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3481997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6AEA4838"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3688C5FC" w14:textId="77777777" w:rsidTr="002D2677">
        <w:trPr>
          <w:trHeight w:val="23"/>
        </w:trPr>
        <w:tc>
          <w:tcPr>
            <w:tcW w:w="3828" w:type="dxa"/>
            <w:noWrap/>
          </w:tcPr>
          <w:p w14:paraId="3CA66D8A"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Anxiety disorder</w:t>
            </w:r>
          </w:p>
        </w:tc>
        <w:tc>
          <w:tcPr>
            <w:tcW w:w="2026" w:type="dxa"/>
          </w:tcPr>
          <w:p w14:paraId="57C51FB2"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405DE454"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6D0D3D3C"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2FF3150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1B7A1BCA"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3ADA674F" w14:textId="77777777" w:rsidTr="002D2677">
        <w:trPr>
          <w:trHeight w:val="23"/>
        </w:trPr>
        <w:tc>
          <w:tcPr>
            <w:tcW w:w="3828" w:type="dxa"/>
            <w:noWrap/>
          </w:tcPr>
          <w:p w14:paraId="382037D4"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470A8D5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1,504 (14.6)</w:t>
            </w:r>
          </w:p>
        </w:tc>
        <w:tc>
          <w:tcPr>
            <w:tcW w:w="2026" w:type="dxa"/>
          </w:tcPr>
          <w:p w14:paraId="7ADD2DD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1,104 (73.4)</w:t>
            </w:r>
          </w:p>
        </w:tc>
        <w:tc>
          <w:tcPr>
            <w:tcW w:w="2027" w:type="dxa"/>
          </w:tcPr>
          <w:p w14:paraId="1233F51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1.00 (0.89, 1.13)</w:t>
            </w:r>
          </w:p>
        </w:tc>
        <w:tc>
          <w:tcPr>
            <w:tcW w:w="2026" w:type="dxa"/>
          </w:tcPr>
          <w:p w14:paraId="6E4E032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0.99 (0.87, 1.13)</w:t>
            </w:r>
          </w:p>
        </w:tc>
        <w:tc>
          <w:tcPr>
            <w:tcW w:w="2027" w:type="dxa"/>
            <w:noWrap/>
          </w:tcPr>
          <w:p w14:paraId="41DC489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0.918</w:t>
            </w:r>
          </w:p>
        </w:tc>
      </w:tr>
      <w:tr w:rsidR="00D250E5" w:rsidRPr="00737A30" w14:paraId="12ABEA3C" w14:textId="77777777" w:rsidTr="002D2677">
        <w:trPr>
          <w:trHeight w:val="23"/>
        </w:trPr>
        <w:tc>
          <w:tcPr>
            <w:tcW w:w="3828" w:type="dxa"/>
            <w:noWrap/>
          </w:tcPr>
          <w:p w14:paraId="67BA04FC"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665E15B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8,817 (85.4)</w:t>
            </w:r>
          </w:p>
        </w:tc>
        <w:tc>
          <w:tcPr>
            <w:tcW w:w="2026" w:type="dxa"/>
          </w:tcPr>
          <w:p w14:paraId="42748D2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6,469 (73.4)</w:t>
            </w:r>
          </w:p>
        </w:tc>
        <w:tc>
          <w:tcPr>
            <w:tcW w:w="2027" w:type="dxa"/>
          </w:tcPr>
          <w:p w14:paraId="0C57484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0B7C164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327020ED"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0514B30" w14:textId="77777777" w:rsidTr="002D2677">
        <w:trPr>
          <w:trHeight w:val="23"/>
        </w:trPr>
        <w:tc>
          <w:tcPr>
            <w:tcW w:w="3828" w:type="dxa"/>
            <w:noWrap/>
          </w:tcPr>
          <w:p w14:paraId="6845B3DF"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Depression</w:t>
            </w:r>
          </w:p>
        </w:tc>
        <w:tc>
          <w:tcPr>
            <w:tcW w:w="2026" w:type="dxa"/>
          </w:tcPr>
          <w:p w14:paraId="5512551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B564BF6"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78ACED96"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D238FC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78506C22"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E35FFFB" w14:textId="77777777" w:rsidTr="002D2677">
        <w:trPr>
          <w:trHeight w:val="23"/>
        </w:trPr>
        <w:tc>
          <w:tcPr>
            <w:tcW w:w="3828" w:type="dxa"/>
            <w:noWrap/>
          </w:tcPr>
          <w:p w14:paraId="09BE4D94"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64B2D1C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807 (7.8)</w:t>
            </w:r>
          </w:p>
        </w:tc>
        <w:tc>
          <w:tcPr>
            <w:tcW w:w="2026" w:type="dxa"/>
          </w:tcPr>
          <w:p w14:paraId="3B267CC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563 (69.8)</w:t>
            </w:r>
          </w:p>
        </w:tc>
        <w:tc>
          <w:tcPr>
            <w:tcW w:w="2027" w:type="dxa"/>
          </w:tcPr>
          <w:p w14:paraId="4E8EEFE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0.82 (0.70, 0.96)</w:t>
            </w:r>
          </w:p>
        </w:tc>
        <w:tc>
          <w:tcPr>
            <w:tcW w:w="2026" w:type="dxa"/>
          </w:tcPr>
          <w:p w14:paraId="5C9687E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0.81 (0.69, 0.95)</w:t>
            </w:r>
          </w:p>
        </w:tc>
        <w:tc>
          <w:tcPr>
            <w:tcW w:w="2027" w:type="dxa"/>
            <w:noWrap/>
          </w:tcPr>
          <w:p w14:paraId="15E85C9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0.01</w:t>
            </w:r>
          </w:p>
        </w:tc>
      </w:tr>
      <w:tr w:rsidR="00D250E5" w:rsidRPr="00737A30" w14:paraId="6655C956" w14:textId="77777777" w:rsidTr="002D2677">
        <w:trPr>
          <w:trHeight w:val="23"/>
        </w:trPr>
        <w:tc>
          <w:tcPr>
            <w:tcW w:w="3828" w:type="dxa"/>
            <w:noWrap/>
          </w:tcPr>
          <w:p w14:paraId="48A9E6D9"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lastRenderedPageBreak/>
              <w:t>No</w:t>
            </w:r>
          </w:p>
        </w:tc>
        <w:tc>
          <w:tcPr>
            <w:tcW w:w="2026" w:type="dxa"/>
          </w:tcPr>
          <w:p w14:paraId="3909E22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9,514 (92.2)</w:t>
            </w:r>
          </w:p>
        </w:tc>
        <w:tc>
          <w:tcPr>
            <w:tcW w:w="2026" w:type="dxa"/>
          </w:tcPr>
          <w:p w14:paraId="4B36E64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7,010 (73.7)</w:t>
            </w:r>
          </w:p>
        </w:tc>
        <w:tc>
          <w:tcPr>
            <w:tcW w:w="2027" w:type="dxa"/>
          </w:tcPr>
          <w:p w14:paraId="142C733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084D5E9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1B31F376"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6F161E3" w14:textId="77777777" w:rsidTr="002D2677">
        <w:trPr>
          <w:trHeight w:val="23"/>
        </w:trPr>
        <w:tc>
          <w:tcPr>
            <w:tcW w:w="3828" w:type="dxa"/>
            <w:noWrap/>
          </w:tcPr>
          <w:p w14:paraId="0419CF6C"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Osteoporosis</w:t>
            </w:r>
          </w:p>
        </w:tc>
        <w:tc>
          <w:tcPr>
            <w:tcW w:w="2026" w:type="dxa"/>
          </w:tcPr>
          <w:p w14:paraId="6D371A47"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5F810E6"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48AD322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76AD47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1865DD8E"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388B868C" w14:textId="77777777" w:rsidTr="002D2677">
        <w:trPr>
          <w:trHeight w:val="23"/>
        </w:trPr>
        <w:tc>
          <w:tcPr>
            <w:tcW w:w="3828" w:type="dxa"/>
            <w:noWrap/>
          </w:tcPr>
          <w:p w14:paraId="4544F803"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01EB6DE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1,672 (16.2)</w:t>
            </w:r>
          </w:p>
        </w:tc>
        <w:tc>
          <w:tcPr>
            <w:tcW w:w="2026" w:type="dxa"/>
          </w:tcPr>
          <w:p w14:paraId="3FE4C09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1,223 (73.1)</w:t>
            </w:r>
          </w:p>
        </w:tc>
        <w:tc>
          <w:tcPr>
            <w:tcW w:w="2027" w:type="dxa"/>
          </w:tcPr>
          <w:p w14:paraId="45BE249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0.99 (0.88, 1.11)</w:t>
            </w:r>
          </w:p>
        </w:tc>
        <w:tc>
          <w:tcPr>
            <w:tcW w:w="2026" w:type="dxa"/>
          </w:tcPr>
          <w:p w14:paraId="2A8FD39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0.96 (0.84, 1.08)</w:t>
            </w:r>
          </w:p>
        </w:tc>
        <w:tc>
          <w:tcPr>
            <w:tcW w:w="2027" w:type="dxa"/>
            <w:noWrap/>
          </w:tcPr>
          <w:p w14:paraId="6AB4E39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0.486</w:t>
            </w:r>
          </w:p>
        </w:tc>
      </w:tr>
      <w:tr w:rsidR="00D250E5" w:rsidRPr="00737A30" w14:paraId="3E70FEF8" w14:textId="77777777" w:rsidTr="002D2677">
        <w:trPr>
          <w:trHeight w:val="23"/>
        </w:trPr>
        <w:tc>
          <w:tcPr>
            <w:tcW w:w="3828" w:type="dxa"/>
            <w:noWrap/>
          </w:tcPr>
          <w:p w14:paraId="5BB58445"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5DA03BF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8,649 (83.8)</w:t>
            </w:r>
          </w:p>
        </w:tc>
        <w:tc>
          <w:tcPr>
            <w:tcW w:w="2026" w:type="dxa"/>
          </w:tcPr>
          <w:p w14:paraId="672A021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6,350 (73.4)</w:t>
            </w:r>
          </w:p>
        </w:tc>
        <w:tc>
          <w:tcPr>
            <w:tcW w:w="2027" w:type="dxa"/>
          </w:tcPr>
          <w:p w14:paraId="51A0355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0A2BB29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496EE5C1"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2F70232" w14:textId="77777777" w:rsidTr="002D2677">
        <w:trPr>
          <w:trHeight w:val="23"/>
        </w:trPr>
        <w:tc>
          <w:tcPr>
            <w:tcW w:w="3828" w:type="dxa"/>
            <w:noWrap/>
          </w:tcPr>
          <w:p w14:paraId="0FF2527A"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Bacterial pneumonia</w:t>
            </w:r>
          </w:p>
        </w:tc>
        <w:tc>
          <w:tcPr>
            <w:tcW w:w="2026" w:type="dxa"/>
          </w:tcPr>
          <w:p w14:paraId="5E52D8C0"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2B523410"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0BA41C63"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1E1BBE3"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3BF1B69A"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2280B5BD" w14:textId="77777777" w:rsidTr="002D2677">
        <w:trPr>
          <w:trHeight w:val="23"/>
        </w:trPr>
        <w:tc>
          <w:tcPr>
            <w:tcW w:w="3828" w:type="dxa"/>
            <w:noWrap/>
          </w:tcPr>
          <w:p w14:paraId="191C003F"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624240A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772 (7.5)</w:t>
            </w:r>
          </w:p>
        </w:tc>
        <w:tc>
          <w:tcPr>
            <w:tcW w:w="2026" w:type="dxa"/>
          </w:tcPr>
          <w:p w14:paraId="22B8649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463 (60.0)</w:t>
            </w:r>
          </w:p>
        </w:tc>
        <w:tc>
          <w:tcPr>
            <w:tcW w:w="2027" w:type="dxa"/>
          </w:tcPr>
          <w:p w14:paraId="16F71D9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0.51 (0.44, 0.60)</w:t>
            </w:r>
          </w:p>
        </w:tc>
        <w:tc>
          <w:tcPr>
            <w:tcW w:w="2026" w:type="dxa"/>
          </w:tcPr>
          <w:p w14:paraId="2136061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0.54 (0.46, 0.63)</w:t>
            </w:r>
          </w:p>
        </w:tc>
        <w:tc>
          <w:tcPr>
            <w:tcW w:w="2027" w:type="dxa"/>
            <w:noWrap/>
          </w:tcPr>
          <w:p w14:paraId="30936B1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7B02FD31" w14:textId="77777777" w:rsidTr="002D2677">
        <w:trPr>
          <w:trHeight w:val="23"/>
        </w:trPr>
        <w:tc>
          <w:tcPr>
            <w:tcW w:w="3828" w:type="dxa"/>
            <w:noWrap/>
          </w:tcPr>
          <w:p w14:paraId="3EC8DFB6"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3B3B30F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9,549 (92.5)</w:t>
            </w:r>
          </w:p>
        </w:tc>
        <w:tc>
          <w:tcPr>
            <w:tcW w:w="2026" w:type="dxa"/>
          </w:tcPr>
          <w:p w14:paraId="68D26A7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7,110 (74.5)</w:t>
            </w:r>
          </w:p>
        </w:tc>
        <w:tc>
          <w:tcPr>
            <w:tcW w:w="2027" w:type="dxa"/>
          </w:tcPr>
          <w:p w14:paraId="6B4C39C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6651E84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6F49BDCB"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54E84EF" w14:textId="77777777" w:rsidTr="002D2677">
        <w:trPr>
          <w:trHeight w:val="23"/>
        </w:trPr>
        <w:tc>
          <w:tcPr>
            <w:tcW w:w="3828" w:type="dxa"/>
            <w:noWrap/>
          </w:tcPr>
          <w:p w14:paraId="3CB84919"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Aspergillus infection</w:t>
            </w:r>
          </w:p>
        </w:tc>
        <w:tc>
          <w:tcPr>
            <w:tcW w:w="2026" w:type="dxa"/>
          </w:tcPr>
          <w:p w14:paraId="04D90726"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4F3DFB9"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6ADA886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5CAFF39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51FF031"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72931992" w14:textId="77777777" w:rsidTr="002D2677">
        <w:trPr>
          <w:trHeight w:val="23"/>
        </w:trPr>
        <w:tc>
          <w:tcPr>
            <w:tcW w:w="3828" w:type="dxa"/>
            <w:noWrap/>
          </w:tcPr>
          <w:p w14:paraId="004E8557"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5F5E1D2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84 (0.8)</w:t>
            </w:r>
          </w:p>
        </w:tc>
        <w:tc>
          <w:tcPr>
            <w:tcW w:w="2026" w:type="dxa"/>
          </w:tcPr>
          <w:p w14:paraId="3890D34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61 (72.6)</w:t>
            </w:r>
          </w:p>
        </w:tc>
        <w:tc>
          <w:tcPr>
            <w:tcW w:w="2027" w:type="dxa"/>
          </w:tcPr>
          <w:p w14:paraId="27074EC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0.96 (0.59, 1.56)</w:t>
            </w:r>
          </w:p>
        </w:tc>
        <w:tc>
          <w:tcPr>
            <w:tcW w:w="2026" w:type="dxa"/>
          </w:tcPr>
          <w:p w14:paraId="5E65C9E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1.07 (0.65, 1.76)</w:t>
            </w:r>
          </w:p>
        </w:tc>
        <w:tc>
          <w:tcPr>
            <w:tcW w:w="2027" w:type="dxa"/>
            <w:noWrap/>
          </w:tcPr>
          <w:p w14:paraId="0200C50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0.78</w:t>
            </w:r>
          </w:p>
        </w:tc>
      </w:tr>
      <w:tr w:rsidR="00D250E5" w:rsidRPr="00737A30" w14:paraId="273F01E8" w14:textId="77777777" w:rsidTr="002D2677">
        <w:trPr>
          <w:trHeight w:val="23"/>
        </w:trPr>
        <w:tc>
          <w:tcPr>
            <w:tcW w:w="3828" w:type="dxa"/>
            <w:noWrap/>
          </w:tcPr>
          <w:p w14:paraId="1048DE32"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5680DAC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10,237 (99.2)</w:t>
            </w:r>
          </w:p>
        </w:tc>
        <w:tc>
          <w:tcPr>
            <w:tcW w:w="2026" w:type="dxa"/>
          </w:tcPr>
          <w:p w14:paraId="28563AD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7,512 (73.4)</w:t>
            </w:r>
          </w:p>
        </w:tc>
        <w:tc>
          <w:tcPr>
            <w:tcW w:w="2027" w:type="dxa"/>
          </w:tcPr>
          <w:p w14:paraId="0F1B500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25DABA5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532AAD16"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FC181BB" w14:textId="77777777" w:rsidTr="002D2677">
        <w:trPr>
          <w:trHeight w:val="23"/>
        </w:trPr>
        <w:tc>
          <w:tcPr>
            <w:tcW w:w="3828" w:type="dxa"/>
            <w:noWrap/>
          </w:tcPr>
          <w:p w14:paraId="3738DDC0"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Viral pneumonia</w:t>
            </w:r>
          </w:p>
        </w:tc>
        <w:tc>
          <w:tcPr>
            <w:tcW w:w="2026" w:type="dxa"/>
          </w:tcPr>
          <w:p w14:paraId="1B9FD8A2"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5E467612"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502C8BB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57F9035C"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702C162"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34757C3" w14:textId="77777777" w:rsidTr="002D2677">
        <w:trPr>
          <w:trHeight w:val="23"/>
        </w:trPr>
        <w:tc>
          <w:tcPr>
            <w:tcW w:w="3828" w:type="dxa"/>
            <w:noWrap/>
          </w:tcPr>
          <w:p w14:paraId="0D9A8E18"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7D49FA2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 (0.0)</w:t>
            </w:r>
          </w:p>
        </w:tc>
        <w:tc>
          <w:tcPr>
            <w:tcW w:w="2026" w:type="dxa"/>
          </w:tcPr>
          <w:p w14:paraId="1A0F407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 (33.3)</w:t>
            </w:r>
          </w:p>
        </w:tc>
        <w:tc>
          <w:tcPr>
            <w:tcW w:w="2027" w:type="dxa"/>
          </w:tcPr>
          <w:p w14:paraId="56286D4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0.18 (0.02, 2.00)</w:t>
            </w:r>
          </w:p>
        </w:tc>
        <w:tc>
          <w:tcPr>
            <w:tcW w:w="2026" w:type="dxa"/>
          </w:tcPr>
          <w:p w14:paraId="67F5B73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0.28 (0.03, 3.19)</w:t>
            </w:r>
          </w:p>
        </w:tc>
        <w:tc>
          <w:tcPr>
            <w:tcW w:w="2027" w:type="dxa"/>
            <w:noWrap/>
          </w:tcPr>
          <w:p w14:paraId="5882216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0.308</w:t>
            </w:r>
          </w:p>
        </w:tc>
      </w:tr>
      <w:tr w:rsidR="00D250E5" w:rsidRPr="00737A30" w14:paraId="2AF190C9" w14:textId="77777777" w:rsidTr="002D2677">
        <w:trPr>
          <w:trHeight w:val="23"/>
        </w:trPr>
        <w:tc>
          <w:tcPr>
            <w:tcW w:w="3828" w:type="dxa"/>
            <w:noWrap/>
          </w:tcPr>
          <w:p w14:paraId="32FE9F4B"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6D31D6B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10,318 (100.0)</w:t>
            </w:r>
          </w:p>
        </w:tc>
        <w:tc>
          <w:tcPr>
            <w:tcW w:w="2026" w:type="dxa"/>
          </w:tcPr>
          <w:p w14:paraId="2C06F57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7,572 (73.4)</w:t>
            </w:r>
          </w:p>
        </w:tc>
        <w:tc>
          <w:tcPr>
            <w:tcW w:w="2027" w:type="dxa"/>
          </w:tcPr>
          <w:p w14:paraId="2204692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1E4274C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7686C2F1"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8FE7851" w14:textId="77777777" w:rsidTr="002D2677">
        <w:trPr>
          <w:trHeight w:val="23"/>
        </w:trPr>
        <w:tc>
          <w:tcPr>
            <w:tcW w:w="13960" w:type="dxa"/>
            <w:gridSpan w:val="6"/>
            <w:tcBorders>
              <w:top w:val="single" w:sz="4" w:space="0" w:color="auto"/>
            </w:tcBorders>
            <w:noWrap/>
          </w:tcPr>
          <w:p w14:paraId="104C44F7" w14:textId="77777777" w:rsidR="00D250E5" w:rsidRPr="00737A30" w:rsidRDefault="00D250E5" w:rsidP="002D2677">
            <w:pPr>
              <w:widowControl/>
              <w:spacing w:before="0" w:beforeAutospacing="0" w:after="0" w:afterAutospacing="0" w:line="276" w:lineRule="auto"/>
              <w:rPr>
                <w:rFonts w:cs="Arial"/>
                <w:b/>
                <w:bCs/>
                <w:sz w:val="18"/>
                <w:szCs w:val="18"/>
              </w:rPr>
            </w:pPr>
            <w:r w:rsidRPr="00737A30">
              <w:rPr>
                <w:rFonts w:cs="Arial"/>
                <w:b/>
                <w:bCs/>
                <w:sz w:val="18"/>
                <w:szCs w:val="18"/>
              </w:rPr>
              <w:t>CCI</w:t>
            </w:r>
          </w:p>
        </w:tc>
      </w:tr>
      <w:tr w:rsidR="00D250E5" w:rsidRPr="00737A30" w14:paraId="02AE4365" w14:textId="77777777" w:rsidTr="002D2677">
        <w:trPr>
          <w:trHeight w:val="23"/>
        </w:trPr>
        <w:tc>
          <w:tcPr>
            <w:tcW w:w="3828" w:type="dxa"/>
            <w:noWrap/>
          </w:tcPr>
          <w:p w14:paraId="355AAB4B"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CCI score (unit=1)</w:t>
            </w:r>
          </w:p>
        </w:tc>
        <w:tc>
          <w:tcPr>
            <w:tcW w:w="2026" w:type="dxa"/>
          </w:tcPr>
          <w:p w14:paraId="726A3D5A"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0C08F1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7,573 (73.4)</w:t>
            </w:r>
          </w:p>
        </w:tc>
        <w:tc>
          <w:tcPr>
            <w:tcW w:w="2027" w:type="dxa"/>
          </w:tcPr>
          <w:p w14:paraId="263F619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0.88 (0.87, 0.90)</w:t>
            </w:r>
          </w:p>
        </w:tc>
        <w:tc>
          <w:tcPr>
            <w:tcW w:w="2026" w:type="dxa"/>
          </w:tcPr>
          <w:p w14:paraId="6890BDA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0.92 (0.90, 0.94)</w:t>
            </w:r>
          </w:p>
        </w:tc>
        <w:tc>
          <w:tcPr>
            <w:tcW w:w="2027" w:type="dxa"/>
            <w:noWrap/>
          </w:tcPr>
          <w:p w14:paraId="13C8353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02055B0F" w14:textId="77777777" w:rsidTr="002D2677">
        <w:trPr>
          <w:trHeight w:val="23"/>
        </w:trPr>
        <w:tc>
          <w:tcPr>
            <w:tcW w:w="3828" w:type="dxa"/>
            <w:noWrap/>
          </w:tcPr>
          <w:p w14:paraId="725C26F2"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Myocardial infarction</w:t>
            </w:r>
          </w:p>
        </w:tc>
        <w:tc>
          <w:tcPr>
            <w:tcW w:w="2026" w:type="dxa"/>
          </w:tcPr>
          <w:p w14:paraId="544F0707"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6CD84B6"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45692CE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6EECA49C"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773D6D5"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5F27080" w14:textId="77777777" w:rsidTr="002D2677">
        <w:trPr>
          <w:trHeight w:val="23"/>
        </w:trPr>
        <w:tc>
          <w:tcPr>
            <w:tcW w:w="3828" w:type="dxa"/>
            <w:noWrap/>
          </w:tcPr>
          <w:p w14:paraId="22831256"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1963367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833 (8.1)</w:t>
            </w:r>
          </w:p>
        </w:tc>
        <w:tc>
          <w:tcPr>
            <w:tcW w:w="2026" w:type="dxa"/>
          </w:tcPr>
          <w:p w14:paraId="0E2CB60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552 (66.3)</w:t>
            </w:r>
          </w:p>
        </w:tc>
        <w:tc>
          <w:tcPr>
            <w:tcW w:w="2027" w:type="dxa"/>
          </w:tcPr>
          <w:p w14:paraId="644F81E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0.69 (0.59, 0.80)</w:t>
            </w:r>
          </w:p>
        </w:tc>
        <w:tc>
          <w:tcPr>
            <w:tcW w:w="2026" w:type="dxa"/>
          </w:tcPr>
          <w:p w14:paraId="5938766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0.70 (0.60, 0.82)</w:t>
            </w:r>
          </w:p>
        </w:tc>
        <w:tc>
          <w:tcPr>
            <w:tcW w:w="2027" w:type="dxa"/>
            <w:noWrap/>
          </w:tcPr>
          <w:p w14:paraId="6624342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0599CD58" w14:textId="77777777" w:rsidTr="002D2677">
        <w:trPr>
          <w:trHeight w:val="23"/>
        </w:trPr>
        <w:tc>
          <w:tcPr>
            <w:tcW w:w="3828" w:type="dxa"/>
            <w:noWrap/>
          </w:tcPr>
          <w:p w14:paraId="10D2A34A"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7BCEF79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9,488 (91.9)</w:t>
            </w:r>
          </w:p>
        </w:tc>
        <w:tc>
          <w:tcPr>
            <w:tcW w:w="2026" w:type="dxa"/>
          </w:tcPr>
          <w:p w14:paraId="4DFE48E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7,021 (74.0)</w:t>
            </w:r>
          </w:p>
        </w:tc>
        <w:tc>
          <w:tcPr>
            <w:tcW w:w="2027" w:type="dxa"/>
          </w:tcPr>
          <w:p w14:paraId="2F3FC45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3C5B680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19B310D7"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72B45124" w14:textId="77777777" w:rsidTr="002D2677">
        <w:trPr>
          <w:trHeight w:val="23"/>
        </w:trPr>
        <w:tc>
          <w:tcPr>
            <w:tcW w:w="3828" w:type="dxa"/>
            <w:noWrap/>
          </w:tcPr>
          <w:p w14:paraId="78675626"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Congestive heart failure</w:t>
            </w:r>
          </w:p>
        </w:tc>
        <w:tc>
          <w:tcPr>
            <w:tcW w:w="2026" w:type="dxa"/>
          </w:tcPr>
          <w:p w14:paraId="2F60DDF3"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22F8DB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655C8889"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29EECE8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4976EECF"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996A309" w14:textId="77777777" w:rsidTr="002D2677">
        <w:trPr>
          <w:trHeight w:val="23"/>
        </w:trPr>
        <w:tc>
          <w:tcPr>
            <w:tcW w:w="3828" w:type="dxa"/>
            <w:noWrap/>
          </w:tcPr>
          <w:p w14:paraId="0A99B908"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465C319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3,586 (34.7)</w:t>
            </w:r>
          </w:p>
        </w:tc>
        <w:tc>
          <w:tcPr>
            <w:tcW w:w="2026" w:type="dxa"/>
          </w:tcPr>
          <w:p w14:paraId="59E629F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2,484 (69.3)</w:t>
            </w:r>
          </w:p>
        </w:tc>
        <w:tc>
          <w:tcPr>
            <w:tcW w:w="2027" w:type="dxa"/>
          </w:tcPr>
          <w:p w14:paraId="6DE5D67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0.73 (0.67, 0.80)</w:t>
            </w:r>
          </w:p>
        </w:tc>
        <w:tc>
          <w:tcPr>
            <w:tcW w:w="2026" w:type="dxa"/>
          </w:tcPr>
          <w:p w14:paraId="2561108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0.71 (0.65, 0.78)</w:t>
            </w:r>
          </w:p>
        </w:tc>
        <w:tc>
          <w:tcPr>
            <w:tcW w:w="2027" w:type="dxa"/>
            <w:noWrap/>
          </w:tcPr>
          <w:p w14:paraId="17C41CE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2C286F79" w14:textId="77777777" w:rsidTr="002D2677">
        <w:trPr>
          <w:trHeight w:val="23"/>
        </w:trPr>
        <w:tc>
          <w:tcPr>
            <w:tcW w:w="3828" w:type="dxa"/>
            <w:noWrap/>
          </w:tcPr>
          <w:p w14:paraId="02F9828A"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39119BA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6,735 (65.3)</w:t>
            </w:r>
          </w:p>
        </w:tc>
        <w:tc>
          <w:tcPr>
            <w:tcW w:w="2026" w:type="dxa"/>
          </w:tcPr>
          <w:p w14:paraId="738E613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5,089 (75.6)</w:t>
            </w:r>
          </w:p>
        </w:tc>
        <w:tc>
          <w:tcPr>
            <w:tcW w:w="2027" w:type="dxa"/>
          </w:tcPr>
          <w:p w14:paraId="3834674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4D69EE3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73E4D0BA"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B957F1C" w14:textId="77777777" w:rsidTr="002D2677">
        <w:trPr>
          <w:trHeight w:val="23"/>
        </w:trPr>
        <w:tc>
          <w:tcPr>
            <w:tcW w:w="3828" w:type="dxa"/>
            <w:noWrap/>
          </w:tcPr>
          <w:p w14:paraId="26495132"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Peripheral vascular disease</w:t>
            </w:r>
          </w:p>
        </w:tc>
        <w:tc>
          <w:tcPr>
            <w:tcW w:w="2026" w:type="dxa"/>
          </w:tcPr>
          <w:p w14:paraId="65BCB5A4"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391438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46D92C13"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47CA30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C8814E0"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238F268F" w14:textId="77777777" w:rsidTr="002D2677">
        <w:trPr>
          <w:trHeight w:val="23"/>
        </w:trPr>
        <w:tc>
          <w:tcPr>
            <w:tcW w:w="3828" w:type="dxa"/>
            <w:noWrap/>
          </w:tcPr>
          <w:p w14:paraId="113A35AF"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012A2C4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2,008 (19.5)</w:t>
            </w:r>
          </w:p>
        </w:tc>
        <w:tc>
          <w:tcPr>
            <w:tcW w:w="2026" w:type="dxa"/>
          </w:tcPr>
          <w:p w14:paraId="49F07D7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1,414 (70.4)</w:t>
            </w:r>
          </w:p>
        </w:tc>
        <w:tc>
          <w:tcPr>
            <w:tcW w:w="2027" w:type="dxa"/>
          </w:tcPr>
          <w:p w14:paraId="2A0B60B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0.83 (0.75, 0.93)</w:t>
            </w:r>
          </w:p>
        </w:tc>
        <w:tc>
          <w:tcPr>
            <w:tcW w:w="2026" w:type="dxa"/>
          </w:tcPr>
          <w:p w14:paraId="1189D07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0.83 (0.75, 0.93)</w:t>
            </w:r>
          </w:p>
        </w:tc>
        <w:tc>
          <w:tcPr>
            <w:tcW w:w="2027" w:type="dxa"/>
            <w:noWrap/>
          </w:tcPr>
          <w:p w14:paraId="6F0EBDA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0.001</w:t>
            </w:r>
          </w:p>
        </w:tc>
      </w:tr>
      <w:tr w:rsidR="00D250E5" w:rsidRPr="00737A30" w14:paraId="62C97240" w14:textId="77777777" w:rsidTr="002D2677">
        <w:trPr>
          <w:trHeight w:val="23"/>
        </w:trPr>
        <w:tc>
          <w:tcPr>
            <w:tcW w:w="3828" w:type="dxa"/>
            <w:noWrap/>
          </w:tcPr>
          <w:p w14:paraId="45C702E8"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7EC758A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8,313 (80.5)</w:t>
            </w:r>
          </w:p>
        </w:tc>
        <w:tc>
          <w:tcPr>
            <w:tcW w:w="2026" w:type="dxa"/>
          </w:tcPr>
          <w:p w14:paraId="40A08E0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6,159 (74.1)</w:t>
            </w:r>
          </w:p>
        </w:tc>
        <w:tc>
          <w:tcPr>
            <w:tcW w:w="2027" w:type="dxa"/>
          </w:tcPr>
          <w:p w14:paraId="6A75858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39903D7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6D94067A"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8B64018" w14:textId="77777777" w:rsidTr="002D2677">
        <w:trPr>
          <w:trHeight w:val="23"/>
        </w:trPr>
        <w:tc>
          <w:tcPr>
            <w:tcW w:w="3828" w:type="dxa"/>
            <w:noWrap/>
          </w:tcPr>
          <w:p w14:paraId="6530EBDF"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Cerebrovascular disease</w:t>
            </w:r>
          </w:p>
        </w:tc>
        <w:tc>
          <w:tcPr>
            <w:tcW w:w="2026" w:type="dxa"/>
          </w:tcPr>
          <w:p w14:paraId="20D5B60F"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41B6347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0606A879"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4879E02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6983858"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6071D11" w14:textId="77777777" w:rsidTr="002D2677">
        <w:trPr>
          <w:trHeight w:val="23"/>
        </w:trPr>
        <w:tc>
          <w:tcPr>
            <w:tcW w:w="3828" w:type="dxa"/>
            <w:noWrap/>
          </w:tcPr>
          <w:p w14:paraId="22C58E12"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0FE8089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2,843 (27.5)</w:t>
            </w:r>
          </w:p>
        </w:tc>
        <w:tc>
          <w:tcPr>
            <w:tcW w:w="2026" w:type="dxa"/>
          </w:tcPr>
          <w:p w14:paraId="539EE16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2,040 (71.8)</w:t>
            </w:r>
          </w:p>
        </w:tc>
        <w:tc>
          <w:tcPr>
            <w:tcW w:w="2027" w:type="dxa"/>
          </w:tcPr>
          <w:p w14:paraId="1139DDA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0.89 (0.81, 0.98)</w:t>
            </w:r>
          </w:p>
        </w:tc>
        <w:tc>
          <w:tcPr>
            <w:tcW w:w="2026" w:type="dxa"/>
          </w:tcPr>
          <w:p w14:paraId="73F8E9B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0.93 (0.84, 1.02)</w:t>
            </w:r>
          </w:p>
        </w:tc>
        <w:tc>
          <w:tcPr>
            <w:tcW w:w="2027" w:type="dxa"/>
            <w:noWrap/>
          </w:tcPr>
          <w:p w14:paraId="2F2BFFF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0.135</w:t>
            </w:r>
          </w:p>
        </w:tc>
      </w:tr>
      <w:tr w:rsidR="00D250E5" w:rsidRPr="00737A30" w14:paraId="32EF7D3E" w14:textId="77777777" w:rsidTr="002D2677">
        <w:trPr>
          <w:trHeight w:val="23"/>
        </w:trPr>
        <w:tc>
          <w:tcPr>
            <w:tcW w:w="3828" w:type="dxa"/>
            <w:noWrap/>
          </w:tcPr>
          <w:p w14:paraId="19F2DE75"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154CFAB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7,478 (72.5)</w:t>
            </w:r>
          </w:p>
        </w:tc>
        <w:tc>
          <w:tcPr>
            <w:tcW w:w="2026" w:type="dxa"/>
          </w:tcPr>
          <w:p w14:paraId="453AC12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5,533 (74.0)</w:t>
            </w:r>
          </w:p>
        </w:tc>
        <w:tc>
          <w:tcPr>
            <w:tcW w:w="2027" w:type="dxa"/>
          </w:tcPr>
          <w:p w14:paraId="7A11C9D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177A206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433A6989"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578ECD1" w14:textId="77777777" w:rsidTr="002D2677">
        <w:trPr>
          <w:trHeight w:val="23"/>
        </w:trPr>
        <w:tc>
          <w:tcPr>
            <w:tcW w:w="3828" w:type="dxa"/>
            <w:noWrap/>
          </w:tcPr>
          <w:p w14:paraId="28A49083"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Dementia</w:t>
            </w:r>
          </w:p>
        </w:tc>
        <w:tc>
          <w:tcPr>
            <w:tcW w:w="2026" w:type="dxa"/>
          </w:tcPr>
          <w:p w14:paraId="4C48B506"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C55934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1A00CEEF"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2C0F781F"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8801A2C"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F02097C" w14:textId="77777777" w:rsidTr="002D2677">
        <w:trPr>
          <w:trHeight w:val="23"/>
        </w:trPr>
        <w:tc>
          <w:tcPr>
            <w:tcW w:w="3828" w:type="dxa"/>
            <w:noWrap/>
          </w:tcPr>
          <w:p w14:paraId="5B21D7CE"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3C60D76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488 (4.7)</w:t>
            </w:r>
          </w:p>
        </w:tc>
        <w:tc>
          <w:tcPr>
            <w:tcW w:w="2026" w:type="dxa"/>
          </w:tcPr>
          <w:p w14:paraId="6A351F0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313 (64.1)</w:t>
            </w:r>
          </w:p>
        </w:tc>
        <w:tc>
          <w:tcPr>
            <w:tcW w:w="2027" w:type="dxa"/>
          </w:tcPr>
          <w:p w14:paraId="12F5273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0.63 (0.52, 0.77)</w:t>
            </w:r>
          </w:p>
        </w:tc>
        <w:tc>
          <w:tcPr>
            <w:tcW w:w="2026" w:type="dxa"/>
          </w:tcPr>
          <w:p w14:paraId="61EF301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0.64 (0.52, 0.78)</w:t>
            </w:r>
          </w:p>
        </w:tc>
        <w:tc>
          <w:tcPr>
            <w:tcW w:w="2027" w:type="dxa"/>
            <w:noWrap/>
          </w:tcPr>
          <w:p w14:paraId="3015CA6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51CE3AD7" w14:textId="77777777" w:rsidTr="002D2677">
        <w:trPr>
          <w:trHeight w:val="23"/>
        </w:trPr>
        <w:tc>
          <w:tcPr>
            <w:tcW w:w="3828" w:type="dxa"/>
            <w:noWrap/>
          </w:tcPr>
          <w:p w14:paraId="1C32CBDE"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63C3B3C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9,833 (95.3)</w:t>
            </w:r>
          </w:p>
        </w:tc>
        <w:tc>
          <w:tcPr>
            <w:tcW w:w="2026" w:type="dxa"/>
          </w:tcPr>
          <w:p w14:paraId="65D3BE1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7,260 (73.8)</w:t>
            </w:r>
          </w:p>
        </w:tc>
        <w:tc>
          <w:tcPr>
            <w:tcW w:w="2027" w:type="dxa"/>
          </w:tcPr>
          <w:p w14:paraId="073157E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0B06B61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1B84D438"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22B5115F" w14:textId="77777777" w:rsidTr="002D2677">
        <w:trPr>
          <w:trHeight w:val="23"/>
        </w:trPr>
        <w:tc>
          <w:tcPr>
            <w:tcW w:w="3828" w:type="dxa"/>
            <w:noWrap/>
          </w:tcPr>
          <w:p w14:paraId="6FB4236B"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Chronic pulmonary disease</w:t>
            </w:r>
          </w:p>
        </w:tc>
        <w:tc>
          <w:tcPr>
            <w:tcW w:w="2026" w:type="dxa"/>
          </w:tcPr>
          <w:p w14:paraId="6CBFAD7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06F8ABA"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2229ADDB"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3FF6B73"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8C9D9CA"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677902B" w14:textId="77777777" w:rsidTr="002D2677">
        <w:trPr>
          <w:trHeight w:val="23"/>
        </w:trPr>
        <w:tc>
          <w:tcPr>
            <w:tcW w:w="3828" w:type="dxa"/>
            <w:noWrap/>
          </w:tcPr>
          <w:p w14:paraId="17682E13"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12BC4A1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10,279 (99.6)</w:t>
            </w:r>
          </w:p>
        </w:tc>
        <w:tc>
          <w:tcPr>
            <w:tcW w:w="2026" w:type="dxa"/>
          </w:tcPr>
          <w:p w14:paraId="5C73679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7,571 (73.7)</w:t>
            </w:r>
          </w:p>
        </w:tc>
        <w:tc>
          <w:tcPr>
            <w:tcW w:w="2027" w:type="dxa"/>
          </w:tcPr>
          <w:p w14:paraId="5259E2C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55.92 (13.51, &gt;100)</w:t>
            </w:r>
          </w:p>
        </w:tc>
        <w:tc>
          <w:tcPr>
            <w:tcW w:w="2026" w:type="dxa"/>
          </w:tcPr>
          <w:p w14:paraId="5D5D946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53.30 (12.81, &gt;100)</w:t>
            </w:r>
          </w:p>
        </w:tc>
        <w:tc>
          <w:tcPr>
            <w:tcW w:w="2027" w:type="dxa"/>
            <w:noWrap/>
          </w:tcPr>
          <w:p w14:paraId="6A122DE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1F67E79B" w14:textId="77777777" w:rsidTr="002D2677">
        <w:trPr>
          <w:trHeight w:val="23"/>
        </w:trPr>
        <w:tc>
          <w:tcPr>
            <w:tcW w:w="3828" w:type="dxa"/>
            <w:noWrap/>
          </w:tcPr>
          <w:p w14:paraId="43E2A3A1"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68AC217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42 (0.4)</w:t>
            </w:r>
          </w:p>
        </w:tc>
        <w:tc>
          <w:tcPr>
            <w:tcW w:w="2026" w:type="dxa"/>
          </w:tcPr>
          <w:p w14:paraId="2E8BD09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 (4.8)</w:t>
            </w:r>
          </w:p>
        </w:tc>
        <w:tc>
          <w:tcPr>
            <w:tcW w:w="2027" w:type="dxa"/>
          </w:tcPr>
          <w:p w14:paraId="44CE9B0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451D674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140F060D"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2D4C45AD" w14:textId="77777777" w:rsidTr="002D2677">
        <w:trPr>
          <w:trHeight w:val="23"/>
        </w:trPr>
        <w:tc>
          <w:tcPr>
            <w:tcW w:w="3828" w:type="dxa"/>
            <w:noWrap/>
          </w:tcPr>
          <w:p w14:paraId="702CF8B3"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Rheumatic disease</w:t>
            </w:r>
          </w:p>
        </w:tc>
        <w:tc>
          <w:tcPr>
            <w:tcW w:w="2026" w:type="dxa"/>
          </w:tcPr>
          <w:p w14:paraId="084DF19A"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13A5D1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2712F5E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D708CF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1DD993C"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A9333D2" w14:textId="77777777" w:rsidTr="002D2677">
        <w:trPr>
          <w:trHeight w:val="23"/>
        </w:trPr>
        <w:tc>
          <w:tcPr>
            <w:tcW w:w="3828" w:type="dxa"/>
            <w:noWrap/>
          </w:tcPr>
          <w:p w14:paraId="6219BE23"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10A02FB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937 (9.1)</w:t>
            </w:r>
          </w:p>
        </w:tc>
        <w:tc>
          <w:tcPr>
            <w:tcW w:w="2026" w:type="dxa"/>
          </w:tcPr>
          <w:p w14:paraId="6C5341A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704 (75.1)</w:t>
            </w:r>
          </w:p>
        </w:tc>
        <w:tc>
          <w:tcPr>
            <w:tcW w:w="2027" w:type="dxa"/>
          </w:tcPr>
          <w:p w14:paraId="510A195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1.11 (0.95, 1.29)</w:t>
            </w:r>
          </w:p>
        </w:tc>
        <w:tc>
          <w:tcPr>
            <w:tcW w:w="2026" w:type="dxa"/>
          </w:tcPr>
          <w:p w14:paraId="0B7A82F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1.06 (0.90, 1.24)</w:t>
            </w:r>
          </w:p>
        </w:tc>
        <w:tc>
          <w:tcPr>
            <w:tcW w:w="2027" w:type="dxa"/>
            <w:noWrap/>
          </w:tcPr>
          <w:p w14:paraId="75FEC9D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0.472</w:t>
            </w:r>
          </w:p>
        </w:tc>
      </w:tr>
      <w:tr w:rsidR="00D250E5" w:rsidRPr="00737A30" w14:paraId="09E3AB0E" w14:textId="77777777" w:rsidTr="002D2677">
        <w:trPr>
          <w:trHeight w:val="23"/>
        </w:trPr>
        <w:tc>
          <w:tcPr>
            <w:tcW w:w="3828" w:type="dxa"/>
            <w:noWrap/>
          </w:tcPr>
          <w:p w14:paraId="0C37E7F8"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lastRenderedPageBreak/>
              <w:t>No</w:t>
            </w:r>
          </w:p>
        </w:tc>
        <w:tc>
          <w:tcPr>
            <w:tcW w:w="2026" w:type="dxa"/>
          </w:tcPr>
          <w:p w14:paraId="57CABF0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9,384 (90.9)</w:t>
            </w:r>
          </w:p>
        </w:tc>
        <w:tc>
          <w:tcPr>
            <w:tcW w:w="2026" w:type="dxa"/>
          </w:tcPr>
          <w:p w14:paraId="18104B2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6,869 (73.2)</w:t>
            </w:r>
          </w:p>
        </w:tc>
        <w:tc>
          <w:tcPr>
            <w:tcW w:w="2027" w:type="dxa"/>
          </w:tcPr>
          <w:p w14:paraId="441F496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7F4F6CB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2509F408"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21A21F4A" w14:textId="77777777" w:rsidTr="002D2677">
        <w:trPr>
          <w:trHeight w:val="23"/>
        </w:trPr>
        <w:tc>
          <w:tcPr>
            <w:tcW w:w="3828" w:type="dxa"/>
            <w:noWrap/>
          </w:tcPr>
          <w:p w14:paraId="7E25EAE2"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Peptic ulcer disease</w:t>
            </w:r>
          </w:p>
        </w:tc>
        <w:tc>
          <w:tcPr>
            <w:tcW w:w="2026" w:type="dxa"/>
          </w:tcPr>
          <w:p w14:paraId="0FB0E627"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07A1800"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36F76376"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4BAF66D4"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2308BF5D"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671CFA37" w14:textId="77777777" w:rsidTr="002D2677">
        <w:trPr>
          <w:trHeight w:val="23"/>
        </w:trPr>
        <w:tc>
          <w:tcPr>
            <w:tcW w:w="3828" w:type="dxa"/>
            <w:noWrap/>
          </w:tcPr>
          <w:p w14:paraId="63971ED1"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378615F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4,017 (38.9)</w:t>
            </w:r>
          </w:p>
        </w:tc>
        <w:tc>
          <w:tcPr>
            <w:tcW w:w="2026" w:type="dxa"/>
          </w:tcPr>
          <w:p w14:paraId="2E0556A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2,873 (71.5)</w:t>
            </w:r>
          </w:p>
        </w:tc>
        <w:tc>
          <w:tcPr>
            <w:tcW w:w="2027" w:type="dxa"/>
          </w:tcPr>
          <w:p w14:paraId="1DD95DA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0.86 (0.78, 0.94)</w:t>
            </w:r>
          </w:p>
        </w:tc>
        <w:tc>
          <w:tcPr>
            <w:tcW w:w="2026" w:type="dxa"/>
          </w:tcPr>
          <w:p w14:paraId="36EA3FC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0.92 (0.84, 1.01)</w:t>
            </w:r>
          </w:p>
        </w:tc>
        <w:tc>
          <w:tcPr>
            <w:tcW w:w="2027" w:type="dxa"/>
            <w:noWrap/>
          </w:tcPr>
          <w:p w14:paraId="539DC86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0.07</w:t>
            </w:r>
          </w:p>
        </w:tc>
      </w:tr>
      <w:tr w:rsidR="00D250E5" w:rsidRPr="00737A30" w14:paraId="0E48564C" w14:textId="77777777" w:rsidTr="002D2677">
        <w:trPr>
          <w:trHeight w:val="23"/>
        </w:trPr>
        <w:tc>
          <w:tcPr>
            <w:tcW w:w="3828" w:type="dxa"/>
            <w:noWrap/>
          </w:tcPr>
          <w:p w14:paraId="5DB80D09"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78D8F22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6,304 (61.1)</w:t>
            </w:r>
          </w:p>
        </w:tc>
        <w:tc>
          <w:tcPr>
            <w:tcW w:w="2026" w:type="dxa"/>
          </w:tcPr>
          <w:p w14:paraId="35CF955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4,700 (74.6)</w:t>
            </w:r>
          </w:p>
        </w:tc>
        <w:tc>
          <w:tcPr>
            <w:tcW w:w="2027" w:type="dxa"/>
          </w:tcPr>
          <w:p w14:paraId="77A21C1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211BF87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4916E47C"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FDDAA1E" w14:textId="77777777" w:rsidTr="002D2677">
        <w:trPr>
          <w:trHeight w:val="23"/>
        </w:trPr>
        <w:tc>
          <w:tcPr>
            <w:tcW w:w="3828" w:type="dxa"/>
            <w:noWrap/>
          </w:tcPr>
          <w:p w14:paraId="08234EA5"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Mild liver disease</w:t>
            </w:r>
          </w:p>
        </w:tc>
        <w:tc>
          <w:tcPr>
            <w:tcW w:w="2026" w:type="dxa"/>
          </w:tcPr>
          <w:p w14:paraId="4D8CC9C9"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2D26068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26D6239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002045E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7127686A"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5411EF8" w14:textId="77777777" w:rsidTr="002D2677">
        <w:trPr>
          <w:trHeight w:val="23"/>
        </w:trPr>
        <w:tc>
          <w:tcPr>
            <w:tcW w:w="3828" w:type="dxa"/>
            <w:noWrap/>
          </w:tcPr>
          <w:p w14:paraId="45D3E949"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6DA96BA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2,801 (27.1)</w:t>
            </w:r>
          </w:p>
        </w:tc>
        <w:tc>
          <w:tcPr>
            <w:tcW w:w="2026" w:type="dxa"/>
          </w:tcPr>
          <w:p w14:paraId="1795146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1,989 (71.0)</w:t>
            </w:r>
          </w:p>
        </w:tc>
        <w:tc>
          <w:tcPr>
            <w:tcW w:w="2027" w:type="dxa"/>
          </w:tcPr>
          <w:p w14:paraId="4D3DA38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0.85 (0.77, 0.94)</w:t>
            </w:r>
          </w:p>
        </w:tc>
        <w:tc>
          <w:tcPr>
            <w:tcW w:w="2026" w:type="dxa"/>
          </w:tcPr>
          <w:p w14:paraId="50B7CE5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0.90 (0.81, 0.99)</w:t>
            </w:r>
          </w:p>
        </w:tc>
        <w:tc>
          <w:tcPr>
            <w:tcW w:w="2027" w:type="dxa"/>
            <w:noWrap/>
          </w:tcPr>
          <w:p w14:paraId="36736D9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0.035</w:t>
            </w:r>
          </w:p>
        </w:tc>
      </w:tr>
      <w:tr w:rsidR="00D250E5" w:rsidRPr="00737A30" w14:paraId="4BFC79EB" w14:textId="77777777" w:rsidTr="002D2677">
        <w:trPr>
          <w:trHeight w:val="23"/>
        </w:trPr>
        <w:tc>
          <w:tcPr>
            <w:tcW w:w="3828" w:type="dxa"/>
            <w:noWrap/>
          </w:tcPr>
          <w:p w14:paraId="2E4DB808"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7699DDA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7,520 (72.9)</w:t>
            </w:r>
          </w:p>
        </w:tc>
        <w:tc>
          <w:tcPr>
            <w:tcW w:w="2026" w:type="dxa"/>
          </w:tcPr>
          <w:p w14:paraId="07D8315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5,584 (74.3)</w:t>
            </w:r>
          </w:p>
        </w:tc>
        <w:tc>
          <w:tcPr>
            <w:tcW w:w="2027" w:type="dxa"/>
          </w:tcPr>
          <w:p w14:paraId="0BE9DE4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260207F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36F76578"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7BFC6171" w14:textId="77777777" w:rsidTr="002D2677">
        <w:trPr>
          <w:trHeight w:val="23"/>
        </w:trPr>
        <w:tc>
          <w:tcPr>
            <w:tcW w:w="3828" w:type="dxa"/>
            <w:noWrap/>
          </w:tcPr>
          <w:p w14:paraId="2FDE1798"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Diabetes without chronic complications</w:t>
            </w:r>
          </w:p>
        </w:tc>
        <w:tc>
          <w:tcPr>
            <w:tcW w:w="2026" w:type="dxa"/>
          </w:tcPr>
          <w:p w14:paraId="763BF94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5D741E7"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5E0839C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C9D285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3421490E"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7B2EA835" w14:textId="77777777" w:rsidTr="002D2677">
        <w:trPr>
          <w:trHeight w:val="23"/>
        </w:trPr>
        <w:tc>
          <w:tcPr>
            <w:tcW w:w="3828" w:type="dxa"/>
            <w:noWrap/>
          </w:tcPr>
          <w:p w14:paraId="1C333792"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73E797E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759 (7.4)</w:t>
            </w:r>
          </w:p>
        </w:tc>
        <w:tc>
          <w:tcPr>
            <w:tcW w:w="2026" w:type="dxa"/>
          </w:tcPr>
          <w:p w14:paraId="16BB7E2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471 (62.1)</w:t>
            </w:r>
          </w:p>
        </w:tc>
        <w:tc>
          <w:tcPr>
            <w:tcW w:w="2027" w:type="dxa"/>
          </w:tcPr>
          <w:p w14:paraId="31E3036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0.57 (0.49, 0.66)</w:t>
            </w:r>
          </w:p>
        </w:tc>
        <w:tc>
          <w:tcPr>
            <w:tcW w:w="2026" w:type="dxa"/>
          </w:tcPr>
          <w:p w14:paraId="6D06FFA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0.57 (0.49, 0.67)</w:t>
            </w:r>
          </w:p>
        </w:tc>
        <w:tc>
          <w:tcPr>
            <w:tcW w:w="2027" w:type="dxa"/>
            <w:noWrap/>
          </w:tcPr>
          <w:p w14:paraId="4089A29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74001905" w14:textId="77777777" w:rsidTr="002D2677">
        <w:trPr>
          <w:trHeight w:val="23"/>
        </w:trPr>
        <w:tc>
          <w:tcPr>
            <w:tcW w:w="3828" w:type="dxa"/>
            <w:noWrap/>
          </w:tcPr>
          <w:p w14:paraId="47F7EC0B"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0D27465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9,562 (92.6)</w:t>
            </w:r>
          </w:p>
        </w:tc>
        <w:tc>
          <w:tcPr>
            <w:tcW w:w="2026" w:type="dxa"/>
          </w:tcPr>
          <w:p w14:paraId="36C1C04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7,102 (74.3)</w:t>
            </w:r>
          </w:p>
        </w:tc>
        <w:tc>
          <w:tcPr>
            <w:tcW w:w="2027" w:type="dxa"/>
          </w:tcPr>
          <w:p w14:paraId="41FB6E9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65CE732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3C250A12"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DB6AA42" w14:textId="77777777" w:rsidTr="002D2677">
        <w:trPr>
          <w:trHeight w:val="23"/>
        </w:trPr>
        <w:tc>
          <w:tcPr>
            <w:tcW w:w="3828" w:type="dxa"/>
            <w:noWrap/>
          </w:tcPr>
          <w:p w14:paraId="42CCD5C5"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Diabetes with chronic complications</w:t>
            </w:r>
          </w:p>
        </w:tc>
        <w:tc>
          <w:tcPr>
            <w:tcW w:w="2026" w:type="dxa"/>
          </w:tcPr>
          <w:p w14:paraId="4731B14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586A8193"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08F9D89F"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3F7F4AB"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0A724B12"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16A851E" w14:textId="77777777" w:rsidTr="002D2677">
        <w:trPr>
          <w:trHeight w:val="23"/>
        </w:trPr>
        <w:tc>
          <w:tcPr>
            <w:tcW w:w="3828" w:type="dxa"/>
            <w:noWrap/>
          </w:tcPr>
          <w:p w14:paraId="43AE9312"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1B4D055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954 (9.2)</w:t>
            </w:r>
          </w:p>
        </w:tc>
        <w:tc>
          <w:tcPr>
            <w:tcW w:w="2026" w:type="dxa"/>
          </w:tcPr>
          <w:p w14:paraId="74D382D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692 (72.5)</w:t>
            </w:r>
          </w:p>
        </w:tc>
        <w:tc>
          <w:tcPr>
            <w:tcW w:w="2027" w:type="dxa"/>
          </w:tcPr>
          <w:p w14:paraId="715086C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0.95 (0.82, 1.11)</w:t>
            </w:r>
          </w:p>
        </w:tc>
        <w:tc>
          <w:tcPr>
            <w:tcW w:w="2026" w:type="dxa"/>
          </w:tcPr>
          <w:p w14:paraId="394FF53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0.94 (0.81, 1.10)</w:t>
            </w:r>
          </w:p>
        </w:tc>
        <w:tc>
          <w:tcPr>
            <w:tcW w:w="2027" w:type="dxa"/>
            <w:noWrap/>
          </w:tcPr>
          <w:p w14:paraId="4B7FD06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0.457</w:t>
            </w:r>
          </w:p>
        </w:tc>
      </w:tr>
      <w:tr w:rsidR="00D250E5" w:rsidRPr="00737A30" w14:paraId="5E09AC34" w14:textId="77777777" w:rsidTr="002D2677">
        <w:trPr>
          <w:trHeight w:val="23"/>
        </w:trPr>
        <w:tc>
          <w:tcPr>
            <w:tcW w:w="3828" w:type="dxa"/>
            <w:noWrap/>
          </w:tcPr>
          <w:p w14:paraId="6E817BE1"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787A587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9,367 (90.8)</w:t>
            </w:r>
          </w:p>
        </w:tc>
        <w:tc>
          <w:tcPr>
            <w:tcW w:w="2026" w:type="dxa"/>
          </w:tcPr>
          <w:p w14:paraId="08A141B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6,881 (73.5)</w:t>
            </w:r>
          </w:p>
        </w:tc>
        <w:tc>
          <w:tcPr>
            <w:tcW w:w="2027" w:type="dxa"/>
          </w:tcPr>
          <w:p w14:paraId="2D63245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4F76A23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15399B5B"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8C326F3" w14:textId="77777777" w:rsidTr="002D2677">
        <w:trPr>
          <w:trHeight w:val="23"/>
        </w:trPr>
        <w:tc>
          <w:tcPr>
            <w:tcW w:w="3828" w:type="dxa"/>
            <w:noWrap/>
          </w:tcPr>
          <w:p w14:paraId="34201EEF"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Hemiplegia or paraplegia</w:t>
            </w:r>
          </w:p>
        </w:tc>
        <w:tc>
          <w:tcPr>
            <w:tcW w:w="2026" w:type="dxa"/>
          </w:tcPr>
          <w:p w14:paraId="4F4F7AB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7236153"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63597262"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9861382"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27A7505F"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388BEA11" w14:textId="77777777" w:rsidTr="002D2677">
        <w:trPr>
          <w:trHeight w:val="23"/>
        </w:trPr>
        <w:tc>
          <w:tcPr>
            <w:tcW w:w="3828" w:type="dxa"/>
            <w:noWrap/>
          </w:tcPr>
          <w:p w14:paraId="51BA1B55"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6BB76AA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198 (1.9)</w:t>
            </w:r>
          </w:p>
        </w:tc>
        <w:tc>
          <w:tcPr>
            <w:tcW w:w="2026" w:type="dxa"/>
          </w:tcPr>
          <w:p w14:paraId="7683CCF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139 (70.2)</w:t>
            </w:r>
          </w:p>
        </w:tc>
        <w:tc>
          <w:tcPr>
            <w:tcW w:w="2027" w:type="dxa"/>
          </w:tcPr>
          <w:p w14:paraId="395B8F2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0.85 (0.63, 1.16)</w:t>
            </w:r>
          </w:p>
        </w:tc>
        <w:tc>
          <w:tcPr>
            <w:tcW w:w="2026" w:type="dxa"/>
          </w:tcPr>
          <w:p w14:paraId="088EA5A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0.86 (0.63, 1.17)</w:t>
            </w:r>
          </w:p>
        </w:tc>
        <w:tc>
          <w:tcPr>
            <w:tcW w:w="2027" w:type="dxa"/>
            <w:noWrap/>
          </w:tcPr>
          <w:p w14:paraId="6375C82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0.338</w:t>
            </w:r>
          </w:p>
        </w:tc>
      </w:tr>
      <w:tr w:rsidR="00D250E5" w:rsidRPr="00737A30" w14:paraId="1957A2F0" w14:textId="77777777" w:rsidTr="002D2677">
        <w:trPr>
          <w:trHeight w:val="23"/>
        </w:trPr>
        <w:tc>
          <w:tcPr>
            <w:tcW w:w="3828" w:type="dxa"/>
            <w:noWrap/>
          </w:tcPr>
          <w:p w14:paraId="6A9F519C"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7D0AB9C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10,123 (98.1)</w:t>
            </w:r>
          </w:p>
        </w:tc>
        <w:tc>
          <w:tcPr>
            <w:tcW w:w="2026" w:type="dxa"/>
          </w:tcPr>
          <w:p w14:paraId="1F867EB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7,434 (73.4)</w:t>
            </w:r>
          </w:p>
        </w:tc>
        <w:tc>
          <w:tcPr>
            <w:tcW w:w="2027" w:type="dxa"/>
          </w:tcPr>
          <w:p w14:paraId="05B7B73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73FC0A5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2726DF77"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2EB6E46B" w14:textId="77777777" w:rsidTr="002D2677">
        <w:trPr>
          <w:trHeight w:val="23"/>
        </w:trPr>
        <w:tc>
          <w:tcPr>
            <w:tcW w:w="3828" w:type="dxa"/>
            <w:noWrap/>
          </w:tcPr>
          <w:p w14:paraId="52128855"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Renal disease</w:t>
            </w:r>
          </w:p>
        </w:tc>
        <w:tc>
          <w:tcPr>
            <w:tcW w:w="2026" w:type="dxa"/>
          </w:tcPr>
          <w:p w14:paraId="2C05191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5AA07CF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59E7FCDB"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3DC3C92"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230C6CCE"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FAA0E49" w14:textId="77777777" w:rsidTr="002D2677">
        <w:trPr>
          <w:trHeight w:val="23"/>
        </w:trPr>
        <w:tc>
          <w:tcPr>
            <w:tcW w:w="3828" w:type="dxa"/>
            <w:noWrap/>
          </w:tcPr>
          <w:p w14:paraId="39659E95"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0A819F6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950 (9.2)</w:t>
            </w:r>
          </w:p>
        </w:tc>
        <w:tc>
          <w:tcPr>
            <w:tcW w:w="2026" w:type="dxa"/>
          </w:tcPr>
          <w:p w14:paraId="29CE2EF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609 (64.1)</w:t>
            </w:r>
          </w:p>
        </w:tc>
        <w:tc>
          <w:tcPr>
            <w:tcW w:w="2027" w:type="dxa"/>
          </w:tcPr>
          <w:p w14:paraId="65ED1BD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0.62 (0.54, 0.71)</w:t>
            </w:r>
          </w:p>
        </w:tc>
        <w:tc>
          <w:tcPr>
            <w:tcW w:w="2026" w:type="dxa"/>
          </w:tcPr>
          <w:p w14:paraId="5452CE7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0.63 (0.54, 0.72)</w:t>
            </w:r>
          </w:p>
        </w:tc>
        <w:tc>
          <w:tcPr>
            <w:tcW w:w="2027" w:type="dxa"/>
            <w:noWrap/>
          </w:tcPr>
          <w:p w14:paraId="07C79BA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4148D5E4" w14:textId="77777777" w:rsidTr="002D2677">
        <w:trPr>
          <w:trHeight w:val="23"/>
        </w:trPr>
        <w:tc>
          <w:tcPr>
            <w:tcW w:w="3828" w:type="dxa"/>
            <w:noWrap/>
          </w:tcPr>
          <w:p w14:paraId="09F2D31A"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439931F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9,371 (90.8)</w:t>
            </w:r>
          </w:p>
        </w:tc>
        <w:tc>
          <w:tcPr>
            <w:tcW w:w="2026" w:type="dxa"/>
          </w:tcPr>
          <w:p w14:paraId="671F6A7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6,964 (74.3)</w:t>
            </w:r>
          </w:p>
        </w:tc>
        <w:tc>
          <w:tcPr>
            <w:tcW w:w="2027" w:type="dxa"/>
          </w:tcPr>
          <w:p w14:paraId="3B44098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3C2D957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3BCCF7BD"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CF7EDFB" w14:textId="77777777" w:rsidTr="002D2677">
        <w:trPr>
          <w:trHeight w:val="23"/>
        </w:trPr>
        <w:tc>
          <w:tcPr>
            <w:tcW w:w="3828" w:type="dxa"/>
            <w:noWrap/>
          </w:tcPr>
          <w:p w14:paraId="22426991"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Any malignancy</w:t>
            </w:r>
          </w:p>
        </w:tc>
        <w:tc>
          <w:tcPr>
            <w:tcW w:w="2026" w:type="dxa"/>
          </w:tcPr>
          <w:p w14:paraId="68D89C1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58E82173"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5C581A7C"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AFCDB7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117D3F74"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70E71527" w14:textId="77777777" w:rsidTr="002D2677">
        <w:trPr>
          <w:trHeight w:val="23"/>
        </w:trPr>
        <w:tc>
          <w:tcPr>
            <w:tcW w:w="3828" w:type="dxa"/>
            <w:noWrap/>
          </w:tcPr>
          <w:p w14:paraId="1E716970"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7FE6AA7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4,512 (43.7)</w:t>
            </w:r>
          </w:p>
        </w:tc>
        <w:tc>
          <w:tcPr>
            <w:tcW w:w="2026" w:type="dxa"/>
          </w:tcPr>
          <w:p w14:paraId="4F2609E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3,028 (67.1)</w:t>
            </w:r>
          </w:p>
        </w:tc>
        <w:tc>
          <w:tcPr>
            <w:tcW w:w="2027" w:type="dxa"/>
          </w:tcPr>
          <w:p w14:paraId="0156637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0.57 (0.52, 0.62)</w:t>
            </w:r>
          </w:p>
        </w:tc>
        <w:tc>
          <w:tcPr>
            <w:tcW w:w="2026" w:type="dxa"/>
          </w:tcPr>
          <w:p w14:paraId="6A31CA4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0.82 (0.66, 1.01)</w:t>
            </w:r>
          </w:p>
        </w:tc>
        <w:tc>
          <w:tcPr>
            <w:tcW w:w="2027" w:type="dxa"/>
            <w:noWrap/>
          </w:tcPr>
          <w:p w14:paraId="132AED8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0.065</w:t>
            </w:r>
          </w:p>
        </w:tc>
      </w:tr>
      <w:tr w:rsidR="00D250E5" w:rsidRPr="00737A30" w14:paraId="5B7B9DB0" w14:textId="77777777" w:rsidTr="002D2677">
        <w:trPr>
          <w:trHeight w:val="23"/>
        </w:trPr>
        <w:tc>
          <w:tcPr>
            <w:tcW w:w="3828" w:type="dxa"/>
            <w:noWrap/>
          </w:tcPr>
          <w:p w14:paraId="6C237373"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2710ED6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5,809 (56.3)</w:t>
            </w:r>
          </w:p>
        </w:tc>
        <w:tc>
          <w:tcPr>
            <w:tcW w:w="2026" w:type="dxa"/>
          </w:tcPr>
          <w:p w14:paraId="4F704E2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4,545 (78.2)</w:t>
            </w:r>
          </w:p>
        </w:tc>
        <w:tc>
          <w:tcPr>
            <w:tcW w:w="2027" w:type="dxa"/>
          </w:tcPr>
          <w:p w14:paraId="2273F24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552391F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50A4C08C"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31CFABDD" w14:textId="77777777" w:rsidTr="002D2677">
        <w:trPr>
          <w:trHeight w:val="23"/>
        </w:trPr>
        <w:tc>
          <w:tcPr>
            <w:tcW w:w="3828" w:type="dxa"/>
            <w:noWrap/>
          </w:tcPr>
          <w:p w14:paraId="305D592E"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Moderate or severe liver disease</w:t>
            </w:r>
          </w:p>
        </w:tc>
        <w:tc>
          <w:tcPr>
            <w:tcW w:w="2026" w:type="dxa"/>
          </w:tcPr>
          <w:p w14:paraId="0833174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2B11936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5C51AE1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44916F7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1A6F1043"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71C82CB6" w14:textId="77777777" w:rsidTr="002D2677">
        <w:trPr>
          <w:trHeight w:val="23"/>
        </w:trPr>
        <w:tc>
          <w:tcPr>
            <w:tcW w:w="3828" w:type="dxa"/>
            <w:noWrap/>
          </w:tcPr>
          <w:p w14:paraId="070108BE"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4DB9112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157 (1.5)</w:t>
            </w:r>
          </w:p>
        </w:tc>
        <w:tc>
          <w:tcPr>
            <w:tcW w:w="2026" w:type="dxa"/>
          </w:tcPr>
          <w:p w14:paraId="4FD2E9F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97 (61.8)</w:t>
            </w:r>
          </w:p>
        </w:tc>
        <w:tc>
          <w:tcPr>
            <w:tcW w:w="2027" w:type="dxa"/>
          </w:tcPr>
          <w:p w14:paraId="6967884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0.58 (0.42, 0.80)</w:t>
            </w:r>
          </w:p>
        </w:tc>
        <w:tc>
          <w:tcPr>
            <w:tcW w:w="2026" w:type="dxa"/>
          </w:tcPr>
          <w:p w14:paraId="43E488F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0.64 (0.46, 0.89)</w:t>
            </w:r>
          </w:p>
        </w:tc>
        <w:tc>
          <w:tcPr>
            <w:tcW w:w="2027" w:type="dxa"/>
            <w:noWrap/>
          </w:tcPr>
          <w:p w14:paraId="3167AF9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0.008</w:t>
            </w:r>
          </w:p>
        </w:tc>
      </w:tr>
      <w:tr w:rsidR="00D250E5" w:rsidRPr="00737A30" w14:paraId="29ECE12D" w14:textId="77777777" w:rsidTr="002D2677">
        <w:trPr>
          <w:trHeight w:val="23"/>
        </w:trPr>
        <w:tc>
          <w:tcPr>
            <w:tcW w:w="3828" w:type="dxa"/>
            <w:noWrap/>
          </w:tcPr>
          <w:p w14:paraId="276841CC"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65B0F65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10,164 (98.5)</w:t>
            </w:r>
          </w:p>
        </w:tc>
        <w:tc>
          <w:tcPr>
            <w:tcW w:w="2026" w:type="dxa"/>
          </w:tcPr>
          <w:p w14:paraId="50E8440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7,476 (73.6)</w:t>
            </w:r>
          </w:p>
        </w:tc>
        <w:tc>
          <w:tcPr>
            <w:tcW w:w="2027" w:type="dxa"/>
          </w:tcPr>
          <w:p w14:paraId="798665C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33FB8E1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5485BE93"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1FF7EDF" w14:textId="77777777" w:rsidTr="002D2677">
        <w:trPr>
          <w:trHeight w:val="23"/>
        </w:trPr>
        <w:tc>
          <w:tcPr>
            <w:tcW w:w="3828" w:type="dxa"/>
            <w:noWrap/>
          </w:tcPr>
          <w:p w14:paraId="7F8731AB"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Metastatic solid tumor</w:t>
            </w:r>
          </w:p>
        </w:tc>
        <w:tc>
          <w:tcPr>
            <w:tcW w:w="2026" w:type="dxa"/>
          </w:tcPr>
          <w:p w14:paraId="0089616A"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16ACF63"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69A2E56D"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2948717C"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5B366CF9"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628A947E" w14:textId="77777777" w:rsidTr="002D2677">
        <w:trPr>
          <w:trHeight w:val="23"/>
        </w:trPr>
        <w:tc>
          <w:tcPr>
            <w:tcW w:w="3828" w:type="dxa"/>
            <w:noWrap/>
          </w:tcPr>
          <w:p w14:paraId="51B318DD"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5ECDA6AF"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650 (6.3)</w:t>
            </w:r>
          </w:p>
        </w:tc>
        <w:tc>
          <w:tcPr>
            <w:tcW w:w="2026" w:type="dxa"/>
          </w:tcPr>
          <w:p w14:paraId="12805D9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386 (59.4)</w:t>
            </w:r>
          </w:p>
        </w:tc>
        <w:tc>
          <w:tcPr>
            <w:tcW w:w="2027" w:type="dxa"/>
          </w:tcPr>
          <w:p w14:paraId="619357C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0.51 (0.43, 0.59)</w:t>
            </w:r>
          </w:p>
        </w:tc>
        <w:tc>
          <w:tcPr>
            <w:tcW w:w="2026" w:type="dxa"/>
          </w:tcPr>
          <w:p w14:paraId="6C9B32A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0.75 (0.63, 0.90)</w:t>
            </w:r>
          </w:p>
        </w:tc>
        <w:tc>
          <w:tcPr>
            <w:tcW w:w="2027" w:type="dxa"/>
            <w:noWrap/>
          </w:tcPr>
          <w:p w14:paraId="18F3F85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0.002</w:t>
            </w:r>
          </w:p>
        </w:tc>
      </w:tr>
      <w:tr w:rsidR="00D250E5" w:rsidRPr="00737A30" w14:paraId="766DB6C8" w14:textId="77777777" w:rsidTr="002D2677">
        <w:trPr>
          <w:trHeight w:val="23"/>
        </w:trPr>
        <w:tc>
          <w:tcPr>
            <w:tcW w:w="3828" w:type="dxa"/>
            <w:noWrap/>
          </w:tcPr>
          <w:p w14:paraId="796F87C7"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46B8CD9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9,671 (93.7)</w:t>
            </w:r>
          </w:p>
        </w:tc>
        <w:tc>
          <w:tcPr>
            <w:tcW w:w="2026" w:type="dxa"/>
          </w:tcPr>
          <w:p w14:paraId="3AB4BE4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7,187 (74.3)</w:t>
            </w:r>
          </w:p>
        </w:tc>
        <w:tc>
          <w:tcPr>
            <w:tcW w:w="2027" w:type="dxa"/>
          </w:tcPr>
          <w:p w14:paraId="42F567A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5B95C5F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1BD9325C"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C0E166F" w14:textId="77777777" w:rsidTr="002D2677">
        <w:trPr>
          <w:trHeight w:val="23"/>
        </w:trPr>
        <w:tc>
          <w:tcPr>
            <w:tcW w:w="13960" w:type="dxa"/>
            <w:gridSpan w:val="6"/>
            <w:tcBorders>
              <w:top w:val="single" w:sz="4" w:space="0" w:color="auto"/>
            </w:tcBorders>
          </w:tcPr>
          <w:p w14:paraId="6A09FBCF"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b/>
                <w:bCs/>
                <w:sz w:val="18"/>
                <w:szCs w:val="18"/>
              </w:rPr>
              <w:t>Visit histories and medical procedures</w:t>
            </w:r>
          </w:p>
        </w:tc>
      </w:tr>
      <w:tr w:rsidR="00D250E5" w:rsidRPr="00737A30" w14:paraId="7348119C" w14:textId="77777777" w:rsidTr="002D2677">
        <w:trPr>
          <w:trHeight w:val="23"/>
        </w:trPr>
        <w:tc>
          <w:tcPr>
            <w:tcW w:w="3828" w:type="dxa"/>
            <w:noWrap/>
          </w:tcPr>
          <w:p w14:paraId="637F58D1"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 xml:space="preserve">Outpatient visits per </w:t>
            </w:r>
            <w:proofErr w:type="spellStart"/>
            <w:r w:rsidRPr="00737A30">
              <w:rPr>
                <w:rFonts w:cs="Arial"/>
                <w:sz w:val="18"/>
                <w:szCs w:val="18"/>
              </w:rPr>
              <w:t>month</w:t>
            </w:r>
            <w:r w:rsidRPr="00737A30">
              <w:rPr>
                <w:rFonts w:cs="Arial"/>
                <w:sz w:val="18"/>
                <w:szCs w:val="18"/>
                <w:vertAlign w:val="superscript"/>
              </w:rPr>
              <w:t>a</w:t>
            </w:r>
            <w:proofErr w:type="spellEnd"/>
          </w:p>
        </w:tc>
        <w:tc>
          <w:tcPr>
            <w:tcW w:w="2026" w:type="dxa"/>
          </w:tcPr>
          <w:p w14:paraId="277F487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w:t>
            </w:r>
          </w:p>
        </w:tc>
        <w:tc>
          <w:tcPr>
            <w:tcW w:w="2026" w:type="dxa"/>
          </w:tcPr>
          <w:p w14:paraId="590C688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7,573 (73.4)</w:t>
            </w:r>
          </w:p>
        </w:tc>
        <w:tc>
          <w:tcPr>
            <w:tcW w:w="2027" w:type="dxa"/>
          </w:tcPr>
          <w:p w14:paraId="4C12043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0.90 (0.88, 0.93)</w:t>
            </w:r>
          </w:p>
        </w:tc>
        <w:tc>
          <w:tcPr>
            <w:tcW w:w="2026" w:type="dxa"/>
          </w:tcPr>
          <w:p w14:paraId="6A3791C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0.91 (0.89, 0.94)</w:t>
            </w:r>
          </w:p>
        </w:tc>
        <w:tc>
          <w:tcPr>
            <w:tcW w:w="2027" w:type="dxa"/>
            <w:noWrap/>
          </w:tcPr>
          <w:p w14:paraId="70E0988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1C8F2EAE" w14:textId="77777777" w:rsidTr="002D2677">
        <w:trPr>
          <w:trHeight w:val="23"/>
        </w:trPr>
        <w:tc>
          <w:tcPr>
            <w:tcW w:w="3828" w:type="dxa"/>
            <w:noWrap/>
          </w:tcPr>
          <w:p w14:paraId="2ED89212"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Number of hospitalizations</w:t>
            </w:r>
          </w:p>
        </w:tc>
        <w:tc>
          <w:tcPr>
            <w:tcW w:w="2026" w:type="dxa"/>
          </w:tcPr>
          <w:p w14:paraId="456894E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58245B7F"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05D6F639"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22B0AF7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6F474782"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12D461D" w14:textId="77777777" w:rsidTr="002D2677">
        <w:trPr>
          <w:trHeight w:val="23"/>
        </w:trPr>
        <w:tc>
          <w:tcPr>
            <w:tcW w:w="3828" w:type="dxa"/>
            <w:noWrap/>
          </w:tcPr>
          <w:p w14:paraId="3BFE84C8"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0</w:t>
            </w:r>
          </w:p>
        </w:tc>
        <w:tc>
          <w:tcPr>
            <w:tcW w:w="2026" w:type="dxa"/>
          </w:tcPr>
          <w:p w14:paraId="2E38AFA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6,301 (61.1)</w:t>
            </w:r>
          </w:p>
        </w:tc>
        <w:tc>
          <w:tcPr>
            <w:tcW w:w="2026" w:type="dxa"/>
          </w:tcPr>
          <w:p w14:paraId="4FB70F4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6,194 (98.3)</w:t>
            </w:r>
          </w:p>
        </w:tc>
        <w:tc>
          <w:tcPr>
            <w:tcW w:w="2027" w:type="dxa"/>
          </w:tcPr>
          <w:p w14:paraId="3CD100F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391DC63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464ADDD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624F77A8" w14:textId="77777777" w:rsidTr="002D2677">
        <w:trPr>
          <w:trHeight w:val="23"/>
        </w:trPr>
        <w:tc>
          <w:tcPr>
            <w:tcW w:w="3828" w:type="dxa"/>
            <w:noWrap/>
          </w:tcPr>
          <w:p w14:paraId="00E7AB8B"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1</w:t>
            </w:r>
          </w:p>
        </w:tc>
        <w:tc>
          <w:tcPr>
            <w:tcW w:w="2026" w:type="dxa"/>
          </w:tcPr>
          <w:p w14:paraId="52ACA14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2,461 (23.8)</w:t>
            </w:r>
          </w:p>
        </w:tc>
        <w:tc>
          <w:tcPr>
            <w:tcW w:w="2026" w:type="dxa"/>
          </w:tcPr>
          <w:p w14:paraId="43B3F9F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880 (35.8)</w:t>
            </w:r>
          </w:p>
        </w:tc>
        <w:tc>
          <w:tcPr>
            <w:tcW w:w="2027" w:type="dxa"/>
          </w:tcPr>
          <w:p w14:paraId="6A89172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0.01 (0.01, 0.01)</w:t>
            </w:r>
          </w:p>
        </w:tc>
        <w:tc>
          <w:tcPr>
            <w:tcW w:w="2026" w:type="dxa"/>
          </w:tcPr>
          <w:p w14:paraId="284A034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0.01 (0.01, 0.01)</w:t>
            </w:r>
          </w:p>
        </w:tc>
        <w:tc>
          <w:tcPr>
            <w:tcW w:w="2027" w:type="dxa"/>
            <w:noWrap/>
          </w:tcPr>
          <w:p w14:paraId="3A6C2836"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5EF808D9" w14:textId="77777777" w:rsidTr="002D2677">
        <w:trPr>
          <w:trHeight w:val="23"/>
        </w:trPr>
        <w:tc>
          <w:tcPr>
            <w:tcW w:w="3828" w:type="dxa"/>
            <w:noWrap/>
          </w:tcPr>
          <w:p w14:paraId="1DAE5248"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≥2</w:t>
            </w:r>
          </w:p>
        </w:tc>
        <w:tc>
          <w:tcPr>
            <w:tcW w:w="2026" w:type="dxa"/>
          </w:tcPr>
          <w:p w14:paraId="43975D5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1,559 (15.1)</w:t>
            </w:r>
          </w:p>
        </w:tc>
        <w:tc>
          <w:tcPr>
            <w:tcW w:w="2026" w:type="dxa"/>
          </w:tcPr>
          <w:p w14:paraId="20E57E0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499 (32.0)</w:t>
            </w:r>
          </w:p>
        </w:tc>
        <w:tc>
          <w:tcPr>
            <w:tcW w:w="2027" w:type="dxa"/>
          </w:tcPr>
          <w:p w14:paraId="1F20595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0.01 (0.01, 0.01)</w:t>
            </w:r>
          </w:p>
        </w:tc>
        <w:tc>
          <w:tcPr>
            <w:tcW w:w="2026" w:type="dxa"/>
          </w:tcPr>
          <w:p w14:paraId="37110C9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0.01 (0.01, 0.01)</w:t>
            </w:r>
          </w:p>
        </w:tc>
        <w:tc>
          <w:tcPr>
            <w:tcW w:w="2027" w:type="dxa"/>
            <w:noWrap/>
          </w:tcPr>
          <w:p w14:paraId="241BF0F7"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6FE258D5" w14:textId="77777777" w:rsidTr="002D2677">
        <w:trPr>
          <w:trHeight w:val="23"/>
        </w:trPr>
        <w:tc>
          <w:tcPr>
            <w:tcW w:w="3828" w:type="dxa"/>
            <w:noWrap/>
          </w:tcPr>
          <w:p w14:paraId="6C7853DB"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lastRenderedPageBreak/>
              <w:t>History of moderate or severe pulmonary infection or respiratory failure</w:t>
            </w:r>
          </w:p>
        </w:tc>
        <w:tc>
          <w:tcPr>
            <w:tcW w:w="2026" w:type="dxa"/>
          </w:tcPr>
          <w:p w14:paraId="5F35EF6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332DD2D4"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7FFDE062"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499619D8"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1E6A5241"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1F08CAC" w14:textId="77777777" w:rsidTr="002D2677">
        <w:trPr>
          <w:trHeight w:val="23"/>
        </w:trPr>
        <w:tc>
          <w:tcPr>
            <w:tcW w:w="3828" w:type="dxa"/>
            <w:noWrap/>
          </w:tcPr>
          <w:p w14:paraId="5976DFAF"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0</w:t>
            </w:r>
          </w:p>
        </w:tc>
        <w:tc>
          <w:tcPr>
            <w:tcW w:w="2026" w:type="dxa"/>
          </w:tcPr>
          <w:p w14:paraId="4070239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9,695 (93.9)</w:t>
            </w:r>
          </w:p>
        </w:tc>
        <w:tc>
          <w:tcPr>
            <w:tcW w:w="2026" w:type="dxa"/>
          </w:tcPr>
          <w:p w14:paraId="29129B6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7,550 (77.9)</w:t>
            </w:r>
          </w:p>
        </w:tc>
        <w:tc>
          <w:tcPr>
            <w:tcW w:w="2027" w:type="dxa"/>
          </w:tcPr>
          <w:p w14:paraId="49E134D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5FB59F5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55AF522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78AD0ABD" w14:textId="77777777" w:rsidTr="002D2677">
        <w:trPr>
          <w:trHeight w:val="23"/>
        </w:trPr>
        <w:tc>
          <w:tcPr>
            <w:tcW w:w="3828" w:type="dxa"/>
            <w:noWrap/>
          </w:tcPr>
          <w:p w14:paraId="445173C8"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1</w:t>
            </w:r>
          </w:p>
        </w:tc>
        <w:tc>
          <w:tcPr>
            <w:tcW w:w="2026" w:type="dxa"/>
          </w:tcPr>
          <w:p w14:paraId="03D39C9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556 (5.4)</w:t>
            </w:r>
          </w:p>
        </w:tc>
        <w:tc>
          <w:tcPr>
            <w:tcW w:w="2026" w:type="dxa"/>
          </w:tcPr>
          <w:p w14:paraId="682A4981"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22 (4.0)</w:t>
            </w:r>
          </w:p>
        </w:tc>
        <w:tc>
          <w:tcPr>
            <w:tcW w:w="2027" w:type="dxa"/>
          </w:tcPr>
          <w:p w14:paraId="3952CA1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0.01 (0.01, 0.02)</w:t>
            </w:r>
          </w:p>
        </w:tc>
        <w:tc>
          <w:tcPr>
            <w:tcW w:w="2026" w:type="dxa"/>
          </w:tcPr>
          <w:p w14:paraId="38204B6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0.01 (0.01, 0.02)</w:t>
            </w:r>
          </w:p>
        </w:tc>
        <w:tc>
          <w:tcPr>
            <w:tcW w:w="2027" w:type="dxa"/>
            <w:noWrap/>
          </w:tcPr>
          <w:p w14:paraId="49F93683"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8C85651" w14:textId="77777777" w:rsidTr="002D2677">
        <w:trPr>
          <w:trHeight w:val="23"/>
        </w:trPr>
        <w:tc>
          <w:tcPr>
            <w:tcW w:w="3828" w:type="dxa"/>
            <w:noWrap/>
          </w:tcPr>
          <w:p w14:paraId="2181FBFC"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≥2</w:t>
            </w:r>
          </w:p>
        </w:tc>
        <w:tc>
          <w:tcPr>
            <w:tcW w:w="2026" w:type="dxa"/>
          </w:tcPr>
          <w:p w14:paraId="12ACA7D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70 (0.7)</w:t>
            </w:r>
          </w:p>
        </w:tc>
        <w:tc>
          <w:tcPr>
            <w:tcW w:w="2026" w:type="dxa"/>
          </w:tcPr>
          <w:p w14:paraId="04AF02C0"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 (1.4)</w:t>
            </w:r>
          </w:p>
        </w:tc>
        <w:tc>
          <w:tcPr>
            <w:tcW w:w="2027" w:type="dxa"/>
          </w:tcPr>
          <w:p w14:paraId="490942F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0.00 (0.00, 0.03)</w:t>
            </w:r>
          </w:p>
        </w:tc>
        <w:tc>
          <w:tcPr>
            <w:tcW w:w="2026" w:type="dxa"/>
          </w:tcPr>
          <w:p w14:paraId="035AAE9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0.00 (0.00, 0.03)</w:t>
            </w:r>
          </w:p>
        </w:tc>
        <w:tc>
          <w:tcPr>
            <w:tcW w:w="2027" w:type="dxa"/>
            <w:noWrap/>
          </w:tcPr>
          <w:p w14:paraId="48E87474"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15985EEB" w14:textId="77777777" w:rsidTr="002D2677">
        <w:trPr>
          <w:trHeight w:val="23"/>
        </w:trPr>
        <w:tc>
          <w:tcPr>
            <w:tcW w:w="3828" w:type="dxa"/>
            <w:noWrap/>
          </w:tcPr>
          <w:p w14:paraId="58A4228A"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Home oxygen therapy</w:t>
            </w:r>
          </w:p>
        </w:tc>
        <w:tc>
          <w:tcPr>
            <w:tcW w:w="2026" w:type="dxa"/>
          </w:tcPr>
          <w:p w14:paraId="2BCDDC0E"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137FC959"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285C2104"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16B6D71"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415283D5"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4619573B" w14:textId="77777777" w:rsidTr="002D2677">
        <w:trPr>
          <w:trHeight w:val="23"/>
        </w:trPr>
        <w:tc>
          <w:tcPr>
            <w:tcW w:w="3828" w:type="dxa"/>
            <w:noWrap/>
          </w:tcPr>
          <w:p w14:paraId="117E1D5D"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2E3930E8"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292 (2.8)</w:t>
            </w:r>
          </w:p>
        </w:tc>
        <w:tc>
          <w:tcPr>
            <w:tcW w:w="2026" w:type="dxa"/>
          </w:tcPr>
          <w:p w14:paraId="63160FF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183 (62.7)</w:t>
            </w:r>
          </w:p>
        </w:tc>
        <w:tc>
          <w:tcPr>
            <w:tcW w:w="2027" w:type="dxa"/>
          </w:tcPr>
          <w:p w14:paraId="607069B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0.60 (0.47, 0.76)</w:t>
            </w:r>
          </w:p>
        </w:tc>
        <w:tc>
          <w:tcPr>
            <w:tcW w:w="2026" w:type="dxa"/>
          </w:tcPr>
          <w:p w14:paraId="5393DD7B"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0.64 (0.50, 0.82)</w:t>
            </w:r>
          </w:p>
        </w:tc>
        <w:tc>
          <w:tcPr>
            <w:tcW w:w="2027" w:type="dxa"/>
            <w:noWrap/>
          </w:tcPr>
          <w:p w14:paraId="6AA48F46"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51066BC3" w14:textId="77777777" w:rsidTr="002D2677">
        <w:trPr>
          <w:trHeight w:val="23"/>
        </w:trPr>
        <w:tc>
          <w:tcPr>
            <w:tcW w:w="3828" w:type="dxa"/>
            <w:noWrap/>
          </w:tcPr>
          <w:p w14:paraId="5534545D"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Pr>
          <w:p w14:paraId="53955D2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10,029 (97.2)</w:t>
            </w:r>
          </w:p>
        </w:tc>
        <w:tc>
          <w:tcPr>
            <w:tcW w:w="2026" w:type="dxa"/>
          </w:tcPr>
          <w:p w14:paraId="2422CA07"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7,390 (73.7)</w:t>
            </w:r>
          </w:p>
        </w:tc>
        <w:tc>
          <w:tcPr>
            <w:tcW w:w="2027" w:type="dxa"/>
          </w:tcPr>
          <w:p w14:paraId="65AD3EDD"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Pr>
          <w:p w14:paraId="425199B3"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noWrap/>
          </w:tcPr>
          <w:p w14:paraId="4F8233B4"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28C2B09F" w14:textId="77777777" w:rsidTr="002D2677">
        <w:trPr>
          <w:trHeight w:val="23"/>
        </w:trPr>
        <w:tc>
          <w:tcPr>
            <w:tcW w:w="3828" w:type="dxa"/>
            <w:noWrap/>
          </w:tcPr>
          <w:p w14:paraId="7E60FCD7" w14:textId="77777777" w:rsidR="00D250E5" w:rsidRPr="00737A30" w:rsidRDefault="00D250E5" w:rsidP="002D2677">
            <w:pPr>
              <w:widowControl/>
              <w:spacing w:before="0" w:beforeAutospacing="0" w:after="0" w:afterAutospacing="0" w:line="276" w:lineRule="auto"/>
              <w:rPr>
                <w:rFonts w:cs="Arial"/>
                <w:sz w:val="18"/>
                <w:szCs w:val="18"/>
              </w:rPr>
            </w:pPr>
            <w:r w:rsidRPr="00737A30">
              <w:rPr>
                <w:rFonts w:cs="Arial"/>
                <w:sz w:val="18"/>
                <w:szCs w:val="18"/>
              </w:rPr>
              <w:t>Systemic glucocorticoids</w:t>
            </w:r>
          </w:p>
        </w:tc>
        <w:tc>
          <w:tcPr>
            <w:tcW w:w="2026" w:type="dxa"/>
          </w:tcPr>
          <w:p w14:paraId="69D0BE9C"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082D6647"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tcPr>
          <w:p w14:paraId="50B97215"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6" w:type="dxa"/>
          </w:tcPr>
          <w:p w14:paraId="755A639F" w14:textId="77777777" w:rsidR="00D250E5" w:rsidRPr="00737A30" w:rsidRDefault="00D250E5" w:rsidP="002D2677">
            <w:pPr>
              <w:widowControl/>
              <w:spacing w:before="0" w:beforeAutospacing="0" w:after="0" w:afterAutospacing="0" w:line="276" w:lineRule="auto"/>
              <w:jc w:val="center"/>
              <w:rPr>
                <w:rFonts w:cs="Arial"/>
                <w:sz w:val="18"/>
                <w:szCs w:val="18"/>
              </w:rPr>
            </w:pPr>
          </w:p>
        </w:tc>
        <w:tc>
          <w:tcPr>
            <w:tcW w:w="2027" w:type="dxa"/>
            <w:noWrap/>
          </w:tcPr>
          <w:p w14:paraId="27ACBC5B" w14:textId="77777777" w:rsidR="00D250E5" w:rsidRPr="00737A30" w:rsidRDefault="00D250E5" w:rsidP="002D2677">
            <w:pPr>
              <w:widowControl/>
              <w:spacing w:before="0" w:beforeAutospacing="0" w:after="0" w:afterAutospacing="0" w:line="276" w:lineRule="auto"/>
              <w:jc w:val="center"/>
              <w:rPr>
                <w:rFonts w:cs="Arial"/>
                <w:sz w:val="18"/>
                <w:szCs w:val="18"/>
              </w:rPr>
            </w:pPr>
          </w:p>
        </w:tc>
      </w:tr>
      <w:tr w:rsidR="00D250E5" w:rsidRPr="00737A30" w14:paraId="05594829" w14:textId="77777777" w:rsidTr="002D2677">
        <w:trPr>
          <w:trHeight w:val="23"/>
        </w:trPr>
        <w:tc>
          <w:tcPr>
            <w:tcW w:w="3828" w:type="dxa"/>
            <w:noWrap/>
          </w:tcPr>
          <w:p w14:paraId="4FFE9B21"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Yes</w:t>
            </w:r>
          </w:p>
        </w:tc>
        <w:tc>
          <w:tcPr>
            <w:tcW w:w="2026" w:type="dxa"/>
          </w:tcPr>
          <w:p w14:paraId="759212E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1,887 (18.3)</w:t>
            </w:r>
          </w:p>
        </w:tc>
        <w:tc>
          <w:tcPr>
            <w:tcW w:w="2026" w:type="dxa"/>
          </w:tcPr>
          <w:p w14:paraId="7FEB5664"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1,167 (61.8)</w:t>
            </w:r>
          </w:p>
        </w:tc>
        <w:tc>
          <w:tcPr>
            <w:tcW w:w="2027" w:type="dxa"/>
          </w:tcPr>
          <w:p w14:paraId="025E48EC"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0.51 (0.46, 0.57)</w:t>
            </w:r>
          </w:p>
        </w:tc>
        <w:tc>
          <w:tcPr>
            <w:tcW w:w="2026" w:type="dxa"/>
          </w:tcPr>
          <w:p w14:paraId="76202C52"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0.51 (0.45, 0.57)</w:t>
            </w:r>
          </w:p>
        </w:tc>
        <w:tc>
          <w:tcPr>
            <w:tcW w:w="2027" w:type="dxa"/>
            <w:noWrap/>
          </w:tcPr>
          <w:p w14:paraId="4B513489"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&lt;0.001</w:t>
            </w:r>
          </w:p>
        </w:tc>
      </w:tr>
      <w:tr w:rsidR="00D250E5" w:rsidRPr="00737A30" w14:paraId="18D2FE97" w14:textId="77777777" w:rsidTr="002D2677">
        <w:trPr>
          <w:trHeight w:val="23"/>
        </w:trPr>
        <w:tc>
          <w:tcPr>
            <w:tcW w:w="3828" w:type="dxa"/>
            <w:tcBorders>
              <w:bottom w:val="single" w:sz="4" w:space="0" w:color="auto"/>
            </w:tcBorders>
            <w:noWrap/>
          </w:tcPr>
          <w:p w14:paraId="4D31FEF2" w14:textId="77777777" w:rsidR="00D250E5" w:rsidRPr="00737A30" w:rsidRDefault="00D250E5" w:rsidP="002D2677">
            <w:pPr>
              <w:widowControl/>
              <w:spacing w:before="0" w:beforeAutospacing="0" w:after="0" w:afterAutospacing="0" w:line="276" w:lineRule="auto"/>
              <w:ind w:left="720"/>
              <w:rPr>
                <w:rFonts w:cs="Arial"/>
                <w:sz w:val="18"/>
                <w:szCs w:val="18"/>
              </w:rPr>
            </w:pPr>
            <w:r w:rsidRPr="00737A30">
              <w:rPr>
                <w:rFonts w:cs="Arial"/>
                <w:sz w:val="18"/>
                <w:szCs w:val="18"/>
              </w:rPr>
              <w:t>No</w:t>
            </w:r>
          </w:p>
        </w:tc>
        <w:tc>
          <w:tcPr>
            <w:tcW w:w="2026" w:type="dxa"/>
            <w:tcBorders>
              <w:bottom w:val="single" w:sz="4" w:space="0" w:color="auto"/>
            </w:tcBorders>
          </w:tcPr>
          <w:p w14:paraId="120E70A5"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8,434 (81.7)</w:t>
            </w:r>
          </w:p>
        </w:tc>
        <w:tc>
          <w:tcPr>
            <w:tcW w:w="2026" w:type="dxa"/>
            <w:tcBorders>
              <w:bottom w:val="single" w:sz="4" w:space="0" w:color="auto"/>
            </w:tcBorders>
          </w:tcPr>
          <w:p w14:paraId="4F041E8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6,406 (76.0)</w:t>
            </w:r>
          </w:p>
        </w:tc>
        <w:tc>
          <w:tcPr>
            <w:tcW w:w="2027" w:type="dxa"/>
            <w:tcBorders>
              <w:bottom w:val="single" w:sz="4" w:space="0" w:color="auto"/>
            </w:tcBorders>
          </w:tcPr>
          <w:p w14:paraId="6C14819A"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6" w:type="dxa"/>
            <w:tcBorders>
              <w:bottom w:val="single" w:sz="4" w:space="0" w:color="auto"/>
            </w:tcBorders>
          </w:tcPr>
          <w:p w14:paraId="69BCD93E" w14:textId="77777777" w:rsidR="00D250E5" w:rsidRPr="00737A30" w:rsidRDefault="00D250E5" w:rsidP="002D2677">
            <w:pPr>
              <w:widowControl/>
              <w:spacing w:before="0" w:beforeAutospacing="0" w:after="0" w:afterAutospacing="0" w:line="276" w:lineRule="auto"/>
              <w:jc w:val="center"/>
              <w:rPr>
                <w:rFonts w:cs="Arial"/>
                <w:sz w:val="18"/>
                <w:szCs w:val="18"/>
              </w:rPr>
            </w:pPr>
            <w:r w:rsidRPr="00737A30">
              <w:rPr>
                <w:rFonts w:cs="Arial"/>
                <w:sz w:val="18"/>
                <w:szCs w:val="18"/>
              </w:rPr>
              <w:t>Ref</w:t>
            </w:r>
          </w:p>
        </w:tc>
        <w:tc>
          <w:tcPr>
            <w:tcW w:w="2027" w:type="dxa"/>
            <w:tcBorders>
              <w:bottom w:val="single" w:sz="4" w:space="0" w:color="auto"/>
            </w:tcBorders>
            <w:noWrap/>
          </w:tcPr>
          <w:p w14:paraId="0CE719BC" w14:textId="77777777" w:rsidR="00D250E5" w:rsidRPr="00737A30" w:rsidRDefault="00D250E5" w:rsidP="002D2677">
            <w:pPr>
              <w:widowControl/>
              <w:spacing w:before="0" w:beforeAutospacing="0" w:after="0" w:afterAutospacing="0" w:line="276" w:lineRule="auto"/>
              <w:jc w:val="center"/>
              <w:rPr>
                <w:rFonts w:cs="Arial"/>
                <w:sz w:val="18"/>
                <w:szCs w:val="18"/>
              </w:rPr>
            </w:pPr>
          </w:p>
        </w:tc>
      </w:tr>
    </w:tbl>
    <w:p w14:paraId="717DB0A8" w14:textId="77777777" w:rsidR="00D250E5" w:rsidRPr="00737A30" w:rsidRDefault="00D250E5" w:rsidP="00D250E5">
      <w:pPr>
        <w:widowControl/>
        <w:spacing w:before="0" w:beforeAutospacing="0" w:after="0" w:afterAutospacing="0" w:line="276" w:lineRule="auto"/>
        <w:rPr>
          <w:rFonts w:cs="Arial"/>
          <w:sz w:val="18"/>
          <w:szCs w:val="18"/>
        </w:rPr>
      </w:pPr>
      <w:r w:rsidRPr="00737A30">
        <w:rPr>
          <w:rFonts w:cs="Arial"/>
          <w:sz w:val="18"/>
          <w:szCs w:val="18"/>
          <w:vertAlign w:val="superscript"/>
        </w:rPr>
        <w:t>a</w:t>
      </w:r>
      <w:r w:rsidRPr="00737A30">
        <w:rPr>
          <w:rFonts w:cs="Arial"/>
          <w:sz w:val="18"/>
          <w:szCs w:val="18"/>
        </w:rPr>
        <w:t xml:space="preserve"> Log-transformed.</w:t>
      </w:r>
    </w:p>
    <w:p w14:paraId="7DEF1A02" w14:textId="77777777" w:rsidR="00D250E5" w:rsidRPr="00737A30" w:rsidRDefault="00D250E5" w:rsidP="00D250E5">
      <w:pPr>
        <w:widowControl/>
        <w:spacing w:before="0" w:beforeAutospacing="0" w:after="0" w:afterAutospacing="0" w:line="276" w:lineRule="auto"/>
        <w:rPr>
          <w:rFonts w:cs="Arial"/>
        </w:rPr>
        <w:sectPr w:rsidR="00D250E5" w:rsidRPr="00737A30" w:rsidSect="00D250E5">
          <w:endnotePr>
            <w:numFmt w:val="decimal"/>
          </w:endnotePr>
          <w:pgSz w:w="16840" w:h="11907" w:orient="landscape" w:code="9"/>
          <w:pgMar w:top="1701" w:right="1440" w:bottom="1701" w:left="1440" w:header="567" w:footer="567" w:gutter="0"/>
          <w:cols w:space="720"/>
          <w:docGrid w:linePitch="299"/>
        </w:sectPr>
      </w:pPr>
      <w:r w:rsidRPr="002D2677">
        <w:rPr>
          <w:rFonts w:cs="Arial"/>
          <w:b/>
          <w:bCs/>
          <w:sz w:val="18"/>
          <w:szCs w:val="18"/>
        </w:rPr>
        <w:t>Abbreviations:</w:t>
      </w:r>
      <w:r>
        <w:rPr>
          <w:rFonts w:cs="Arial"/>
          <w:sz w:val="18"/>
          <w:szCs w:val="18"/>
        </w:rPr>
        <w:t xml:space="preserve"> </w:t>
      </w:r>
      <w:r w:rsidRPr="00737A30">
        <w:rPr>
          <w:rFonts w:cs="Arial"/>
          <w:sz w:val="18"/>
          <w:szCs w:val="18"/>
        </w:rPr>
        <w:t>BMI, body mass index; CB, chronic bronchitis; CCI, Charlson comorbidity index; CI, confidence interval; COPD, chronic obstructive pulmonary disease; Ref, reference</w:t>
      </w:r>
      <w:r w:rsidRPr="00737A30">
        <w:rPr>
          <w:rFonts w:cs="Arial"/>
        </w:rPr>
        <w:t>.</w:t>
      </w:r>
    </w:p>
    <w:p w14:paraId="351803C3" w14:textId="7507660A" w:rsidR="00D250E5" w:rsidRPr="00E044F7" w:rsidRDefault="00D250E5" w:rsidP="00E044F7">
      <w:pPr>
        <w:pStyle w:val="Heading3"/>
        <w:rPr>
          <w:b/>
          <w:bCs/>
          <w:color w:val="000000" w:themeColor="text1"/>
          <w:sz w:val="20"/>
          <w:szCs w:val="20"/>
          <w:lang w:eastAsia="ja-JP"/>
        </w:rPr>
      </w:pPr>
      <w:r w:rsidRPr="00D250E5">
        <w:rPr>
          <w:b/>
          <w:bCs/>
          <w:color w:val="000000" w:themeColor="text1"/>
          <w:sz w:val="20"/>
          <w:szCs w:val="20"/>
          <w:lang w:eastAsia="ja-JP"/>
        </w:rPr>
        <w:lastRenderedPageBreak/>
        <w:t xml:space="preserve">Supplementary Table </w:t>
      </w:r>
      <w:r w:rsidR="00E70A5E">
        <w:rPr>
          <w:b/>
          <w:bCs/>
          <w:color w:val="000000" w:themeColor="text1"/>
          <w:sz w:val="20"/>
          <w:szCs w:val="20"/>
          <w:lang w:eastAsia="ja-JP"/>
        </w:rPr>
        <w:t>7</w:t>
      </w:r>
      <w:r>
        <w:t xml:space="preserve"> </w:t>
      </w:r>
      <w:r w:rsidRPr="00E044F7">
        <w:rPr>
          <w:b/>
          <w:bCs/>
          <w:color w:val="000000" w:themeColor="text1"/>
          <w:sz w:val="20"/>
          <w:szCs w:val="20"/>
          <w:lang w:eastAsia="ja-JP"/>
        </w:rPr>
        <w:t>Incidence rates and rate ratios for COPD exacerbations by type 2 inflammation status in patients with a smoking history</w:t>
      </w:r>
    </w:p>
    <w:tbl>
      <w:tblPr>
        <w:tblW w:w="0" w:type="auto"/>
        <w:tblLayout w:type="fixed"/>
        <w:tblCellMar>
          <w:left w:w="99" w:type="dxa"/>
          <w:right w:w="99" w:type="dxa"/>
        </w:tblCellMar>
        <w:tblLook w:val="04A0" w:firstRow="1" w:lastRow="0" w:firstColumn="1" w:lastColumn="0" w:noHBand="0" w:noVBand="1"/>
      </w:tblPr>
      <w:tblGrid>
        <w:gridCol w:w="4253"/>
        <w:gridCol w:w="992"/>
        <w:gridCol w:w="992"/>
        <w:gridCol w:w="1418"/>
        <w:gridCol w:w="1575"/>
        <w:gridCol w:w="1576"/>
        <w:gridCol w:w="1576"/>
        <w:gridCol w:w="1576"/>
      </w:tblGrid>
      <w:tr w:rsidR="00D250E5" w:rsidRPr="00737A30" w14:paraId="36571356" w14:textId="77777777" w:rsidTr="002D2677">
        <w:trPr>
          <w:trHeight w:val="23"/>
        </w:trPr>
        <w:tc>
          <w:tcPr>
            <w:tcW w:w="4253" w:type="dxa"/>
            <w:tcBorders>
              <w:top w:val="single" w:sz="4" w:space="0" w:color="auto"/>
              <w:left w:val="nil"/>
              <w:bottom w:val="single" w:sz="4" w:space="0" w:color="auto"/>
              <w:right w:val="nil"/>
            </w:tcBorders>
            <w:noWrap/>
          </w:tcPr>
          <w:p w14:paraId="755514EC"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92" w:type="dxa"/>
            <w:tcBorders>
              <w:top w:val="single" w:sz="4" w:space="0" w:color="auto"/>
              <w:left w:val="nil"/>
              <w:bottom w:val="single" w:sz="4" w:space="0" w:color="auto"/>
              <w:right w:val="nil"/>
            </w:tcBorders>
            <w:noWrap/>
            <w:hideMark/>
          </w:tcPr>
          <w:p w14:paraId="5C108DB4"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Patients, n</w:t>
            </w:r>
          </w:p>
        </w:tc>
        <w:tc>
          <w:tcPr>
            <w:tcW w:w="992" w:type="dxa"/>
            <w:tcBorders>
              <w:top w:val="single" w:sz="4" w:space="0" w:color="auto"/>
              <w:left w:val="nil"/>
              <w:bottom w:val="single" w:sz="4" w:space="0" w:color="auto"/>
              <w:right w:val="nil"/>
            </w:tcBorders>
            <w:noWrap/>
            <w:hideMark/>
          </w:tcPr>
          <w:p w14:paraId="021928DB"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Events, n</w:t>
            </w:r>
          </w:p>
        </w:tc>
        <w:tc>
          <w:tcPr>
            <w:tcW w:w="1418" w:type="dxa"/>
            <w:tcBorders>
              <w:top w:val="single" w:sz="4" w:space="0" w:color="auto"/>
              <w:left w:val="nil"/>
              <w:bottom w:val="single" w:sz="4" w:space="0" w:color="auto"/>
              <w:right w:val="nil"/>
            </w:tcBorders>
            <w:hideMark/>
          </w:tcPr>
          <w:p w14:paraId="1A4113B5"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Follow-up, patient-years</w:t>
            </w:r>
          </w:p>
        </w:tc>
        <w:tc>
          <w:tcPr>
            <w:tcW w:w="1575" w:type="dxa"/>
            <w:tcBorders>
              <w:top w:val="single" w:sz="4" w:space="0" w:color="auto"/>
              <w:left w:val="nil"/>
              <w:bottom w:val="single" w:sz="4" w:space="0" w:color="auto"/>
              <w:right w:val="nil"/>
            </w:tcBorders>
            <w:noWrap/>
            <w:hideMark/>
          </w:tcPr>
          <w:p w14:paraId="4D9DB86F"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Crude incidence</w:t>
            </w:r>
            <w:r w:rsidRPr="00495D42">
              <w:rPr>
                <w:rFonts w:eastAsia="Yu Gothic" w:cs="Arial"/>
                <w:color w:val="000000"/>
                <w:sz w:val="18"/>
                <w:szCs w:val="18"/>
                <w:lang w:eastAsia="ja-JP"/>
              </w:rPr>
              <w:br/>
              <w:t>(95% CI)</w:t>
            </w:r>
            <w:r w:rsidRPr="00495D42">
              <w:rPr>
                <w:rFonts w:eastAsia="Yu Gothic" w:cs="Arial"/>
                <w:color w:val="000000"/>
                <w:sz w:val="18"/>
                <w:szCs w:val="18"/>
                <w:vertAlign w:val="superscript"/>
                <w:lang w:eastAsia="ja-JP"/>
              </w:rPr>
              <w:t>a</w:t>
            </w:r>
          </w:p>
        </w:tc>
        <w:tc>
          <w:tcPr>
            <w:tcW w:w="1576" w:type="dxa"/>
            <w:tcBorders>
              <w:top w:val="single" w:sz="4" w:space="0" w:color="auto"/>
              <w:left w:val="nil"/>
              <w:bottom w:val="single" w:sz="4" w:space="0" w:color="auto"/>
              <w:right w:val="nil"/>
            </w:tcBorders>
            <w:noWrap/>
            <w:hideMark/>
          </w:tcPr>
          <w:p w14:paraId="36B95537"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Adjusted incidence</w:t>
            </w:r>
            <w:r w:rsidRPr="00495D42">
              <w:rPr>
                <w:rFonts w:eastAsia="Yu Gothic" w:cs="Arial"/>
                <w:color w:val="000000"/>
                <w:sz w:val="18"/>
                <w:szCs w:val="18"/>
                <w:vertAlign w:val="superscript"/>
                <w:lang w:eastAsia="ja-JP"/>
              </w:rPr>
              <w:br/>
            </w:r>
            <w:r w:rsidRPr="00495D42">
              <w:rPr>
                <w:rFonts w:eastAsia="Yu Gothic" w:cs="Arial"/>
                <w:color w:val="000000"/>
                <w:sz w:val="18"/>
                <w:szCs w:val="18"/>
                <w:lang w:eastAsia="ja-JP"/>
              </w:rPr>
              <w:t>(95% CI)</w:t>
            </w:r>
            <w:r w:rsidRPr="00495D42">
              <w:rPr>
                <w:rFonts w:eastAsia="Yu Gothic" w:cs="Arial"/>
                <w:color w:val="000000"/>
                <w:sz w:val="18"/>
                <w:szCs w:val="18"/>
                <w:vertAlign w:val="superscript"/>
                <w:lang w:eastAsia="ja-JP"/>
              </w:rPr>
              <w:t>a</w:t>
            </w:r>
          </w:p>
        </w:tc>
        <w:tc>
          <w:tcPr>
            <w:tcW w:w="1576" w:type="dxa"/>
            <w:tcBorders>
              <w:top w:val="single" w:sz="4" w:space="0" w:color="auto"/>
              <w:left w:val="nil"/>
              <w:bottom w:val="single" w:sz="4" w:space="0" w:color="auto"/>
              <w:right w:val="nil"/>
            </w:tcBorders>
            <w:noWrap/>
            <w:hideMark/>
          </w:tcPr>
          <w:p w14:paraId="7F06DF1E"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Rate ratio</w:t>
            </w:r>
            <w:r w:rsidRPr="00495D42">
              <w:rPr>
                <w:rFonts w:eastAsia="Yu Gothic" w:cs="Arial"/>
                <w:color w:val="000000"/>
                <w:sz w:val="18"/>
                <w:szCs w:val="18"/>
                <w:vertAlign w:val="superscript"/>
                <w:lang w:eastAsia="ja-JP"/>
              </w:rPr>
              <w:br/>
            </w:r>
            <w:r w:rsidRPr="00495D42">
              <w:rPr>
                <w:rFonts w:eastAsia="Yu Gothic" w:cs="Arial"/>
                <w:color w:val="000000"/>
                <w:sz w:val="18"/>
                <w:szCs w:val="18"/>
                <w:lang w:eastAsia="ja-JP"/>
              </w:rPr>
              <w:t>(95% CI)</w:t>
            </w:r>
          </w:p>
        </w:tc>
        <w:tc>
          <w:tcPr>
            <w:tcW w:w="1576" w:type="dxa"/>
            <w:tcBorders>
              <w:top w:val="single" w:sz="4" w:space="0" w:color="auto"/>
              <w:left w:val="nil"/>
              <w:bottom w:val="single" w:sz="4" w:space="0" w:color="auto"/>
              <w:right w:val="nil"/>
            </w:tcBorders>
            <w:hideMark/>
          </w:tcPr>
          <w:p w14:paraId="45AA6E52"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Rate ratio</w:t>
            </w:r>
            <w:r w:rsidRPr="00495D42">
              <w:rPr>
                <w:rFonts w:eastAsia="Yu Gothic" w:cs="Arial"/>
                <w:color w:val="000000"/>
                <w:sz w:val="18"/>
                <w:szCs w:val="18"/>
                <w:lang w:eastAsia="ja-JP"/>
              </w:rPr>
              <w:br/>
              <w:t>(95% CI)</w:t>
            </w:r>
            <w:r w:rsidRPr="00495D42">
              <w:rPr>
                <w:rFonts w:eastAsia="Yu Gothic" w:cs="Arial"/>
                <w:color w:val="000000"/>
                <w:sz w:val="18"/>
                <w:szCs w:val="18"/>
                <w:lang w:eastAsia="ja-JP"/>
              </w:rPr>
              <w:br/>
              <w:t>(High vs low)</w:t>
            </w:r>
          </w:p>
        </w:tc>
      </w:tr>
      <w:tr w:rsidR="00D250E5" w:rsidRPr="00737A30" w14:paraId="5C07B880" w14:textId="77777777" w:rsidTr="002D2677">
        <w:trPr>
          <w:trHeight w:val="23"/>
        </w:trPr>
        <w:tc>
          <w:tcPr>
            <w:tcW w:w="4253" w:type="dxa"/>
            <w:tcBorders>
              <w:top w:val="nil"/>
              <w:left w:val="nil"/>
              <w:bottom w:val="nil"/>
              <w:right w:val="nil"/>
            </w:tcBorders>
            <w:noWrap/>
          </w:tcPr>
          <w:p w14:paraId="458D9206"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Moderate COPD exacerbation</w:t>
            </w:r>
          </w:p>
        </w:tc>
        <w:tc>
          <w:tcPr>
            <w:tcW w:w="992" w:type="dxa"/>
            <w:tcBorders>
              <w:top w:val="nil"/>
              <w:left w:val="nil"/>
              <w:bottom w:val="nil"/>
              <w:right w:val="nil"/>
            </w:tcBorders>
            <w:noWrap/>
            <w:hideMark/>
          </w:tcPr>
          <w:p w14:paraId="6327CA77"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92" w:type="dxa"/>
            <w:tcBorders>
              <w:top w:val="nil"/>
              <w:left w:val="nil"/>
              <w:bottom w:val="nil"/>
              <w:right w:val="nil"/>
            </w:tcBorders>
            <w:noWrap/>
            <w:hideMark/>
          </w:tcPr>
          <w:p w14:paraId="088F32B7"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nil"/>
              <w:left w:val="nil"/>
              <w:bottom w:val="nil"/>
              <w:right w:val="nil"/>
            </w:tcBorders>
            <w:noWrap/>
            <w:hideMark/>
          </w:tcPr>
          <w:p w14:paraId="78995724"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nil"/>
              <w:left w:val="nil"/>
              <w:bottom w:val="nil"/>
              <w:right w:val="nil"/>
            </w:tcBorders>
            <w:noWrap/>
            <w:hideMark/>
          </w:tcPr>
          <w:p w14:paraId="2DB0F6EA"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78FD4C24"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285EF8D1"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5E7C2797"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0D9014B8" w14:textId="77777777" w:rsidTr="002D2677">
        <w:trPr>
          <w:trHeight w:val="23"/>
        </w:trPr>
        <w:tc>
          <w:tcPr>
            <w:tcW w:w="4253" w:type="dxa"/>
            <w:tcBorders>
              <w:top w:val="nil"/>
              <w:left w:val="nil"/>
              <w:bottom w:val="nil"/>
              <w:right w:val="nil"/>
            </w:tcBorders>
            <w:noWrap/>
          </w:tcPr>
          <w:p w14:paraId="2F3DEEE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Type 2 inflammation status: Low</w:t>
            </w:r>
          </w:p>
        </w:tc>
        <w:tc>
          <w:tcPr>
            <w:tcW w:w="992" w:type="dxa"/>
            <w:tcBorders>
              <w:top w:val="nil"/>
              <w:left w:val="nil"/>
              <w:bottom w:val="nil"/>
              <w:right w:val="nil"/>
            </w:tcBorders>
            <w:noWrap/>
            <w:hideMark/>
          </w:tcPr>
          <w:p w14:paraId="7601E22F"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587</w:t>
            </w:r>
          </w:p>
        </w:tc>
        <w:tc>
          <w:tcPr>
            <w:tcW w:w="992" w:type="dxa"/>
            <w:tcBorders>
              <w:top w:val="nil"/>
              <w:left w:val="nil"/>
              <w:bottom w:val="nil"/>
              <w:right w:val="nil"/>
            </w:tcBorders>
            <w:noWrap/>
            <w:hideMark/>
          </w:tcPr>
          <w:p w14:paraId="414F2AF9"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487</w:t>
            </w:r>
          </w:p>
        </w:tc>
        <w:tc>
          <w:tcPr>
            <w:tcW w:w="1418" w:type="dxa"/>
            <w:tcBorders>
              <w:top w:val="nil"/>
              <w:left w:val="nil"/>
              <w:bottom w:val="nil"/>
              <w:right w:val="nil"/>
            </w:tcBorders>
            <w:noWrap/>
            <w:hideMark/>
          </w:tcPr>
          <w:p w14:paraId="15305CB7"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1,415.4</w:t>
            </w:r>
          </w:p>
        </w:tc>
        <w:tc>
          <w:tcPr>
            <w:tcW w:w="1575" w:type="dxa"/>
            <w:tcBorders>
              <w:top w:val="nil"/>
              <w:left w:val="nil"/>
              <w:bottom w:val="nil"/>
              <w:right w:val="nil"/>
            </w:tcBorders>
            <w:noWrap/>
            <w:hideMark/>
          </w:tcPr>
          <w:p w14:paraId="7B618C2D"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34.4 (31.4, 37.6)</w:t>
            </w:r>
          </w:p>
        </w:tc>
        <w:tc>
          <w:tcPr>
            <w:tcW w:w="1576" w:type="dxa"/>
            <w:tcBorders>
              <w:top w:val="nil"/>
              <w:left w:val="nil"/>
              <w:bottom w:val="nil"/>
              <w:right w:val="nil"/>
            </w:tcBorders>
            <w:noWrap/>
            <w:hideMark/>
          </w:tcPr>
          <w:p w14:paraId="684BA749"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36.9 (31.5, 43.2)</w:t>
            </w:r>
          </w:p>
        </w:tc>
        <w:tc>
          <w:tcPr>
            <w:tcW w:w="1576" w:type="dxa"/>
            <w:tcBorders>
              <w:top w:val="nil"/>
              <w:left w:val="nil"/>
              <w:bottom w:val="nil"/>
              <w:right w:val="nil"/>
            </w:tcBorders>
            <w:noWrap/>
            <w:hideMark/>
          </w:tcPr>
          <w:p w14:paraId="395D8EFC"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0.85 (0.72, 1.01)</w:t>
            </w:r>
          </w:p>
        </w:tc>
        <w:tc>
          <w:tcPr>
            <w:tcW w:w="1576" w:type="dxa"/>
            <w:tcBorders>
              <w:top w:val="nil"/>
              <w:left w:val="nil"/>
              <w:bottom w:val="nil"/>
              <w:right w:val="nil"/>
            </w:tcBorders>
            <w:noWrap/>
            <w:hideMark/>
          </w:tcPr>
          <w:p w14:paraId="55432FDD"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Ref</w:t>
            </w:r>
          </w:p>
        </w:tc>
      </w:tr>
      <w:tr w:rsidR="00D250E5" w:rsidRPr="00737A30" w14:paraId="32B61083" w14:textId="77777777" w:rsidTr="002D2677">
        <w:trPr>
          <w:trHeight w:val="23"/>
        </w:trPr>
        <w:tc>
          <w:tcPr>
            <w:tcW w:w="4253" w:type="dxa"/>
            <w:tcBorders>
              <w:top w:val="nil"/>
              <w:left w:val="nil"/>
              <w:bottom w:val="nil"/>
              <w:right w:val="nil"/>
            </w:tcBorders>
            <w:noWrap/>
          </w:tcPr>
          <w:p w14:paraId="6B778BB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Type 2 inflammation status: Intermediate</w:t>
            </w:r>
          </w:p>
        </w:tc>
        <w:tc>
          <w:tcPr>
            <w:tcW w:w="992" w:type="dxa"/>
            <w:tcBorders>
              <w:top w:val="nil"/>
              <w:left w:val="nil"/>
              <w:bottom w:val="nil"/>
              <w:right w:val="nil"/>
            </w:tcBorders>
            <w:noWrap/>
            <w:hideMark/>
          </w:tcPr>
          <w:p w14:paraId="6438DB00"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2,160</w:t>
            </w:r>
          </w:p>
        </w:tc>
        <w:tc>
          <w:tcPr>
            <w:tcW w:w="992" w:type="dxa"/>
            <w:tcBorders>
              <w:top w:val="nil"/>
              <w:left w:val="nil"/>
              <w:bottom w:val="nil"/>
              <w:right w:val="nil"/>
            </w:tcBorders>
            <w:noWrap/>
            <w:hideMark/>
          </w:tcPr>
          <w:p w14:paraId="74368D40"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2,343</w:t>
            </w:r>
          </w:p>
        </w:tc>
        <w:tc>
          <w:tcPr>
            <w:tcW w:w="1418" w:type="dxa"/>
            <w:tcBorders>
              <w:top w:val="nil"/>
              <w:left w:val="nil"/>
              <w:bottom w:val="nil"/>
              <w:right w:val="nil"/>
            </w:tcBorders>
            <w:noWrap/>
            <w:hideMark/>
          </w:tcPr>
          <w:p w14:paraId="6BD5D2EC"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5,328.4</w:t>
            </w:r>
          </w:p>
        </w:tc>
        <w:tc>
          <w:tcPr>
            <w:tcW w:w="1575" w:type="dxa"/>
            <w:tcBorders>
              <w:top w:val="nil"/>
              <w:left w:val="nil"/>
              <w:bottom w:val="nil"/>
              <w:right w:val="nil"/>
            </w:tcBorders>
            <w:noWrap/>
            <w:hideMark/>
          </w:tcPr>
          <w:p w14:paraId="05099F8C"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44.0 (42.2, 45.8)</w:t>
            </w:r>
          </w:p>
        </w:tc>
        <w:tc>
          <w:tcPr>
            <w:tcW w:w="1576" w:type="dxa"/>
            <w:tcBorders>
              <w:top w:val="nil"/>
              <w:left w:val="nil"/>
              <w:bottom w:val="nil"/>
              <w:right w:val="nil"/>
            </w:tcBorders>
            <w:noWrap/>
            <w:hideMark/>
          </w:tcPr>
          <w:p w14:paraId="5D3A826B"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43.2 (40.2, 46.5)</w:t>
            </w:r>
          </w:p>
        </w:tc>
        <w:tc>
          <w:tcPr>
            <w:tcW w:w="1576" w:type="dxa"/>
            <w:tcBorders>
              <w:top w:val="nil"/>
              <w:left w:val="nil"/>
              <w:bottom w:val="nil"/>
              <w:right w:val="nil"/>
            </w:tcBorders>
            <w:noWrap/>
            <w:hideMark/>
          </w:tcPr>
          <w:p w14:paraId="28AA246E"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Ref</w:t>
            </w:r>
          </w:p>
        </w:tc>
        <w:tc>
          <w:tcPr>
            <w:tcW w:w="1576" w:type="dxa"/>
            <w:tcBorders>
              <w:top w:val="nil"/>
              <w:left w:val="nil"/>
              <w:bottom w:val="nil"/>
              <w:right w:val="nil"/>
            </w:tcBorders>
            <w:noWrap/>
            <w:hideMark/>
          </w:tcPr>
          <w:p w14:paraId="22445678"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w:t>
            </w:r>
          </w:p>
        </w:tc>
      </w:tr>
      <w:tr w:rsidR="00D250E5" w:rsidRPr="00737A30" w14:paraId="7E7ED63D" w14:textId="77777777" w:rsidTr="002D2677">
        <w:trPr>
          <w:trHeight w:val="23"/>
        </w:trPr>
        <w:tc>
          <w:tcPr>
            <w:tcW w:w="4253" w:type="dxa"/>
            <w:tcBorders>
              <w:top w:val="nil"/>
              <w:left w:val="nil"/>
              <w:bottom w:val="nil"/>
              <w:right w:val="nil"/>
            </w:tcBorders>
            <w:noWrap/>
          </w:tcPr>
          <w:p w14:paraId="0DA4400B"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Type 2 inflammation status: High</w:t>
            </w:r>
          </w:p>
        </w:tc>
        <w:tc>
          <w:tcPr>
            <w:tcW w:w="992" w:type="dxa"/>
            <w:tcBorders>
              <w:top w:val="nil"/>
              <w:left w:val="nil"/>
              <w:bottom w:val="nil"/>
              <w:right w:val="nil"/>
            </w:tcBorders>
            <w:noWrap/>
            <w:hideMark/>
          </w:tcPr>
          <w:p w14:paraId="7139A04A"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1,806</w:t>
            </w:r>
          </w:p>
        </w:tc>
        <w:tc>
          <w:tcPr>
            <w:tcW w:w="992" w:type="dxa"/>
            <w:tcBorders>
              <w:top w:val="nil"/>
              <w:left w:val="nil"/>
              <w:bottom w:val="nil"/>
              <w:right w:val="nil"/>
            </w:tcBorders>
            <w:noWrap/>
            <w:hideMark/>
          </w:tcPr>
          <w:p w14:paraId="4AC71CDC"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2,342</w:t>
            </w:r>
          </w:p>
        </w:tc>
        <w:tc>
          <w:tcPr>
            <w:tcW w:w="1418" w:type="dxa"/>
            <w:tcBorders>
              <w:top w:val="nil"/>
              <w:left w:val="nil"/>
              <w:bottom w:val="nil"/>
              <w:right w:val="nil"/>
            </w:tcBorders>
            <w:noWrap/>
            <w:hideMark/>
          </w:tcPr>
          <w:p w14:paraId="53AB0601"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4,419.8</w:t>
            </w:r>
          </w:p>
        </w:tc>
        <w:tc>
          <w:tcPr>
            <w:tcW w:w="1575" w:type="dxa"/>
            <w:tcBorders>
              <w:top w:val="nil"/>
              <w:left w:val="nil"/>
              <w:bottom w:val="nil"/>
              <w:right w:val="nil"/>
            </w:tcBorders>
            <w:noWrap/>
            <w:hideMark/>
          </w:tcPr>
          <w:p w14:paraId="63122549"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53.0 (50.9, 55.2)</w:t>
            </w:r>
          </w:p>
        </w:tc>
        <w:tc>
          <w:tcPr>
            <w:tcW w:w="1576" w:type="dxa"/>
            <w:tcBorders>
              <w:top w:val="nil"/>
              <w:left w:val="nil"/>
              <w:bottom w:val="nil"/>
              <w:right w:val="nil"/>
            </w:tcBorders>
            <w:noWrap/>
            <w:hideMark/>
          </w:tcPr>
          <w:p w14:paraId="4A2D41F4"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48.6 (44.9, 52.6)</w:t>
            </w:r>
          </w:p>
        </w:tc>
        <w:tc>
          <w:tcPr>
            <w:tcW w:w="1576" w:type="dxa"/>
            <w:tcBorders>
              <w:top w:val="nil"/>
              <w:left w:val="nil"/>
              <w:bottom w:val="nil"/>
              <w:right w:val="nil"/>
            </w:tcBorders>
            <w:noWrap/>
            <w:hideMark/>
          </w:tcPr>
          <w:p w14:paraId="4547FEB7"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1.12 (1.01, 1.25)</w:t>
            </w:r>
          </w:p>
        </w:tc>
        <w:tc>
          <w:tcPr>
            <w:tcW w:w="1576" w:type="dxa"/>
            <w:tcBorders>
              <w:top w:val="nil"/>
              <w:left w:val="nil"/>
              <w:bottom w:val="nil"/>
              <w:right w:val="nil"/>
            </w:tcBorders>
            <w:noWrap/>
            <w:hideMark/>
          </w:tcPr>
          <w:p w14:paraId="76037A7C"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1.32 (1.07, 1.63)</w:t>
            </w:r>
          </w:p>
        </w:tc>
      </w:tr>
      <w:tr w:rsidR="00D250E5" w:rsidRPr="00737A30" w14:paraId="6A4C9C01" w14:textId="77777777" w:rsidTr="002D2677">
        <w:trPr>
          <w:trHeight w:val="23"/>
        </w:trPr>
        <w:tc>
          <w:tcPr>
            <w:tcW w:w="4253" w:type="dxa"/>
            <w:tcBorders>
              <w:top w:val="nil"/>
              <w:left w:val="nil"/>
              <w:bottom w:val="nil"/>
              <w:right w:val="nil"/>
            </w:tcBorders>
            <w:noWrap/>
          </w:tcPr>
          <w:p w14:paraId="62EDD147"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Severe COPD exacerbation</w:t>
            </w:r>
          </w:p>
        </w:tc>
        <w:tc>
          <w:tcPr>
            <w:tcW w:w="992" w:type="dxa"/>
            <w:tcBorders>
              <w:top w:val="nil"/>
              <w:left w:val="nil"/>
              <w:bottom w:val="nil"/>
              <w:right w:val="nil"/>
            </w:tcBorders>
            <w:noWrap/>
            <w:hideMark/>
          </w:tcPr>
          <w:p w14:paraId="58827904"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92" w:type="dxa"/>
            <w:tcBorders>
              <w:top w:val="nil"/>
              <w:left w:val="nil"/>
              <w:bottom w:val="nil"/>
              <w:right w:val="nil"/>
            </w:tcBorders>
            <w:noWrap/>
            <w:hideMark/>
          </w:tcPr>
          <w:p w14:paraId="206981B2"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nil"/>
              <w:left w:val="nil"/>
              <w:bottom w:val="nil"/>
              <w:right w:val="nil"/>
            </w:tcBorders>
            <w:noWrap/>
            <w:hideMark/>
          </w:tcPr>
          <w:p w14:paraId="0AA14B14"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nil"/>
              <w:left w:val="nil"/>
              <w:bottom w:val="nil"/>
              <w:right w:val="nil"/>
            </w:tcBorders>
            <w:noWrap/>
            <w:hideMark/>
          </w:tcPr>
          <w:p w14:paraId="68CA07B1"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299611CE"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7D35D304"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14ED2FB9"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313A5833" w14:textId="77777777" w:rsidTr="002D2677">
        <w:trPr>
          <w:trHeight w:val="23"/>
        </w:trPr>
        <w:tc>
          <w:tcPr>
            <w:tcW w:w="4253" w:type="dxa"/>
            <w:tcBorders>
              <w:top w:val="nil"/>
              <w:left w:val="nil"/>
              <w:bottom w:val="nil"/>
              <w:right w:val="nil"/>
            </w:tcBorders>
            <w:noWrap/>
          </w:tcPr>
          <w:p w14:paraId="1809BD5D"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Type 2 inflammation status: Low</w:t>
            </w:r>
          </w:p>
        </w:tc>
        <w:tc>
          <w:tcPr>
            <w:tcW w:w="992" w:type="dxa"/>
            <w:tcBorders>
              <w:top w:val="nil"/>
              <w:left w:val="nil"/>
              <w:bottom w:val="nil"/>
              <w:right w:val="nil"/>
            </w:tcBorders>
            <w:noWrap/>
            <w:hideMark/>
          </w:tcPr>
          <w:p w14:paraId="48B25AF2"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587</w:t>
            </w:r>
          </w:p>
        </w:tc>
        <w:tc>
          <w:tcPr>
            <w:tcW w:w="992" w:type="dxa"/>
            <w:tcBorders>
              <w:top w:val="nil"/>
              <w:left w:val="nil"/>
              <w:bottom w:val="nil"/>
              <w:right w:val="nil"/>
            </w:tcBorders>
            <w:noWrap/>
            <w:hideMark/>
          </w:tcPr>
          <w:p w14:paraId="7D57DEA9"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221</w:t>
            </w:r>
          </w:p>
        </w:tc>
        <w:tc>
          <w:tcPr>
            <w:tcW w:w="1418" w:type="dxa"/>
            <w:tcBorders>
              <w:top w:val="nil"/>
              <w:left w:val="nil"/>
              <w:bottom w:val="nil"/>
              <w:right w:val="nil"/>
            </w:tcBorders>
            <w:noWrap/>
            <w:hideMark/>
          </w:tcPr>
          <w:p w14:paraId="2F05F70D"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1,415.4</w:t>
            </w:r>
          </w:p>
        </w:tc>
        <w:tc>
          <w:tcPr>
            <w:tcW w:w="1575" w:type="dxa"/>
            <w:tcBorders>
              <w:top w:val="nil"/>
              <w:left w:val="nil"/>
              <w:bottom w:val="nil"/>
              <w:right w:val="nil"/>
            </w:tcBorders>
            <w:noWrap/>
            <w:hideMark/>
          </w:tcPr>
          <w:p w14:paraId="12E378BB"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15.6 (13.6, 17.8)</w:t>
            </w:r>
          </w:p>
        </w:tc>
        <w:tc>
          <w:tcPr>
            <w:tcW w:w="1576" w:type="dxa"/>
            <w:tcBorders>
              <w:top w:val="nil"/>
              <w:left w:val="nil"/>
              <w:bottom w:val="nil"/>
              <w:right w:val="nil"/>
            </w:tcBorders>
            <w:noWrap/>
            <w:hideMark/>
          </w:tcPr>
          <w:p w14:paraId="3B9B4A97"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11.8 (9.8, 14.3)</w:t>
            </w:r>
          </w:p>
        </w:tc>
        <w:tc>
          <w:tcPr>
            <w:tcW w:w="1576" w:type="dxa"/>
            <w:tcBorders>
              <w:top w:val="nil"/>
              <w:left w:val="nil"/>
              <w:bottom w:val="nil"/>
              <w:right w:val="nil"/>
            </w:tcBorders>
            <w:noWrap/>
            <w:hideMark/>
          </w:tcPr>
          <w:p w14:paraId="4F896696"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0.98 (0.80, 1.21)</w:t>
            </w:r>
          </w:p>
        </w:tc>
        <w:tc>
          <w:tcPr>
            <w:tcW w:w="1576" w:type="dxa"/>
            <w:tcBorders>
              <w:top w:val="nil"/>
              <w:left w:val="nil"/>
              <w:bottom w:val="nil"/>
              <w:right w:val="nil"/>
            </w:tcBorders>
            <w:noWrap/>
            <w:hideMark/>
          </w:tcPr>
          <w:p w14:paraId="65315943"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Ref</w:t>
            </w:r>
          </w:p>
        </w:tc>
      </w:tr>
      <w:tr w:rsidR="00D250E5" w:rsidRPr="00737A30" w14:paraId="1ADF3965" w14:textId="77777777" w:rsidTr="002D2677">
        <w:trPr>
          <w:trHeight w:val="23"/>
        </w:trPr>
        <w:tc>
          <w:tcPr>
            <w:tcW w:w="4253" w:type="dxa"/>
            <w:tcBorders>
              <w:top w:val="nil"/>
              <w:left w:val="nil"/>
              <w:bottom w:val="nil"/>
              <w:right w:val="nil"/>
            </w:tcBorders>
            <w:noWrap/>
          </w:tcPr>
          <w:p w14:paraId="265675D8"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Type 2 inflammation status: Intermediate</w:t>
            </w:r>
          </w:p>
        </w:tc>
        <w:tc>
          <w:tcPr>
            <w:tcW w:w="992" w:type="dxa"/>
            <w:tcBorders>
              <w:top w:val="nil"/>
              <w:left w:val="nil"/>
              <w:bottom w:val="nil"/>
              <w:right w:val="nil"/>
            </w:tcBorders>
            <w:noWrap/>
            <w:hideMark/>
          </w:tcPr>
          <w:p w14:paraId="5DF3A6B9"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2,160</w:t>
            </w:r>
          </w:p>
        </w:tc>
        <w:tc>
          <w:tcPr>
            <w:tcW w:w="992" w:type="dxa"/>
            <w:tcBorders>
              <w:top w:val="nil"/>
              <w:left w:val="nil"/>
              <w:bottom w:val="nil"/>
              <w:right w:val="nil"/>
            </w:tcBorders>
            <w:noWrap/>
            <w:hideMark/>
          </w:tcPr>
          <w:p w14:paraId="674FFD71"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830</w:t>
            </w:r>
          </w:p>
        </w:tc>
        <w:tc>
          <w:tcPr>
            <w:tcW w:w="1418" w:type="dxa"/>
            <w:tcBorders>
              <w:top w:val="nil"/>
              <w:left w:val="nil"/>
              <w:bottom w:val="nil"/>
              <w:right w:val="nil"/>
            </w:tcBorders>
            <w:noWrap/>
            <w:hideMark/>
          </w:tcPr>
          <w:p w14:paraId="02BACA05"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5,328.4</w:t>
            </w:r>
          </w:p>
        </w:tc>
        <w:tc>
          <w:tcPr>
            <w:tcW w:w="1575" w:type="dxa"/>
            <w:tcBorders>
              <w:top w:val="nil"/>
              <w:left w:val="nil"/>
              <w:bottom w:val="nil"/>
              <w:right w:val="nil"/>
            </w:tcBorders>
            <w:noWrap/>
            <w:hideMark/>
          </w:tcPr>
          <w:p w14:paraId="52E4DFDB"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15.6 (14.5, 16.7)</w:t>
            </w:r>
          </w:p>
        </w:tc>
        <w:tc>
          <w:tcPr>
            <w:tcW w:w="1576" w:type="dxa"/>
            <w:tcBorders>
              <w:top w:val="nil"/>
              <w:left w:val="nil"/>
              <w:bottom w:val="nil"/>
              <w:right w:val="nil"/>
            </w:tcBorders>
            <w:noWrap/>
            <w:hideMark/>
          </w:tcPr>
          <w:p w14:paraId="316CBDB0"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12.1 (11.0, 13.3)</w:t>
            </w:r>
          </w:p>
        </w:tc>
        <w:tc>
          <w:tcPr>
            <w:tcW w:w="1576" w:type="dxa"/>
            <w:tcBorders>
              <w:top w:val="nil"/>
              <w:left w:val="nil"/>
              <w:bottom w:val="nil"/>
              <w:right w:val="nil"/>
            </w:tcBorders>
            <w:noWrap/>
            <w:hideMark/>
          </w:tcPr>
          <w:p w14:paraId="33B5CD59"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Ref</w:t>
            </w:r>
          </w:p>
        </w:tc>
        <w:tc>
          <w:tcPr>
            <w:tcW w:w="1576" w:type="dxa"/>
            <w:tcBorders>
              <w:top w:val="nil"/>
              <w:left w:val="nil"/>
              <w:bottom w:val="nil"/>
              <w:right w:val="nil"/>
            </w:tcBorders>
            <w:noWrap/>
            <w:hideMark/>
          </w:tcPr>
          <w:p w14:paraId="6093A2F3"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w:t>
            </w:r>
          </w:p>
        </w:tc>
      </w:tr>
      <w:tr w:rsidR="00D250E5" w:rsidRPr="00737A30" w14:paraId="0B57967C" w14:textId="77777777" w:rsidTr="002D2677">
        <w:trPr>
          <w:trHeight w:val="23"/>
        </w:trPr>
        <w:tc>
          <w:tcPr>
            <w:tcW w:w="4253" w:type="dxa"/>
            <w:tcBorders>
              <w:top w:val="nil"/>
              <w:left w:val="nil"/>
              <w:bottom w:val="nil"/>
              <w:right w:val="nil"/>
            </w:tcBorders>
            <w:noWrap/>
          </w:tcPr>
          <w:p w14:paraId="00A9878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Type 2 inflammation status: High</w:t>
            </w:r>
          </w:p>
        </w:tc>
        <w:tc>
          <w:tcPr>
            <w:tcW w:w="992" w:type="dxa"/>
            <w:tcBorders>
              <w:top w:val="nil"/>
              <w:left w:val="nil"/>
              <w:bottom w:val="nil"/>
              <w:right w:val="nil"/>
            </w:tcBorders>
            <w:noWrap/>
            <w:hideMark/>
          </w:tcPr>
          <w:p w14:paraId="02BFE8A2"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1,806</w:t>
            </w:r>
          </w:p>
        </w:tc>
        <w:tc>
          <w:tcPr>
            <w:tcW w:w="992" w:type="dxa"/>
            <w:tcBorders>
              <w:top w:val="nil"/>
              <w:left w:val="nil"/>
              <w:bottom w:val="nil"/>
              <w:right w:val="nil"/>
            </w:tcBorders>
            <w:noWrap/>
            <w:hideMark/>
          </w:tcPr>
          <w:p w14:paraId="174C4BFF"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712</w:t>
            </w:r>
          </w:p>
        </w:tc>
        <w:tc>
          <w:tcPr>
            <w:tcW w:w="1418" w:type="dxa"/>
            <w:tcBorders>
              <w:top w:val="nil"/>
              <w:left w:val="nil"/>
              <w:bottom w:val="nil"/>
              <w:right w:val="nil"/>
            </w:tcBorders>
            <w:noWrap/>
            <w:hideMark/>
          </w:tcPr>
          <w:p w14:paraId="650C3D00"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4,419.8</w:t>
            </w:r>
          </w:p>
        </w:tc>
        <w:tc>
          <w:tcPr>
            <w:tcW w:w="1575" w:type="dxa"/>
            <w:tcBorders>
              <w:top w:val="nil"/>
              <w:left w:val="nil"/>
              <w:bottom w:val="nil"/>
              <w:right w:val="nil"/>
            </w:tcBorders>
            <w:noWrap/>
            <w:hideMark/>
          </w:tcPr>
          <w:p w14:paraId="218D25DF"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16.1 (15.0, 17.3)</w:t>
            </w:r>
          </w:p>
        </w:tc>
        <w:tc>
          <w:tcPr>
            <w:tcW w:w="1576" w:type="dxa"/>
            <w:tcBorders>
              <w:top w:val="nil"/>
              <w:left w:val="nil"/>
              <w:bottom w:val="nil"/>
              <w:right w:val="nil"/>
            </w:tcBorders>
            <w:noWrap/>
            <w:hideMark/>
          </w:tcPr>
          <w:p w14:paraId="3EF2975B"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13.0 (11.8, 14.4)</w:t>
            </w:r>
          </w:p>
        </w:tc>
        <w:tc>
          <w:tcPr>
            <w:tcW w:w="1576" w:type="dxa"/>
            <w:tcBorders>
              <w:top w:val="nil"/>
              <w:left w:val="nil"/>
              <w:bottom w:val="nil"/>
              <w:right w:val="nil"/>
            </w:tcBorders>
            <w:noWrap/>
            <w:hideMark/>
          </w:tcPr>
          <w:p w14:paraId="7BA55280"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1.08 (0.94, 1.24)</w:t>
            </w:r>
          </w:p>
        </w:tc>
        <w:tc>
          <w:tcPr>
            <w:tcW w:w="1576" w:type="dxa"/>
            <w:tcBorders>
              <w:top w:val="nil"/>
              <w:left w:val="nil"/>
              <w:bottom w:val="nil"/>
              <w:right w:val="nil"/>
            </w:tcBorders>
            <w:noWrap/>
            <w:hideMark/>
          </w:tcPr>
          <w:p w14:paraId="105AED8B"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1.10 (0.86, 1.42)</w:t>
            </w:r>
          </w:p>
        </w:tc>
      </w:tr>
      <w:tr w:rsidR="00D250E5" w:rsidRPr="00737A30" w14:paraId="4053941B" w14:textId="77777777" w:rsidTr="002D2677">
        <w:trPr>
          <w:trHeight w:val="23"/>
        </w:trPr>
        <w:tc>
          <w:tcPr>
            <w:tcW w:w="4253" w:type="dxa"/>
            <w:tcBorders>
              <w:top w:val="nil"/>
              <w:left w:val="nil"/>
              <w:bottom w:val="nil"/>
              <w:right w:val="nil"/>
            </w:tcBorders>
            <w:noWrap/>
          </w:tcPr>
          <w:p w14:paraId="3A34D43C"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Moderate or severe COPD exacerbation</w:t>
            </w:r>
          </w:p>
        </w:tc>
        <w:tc>
          <w:tcPr>
            <w:tcW w:w="992" w:type="dxa"/>
            <w:tcBorders>
              <w:top w:val="nil"/>
              <w:left w:val="nil"/>
              <w:bottom w:val="nil"/>
              <w:right w:val="nil"/>
            </w:tcBorders>
            <w:noWrap/>
            <w:hideMark/>
          </w:tcPr>
          <w:p w14:paraId="17BEDCB0"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92" w:type="dxa"/>
            <w:tcBorders>
              <w:top w:val="nil"/>
              <w:left w:val="nil"/>
              <w:bottom w:val="nil"/>
              <w:right w:val="nil"/>
            </w:tcBorders>
            <w:noWrap/>
            <w:hideMark/>
          </w:tcPr>
          <w:p w14:paraId="10250C14"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418" w:type="dxa"/>
            <w:tcBorders>
              <w:top w:val="nil"/>
              <w:left w:val="nil"/>
              <w:bottom w:val="nil"/>
              <w:right w:val="nil"/>
            </w:tcBorders>
            <w:noWrap/>
            <w:hideMark/>
          </w:tcPr>
          <w:p w14:paraId="784D2152"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575" w:type="dxa"/>
            <w:tcBorders>
              <w:top w:val="nil"/>
              <w:left w:val="nil"/>
              <w:bottom w:val="nil"/>
              <w:right w:val="nil"/>
            </w:tcBorders>
            <w:noWrap/>
            <w:hideMark/>
          </w:tcPr>
          <w:p w14:paraId="4204409F"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382FFB17"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23C06757"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c>
          <w:tcPr>
            <w:tcW w:w="1576" w:type="dxa"/>
            <w:tcBorders>
              <w:top w:val="nil"/>
              <w:left w:val="nil"/>
              <w:bottom w:val="nil"/>
              <w:right w:val="nil"/>
            </w:tcBorders>
            <w:noWrap/>
            <w:hideMark/>
          </w:tcPr>
          <w:p w14:paraId="2749411C" w14:textId="77777777" w:rsidR="00D250E5" w:rsidRPr="00495D42" w:rsidRDefault="00D250E5" w:rsidP="002D2677">
            <w:pPr>
              <w:widowControl/>
              <w:spacing w:before="0" w:beforeAutospacing="0" w:after="0" w:afterAutospacing="0" w:line="276" w:lineRule="auto"/>
              <w:rPr>
                <w:rFonts w:eastAsia="Times New Roman" w:cs="Arial"/>
                <w:sz w:val="18"/>
                <w:szCs w:val="18"/>
                <w:lang w:eastAsia="ja-JP"/>
              </w:rPr>
            </w:pPr>
          </w:p>
        </w:tc>
      </w:tr>
      <w:tr w:rsidR="00D250E5" w:rsidRPr="00737A30" w14:paraId="6278DA72" w14:textId="77777777" w:rsidTr="002D2677">
        <w:trPr>
          <w:trHeight w:val="23"/>
        </w:trPr>
        <w:tc>
          <w:tcPr>
            <w:tcW w:w="4253" w:type="dxa"/>
            <w:tcBorders>
              <w:top w:val="nil"/>
              <w:left w:val="nil"/>
              <w:bottom w:val="nil"/>
              <w:right w:val="nil"/>
            </w:tcBorders>
            <w:noWrap/>
          </w:tcPr>
          <w:p w14:paraId="6165ADD8"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Type 2 inflammation status: Low</w:t>
            </w:r>
          </w:p>
        </w:tc>
        <w:tc>
          <w:tcPr>
            <w:tcW w:w="992" w:type="dxa"/>
            <w:tcBorders>
              <w:top w:val="nil"/>
              <w:left w:val="nil"/>
              <w:bottom w:val="nil"/>
              <w:right w:val="nil"/>
            </w:tcBorders>
            <w:noWrap/>
            <w:hideMark/>
          </w:tcPr>
          <w:p w14:paraId="14CB0FBD"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587</w:t>
            </w:r>
          </w:p>
        </w:tc>
        <w:tc>
          <w:tcPr>
            <w:tcW w:w="992" w:type="dxa"/>
            <w:tcBorders>
              <w:top w:val="nil"/>
              <w:left w:val="nil"/>
              <w:bottom w:val="nil"/>
              <w:right w:val="nil"/>
            </w:tcBorders>
            <w:noWrap/>
            <w:hideMark/>
          </w:tcPr>
          <w:p w14:paraId="4D277816"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708</w:t>
            </w:r>
          </w:p>
        </w:tc>
        <w:tc>
          <w:tcPr>
            <w:tcW w:w="1418" w:type="dxa"/>
            <w:tcBorders>
              <w:top w:val="nil"/>
              <w:left w:val="nil"/>
              <w:bottom w:val="nil"/>
              <w:right w:val="nil"/>
            </w:tcBorders>
            <w:noWrap/>
            <w:hideMark/>
          </w:tcPr>
          <w:p w14:paraId="7E36C732"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1,415.4</w:t>
            </w:r>
          </w:p>
        </w:tc>
        <w:tc>
          <w:tcPr>
            <w:tcW w:w="1575" w:type="dxa"/>
            <w:tcBorders>
              <w:top w:val="nil"/>
              <w:left w:val="nil"/>
              <w:bottom w:val="nil"/>
              <w:right w:val="nil"/>
            </w:tcBorders>
            <w:noWrap/>
            <w:hideMark/>
          </w:tcPr>
          <w:p w14:paraId="1684B5E3"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50.0 (46.4, 53.8)</w:t>
            </w:r>
          </w:p>
        </w:tc>
        <w:tc>
          <w:tcPr>
            <w:tcW w:w="1576" w:type="dxa"/>
            <w:tcBorders>
              <w:top w:val="nil"/>
              <w:left w:val="nil"/>
              <w:bottom w:val="nil"/>
              <w:right w:val="nil"/>
            </w:tcBorders>
            <w:noWrap/>
            <w:hideMark/>
          </w:tcPr>
          <w:p w14:paraId="7C428E84"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50.5 (44.2, 57.6)</w:t>
            </w:r>
          </w:p>
        </w:tc>
        <w:tc>
          <w:tcPr>
            <w:tcW w:w="1576" w:type="dxa"/>
            <w:tcBorders>
              <w:top w:val="nil"/>
              <w:left w:val="nil"/>
              <w:bottom w:val="nil"/>
              <w:right w:val="nil"/>
            </w:tcBorders>
            <w:noWrap/>
            <w:hideMark/>
          </w:tcPr>
          <w:p w14:paraId="206261FB"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0.88 (0.76, 1.02)</w:t>
            </w:r>
          </w:p>
        </w:tc>
        <w:tc>
          <w:tcPr>
            <w:tcW w:w="1576" w:type="dxa"/>
            <w:tcBorders>
              <w:top w:val="nil"/>
              <w:left w:val="nil"/>
              <w:bottom w:val="nil"/>
              <w:right w:val="nil"/>
            </w:tcBorders>
            <w:noWrap/>
            <w:hideMark/>
          </w:tcPr>
          <w:p w14:paraId="79558FC1"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Ref</w:t>
            </w:r>
          </w:p>
        </w:tc>
      </w:tr>
      <w:tr w:rsidR="00D250E5" w:rsidRPr="00737A30" w14:paraId="3BE157EC" w14:textId="77777777" w:rsidTr="002D2677">
        <w:trPr>
          <w:trHeight w:val="23"/>
        </w:trPr>
        <w:tc>
          <w:tcPr>
            <w:tcW w:w="4253" w:type="dxa"/>
            <w:tcBorders>
              <w:top w:val="nil"/>
              <w:left w:val="nil"/>
              <w:bottom w:val="nil"/>
              <w:right w:val="nil"/>
            </w:tcBorders>
            <w:noWrap/>
          </w:tcPr>
          <w:p w14:paraId="516120A7"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Type 2 inflammation status: Intermediate</w:t>
            </w:r>
          </w:p>
        </w:tc>
        <w:tc>
          <w:tcPr>
            <w:tcW w:w="992" w:type="dxa"/>
            <w:tcBorders>
              <w:top w:val="nil"/>
              <w:left w:val="nil"/>
              <w:bottom w:val="nil"/>
              <w:right w:val="nil"/>
            </w:tcBorders>
            <w:noWrap/>
            <w:hideMark/>
          </w:tcPr>
          <w:p w14:paraId="162E8D53"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2,160</w:t>
            </w:r>
          </w:p>
        </w:tc>
        <w:tc>
          <w:tcPr>
            <w:tcW w:w="992" w:type="dxa"/>
            <w:tcBorders>
              <w:top w:val="nil"/>
              <w:left w:val="nil"/>
              <w:bottom w:val="nil"/>
              <w:right w:val="nil"/>
            </w:tcBorders>
            <w:noWrap/>
            <w:hideMark/>
          </w:tcPr>
          <w:p w14:paraId="12F056C9"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3,173</w:t>
            </w:r>
          </w:p>
        </w:tc>
        <w:tc>
          <w:tcPr>
            <w:tcW w:w="1418" w:type="dxa"/>
            <w:tcBorders>
              <w:top w:val="nil"/>
              <w:left w:val="nil"/>
              <w:bottom w:val="nil"/>
              <w:right w:val="nil"/>
            </w:tcBorders>
            <w:noWrap/>
            <w:hideMark/>
          </w:tcPr>
          <w:p w14:paraId="293E2840"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5,328.4</w:t>
            </w:r>
          </w:p>
        </w:tc>
        <w:tc>
          <w:tcPr>
            <w:tcW w:w="1575" w:type="dxa"/>
            <w:tcBorders>
              <w:top w:val="nil"/>
              <w:left w:val="nil"/>
              <w:bottom w:val="nil"/>
              <w:right w:val="nil"/>
            </w:tcBorders>
            <w:noWrap/>
            <w:hideMark/>
          </w:tcPr>
          <w:p w14:paraId="509AE0D0"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59.6 (57.5, 61.7)</w:t>
            </w:r>
          </w:p>
        </w:tc>
        <w:tc>
          <w:tcPr>
            <w:tcW w:w="1576" w:type="dxa"/>
            <w:tcBorders>
              <w:top w:val="nil"/>
              <w:left w:val="nil"/>
              <w:bottom w:val="nil"/>
              <w:right w:val="nil"/>
            </w:tcBorders>
            <w:noWrap/>
            <w:hideMark/>
          </w:tcPr>
          <w:p w14:paraId="60AF62ED"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57.5 (54.0, 61.3)</w:t>
            </w:r>
          </w:p>
        </w:tc>
        <w:tc>
          <w:tcPr>
            <w:tcW w:w="1576" w:type="dxa"/>
            <w:tcBorders>
              <w:top w:val="nil"/>
              <w:left w:val="nil"/>
              <w:bottom w:val="nil"/>
              <w:right w:val="nil"/>
            </w:tcBorders>
            <w:noWrap/>
            <w:hideMark/>
          </w:tcPr>
          <w:p w14:paraId="4373165C"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Ref</w:t>
            </w:r>
          </w:p>
        </w:tc>
        <w:tc>
          <w:tcPr>
            <w:tcW w:w="1576" w:type="dxa"/>
            <w:tcBorders>
              <w:top w:val="nil"/>
              <w:left w:val="nil"/>
              <w:bottom w:val="nil"/>
              <w:right w:val="nil"/>
            </w:tcBorders>
            <w:noWrap/>
            <w:hideMark/>
          </w:tcPr>
          <w:p w14:paraId="312D8F5B"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w:t>
            </w:r>
          </w:p>
        </w:tc>
      </w:tr>
      <w:tr w:rsidR="00D250E5" w:rsidRPr="00737A30" w14:paraId="6ADD9041" w14:textId="77777777" w:rsidTr="002D2677">
        <w:trPr>
          <w:trHeight w:val="23"/>
        </w:trPr>
        <w:tc>
          <w:tcPr>
            <w:tcW w:w="4253" w:type="dxa"/>
            <w:tcBorders>
              <w:top w:val="nil"/>
              <w:left w:val="nil"/>
              <w:bottom w:val="single" w:sz="4" w:space="0" w:color="auto"/>
              <w:right w:val="nil"/>
            </w:tcBorders>
            <w:noWrap/>
          </w:tcPr>
          <w:p w14:paraId="4EF6C59C"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Type 2 inflammation status: High</w:t>
            </w:r>
          </w:p>
        </w:tc>
        <w:tc>
          <w:tcPr>
            <w:tcW w:w="992" w:type="dxa"/>
            <w:tcBorders>
              <w:top w:val="nil"/>
              <w:left w:val="nil"/>
              <w:bottom w:val="single" w:sz="4" w:space="0" w:color="auto"/>
              <w:right w:val="nil"/>
            </w:tcBorders>
            <w:noWrap/>
            <w:hideMark/>
          </w:tcPr>
          <w:p w14:paraId="6C07D972"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1,806</w:t>
            </w:r>
          </w:p>
        </w:tc>
        <w:tc>
          <w:tcPr>
            <w:tcW w:w="992" w:type="dxa"/>
            <w:tcBorders>
              <w:top w:val="nil"/>
              <w:left w:val="nil"/>
              <w:bottom w:val="single" w:sz="4" w:space="0" w:color="auto"/>
              <w:right w:val="nil"/>
            </w:tcBorders>
            <w:noWrap/>
            <w:hideMark/>
          </w:tcPr>
          <w:p w14:paraId="042DDA36"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3,054</w:t>
            </w:r>
          </w:p>
        </w:tc>
        <w:tc>
          <w:tcPr>
            <w:tcW w:w="1418" w:type="dxa"/>
            <w:tcBorders>
              <w:top w:val="nil"/>
              <w:left w:val="nil"/>
              <w:bottom w:val="single" w:sz="4" w:space="0" w:color="auto"/>
              <w:right w:val="nil"/>
            </w:tcBorders>
            <w:noWrap/>
            <w:hideMark/>
          </w:tcPr>
          <w:p w14:paraId="6E18FD64"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4,419.8</w:t>
            </w:r>
          </w:p>
        </w:tc>
        <w:tc>
          <w:tcPr>
            <w:tcW w:w="1575" w:type="dxa"/>
            <w:tcBorders>
              <w:top w:val="nil"/>
              <w:left w:val="nil"/>
              <w:bottom w:val="single" w:sz="4" w:space="0" w:color="auto"/>
              <w:right w:val="nil"/>
            </w:tcBorders>
            <w:noWrap/>
            <w:hideMark/>
          </w:tcPr>
          <w:p w14:paraId="4FBDD2DF"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69.1 (66.7, 71.6)</w:t>
            </w:r>
          </w:p>
        </w:tc>
        <w:tc>
          <w:tcPr>
            <w:tcW w:w="1576" w:type="dxa"/>
            <w:tcBorders>
              <w:top w:val="nil"/>
              <w:left w:val="nil"/>
              <w:bottom w:val="single" w:sz="4" w:space="0" w:color="auto"/>
              <w:right w:val="nil"/>
            </w:tcBorders>
            <w:noWrap/>
            <w:hideMark/>
          </w:tcPr>
          <w:p w14:paraId="404FA46E"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63.9 (59.6, 68.4)</w:t>
            </w:r>
          </w:p>
        </w:tc>
        <w:tc>
          <w:tcPr>
            <w:tcW w:w="1576" w:type="dxa"/>
            <w:tcBorders>
              <w:top w:val="nil"/>
              <w:left w:val="nil"/>
              <w:bottom w:val="single" w:sz="4" w:space="0" w:color="auto"/>
              <w:right w:val="nil"/>
            </w:tcBorders>
            <w:noWrap/>
            <w:hideMark/>
          </w:tcPr>
          <w:p w14:paraId="4A63ED9F"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1.11 (1.01, 1.22)</w:t>
            </w:r>
          </w:p>
        </w:tc>
        <w:tc>
          <w:tcPr>
            <w:tcW w:w="1576" w:type="dxa"/>
            <w:tcBorders>
              <w:top w:val="nil"/>
              <w:left w:val="nil"/>
              <w:bottom w:val="single" w:sz="4" w:space="0" w:color="auto"/>
              <w:right w:val="nil"/>
            </w:tcBorders>
            <w:noWrap/>
            <w:hideMark/>
          </w:tcPr>
          <w:p w14:paraId="769FC88C"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1.27 (1.06, 1.51)</w:t>
            </w:r>
          </w:p>
        </w:tc>
      </w:tr>
    </w:tbl>
    <w:p w14:paraId="193698D3" w14:textId="77777777" w:rsidR="00B42E19" w:rsidRDefault="00D250E5" w:rsidP="00B42E19">
      <w:pPr>
        <w:spacing w:before="0" w:beforeAutospacing="0" w:after="0" w:afterAutospacing="0" w:line="276" w:lineRule="auto"/>
        <w:rPr>
          <w:rFonts w:cs="Arial"/>
          <w:sz w:val="18"/>
          <w:szCs w:val="18"/>
        </w:rPr>
      </w:pPr>
      <w:r w:rsidRPr="00737A30">
        <w:rPr>
          <w:rFonts w:eastAsia="Yu Gothic" w:cs="Arial"/>
          <w:b/>
          <w:bCs/>
          <w:color w:val="000000"/>
          <w:sz w:val="18"/>
          <w:szCs w:val="18"/>
          <w:vertAlign w:val="superscript"/>
          <w:lang w:eastAsia="ja-JP"/>
        </w:rPr>
        <w:t>a</w:t>
      </w:r>
      <w:r w:rsidRPr="00737A30">
        <w:rPr>
          <w:rFonts w:cs="Arial"/>
          <w:sz w:val="18"/>
          <w:szCs w:val="18"/>
        </w:rPr>
        <w:t xml:space="preserve"> Per 100 patient-years.</w:t>
      </w:r>
    </w:p>
    <w:p w14:paraId="392291F5" w14:textId="4C19EA19" w:rsidR="00D250E5" w:rsidRPr="00737A30" w:rsidRDefault="00D250E5" w:rsidP="00B42E19">
      <w:pPr>
        <w:spacing w:before="0" w:beforeAutospacing="0" w:after="0" w:afterAutospacing="0" w:line="276" w:lineRule="auto"/>
      </w:pPr>
      <w:r w:rsidRPr="002D2677">
        <w:rPr>
          <w:rFonts w:cs="Arial"/>
          <w:b/>
          <w:bCs/>
          <w:sz w:val="18"/>
          <w:szCs w:val="18"/>
        </w:rPr>
        <w:t>Abbreviations:</w:t>
      </w:r>
      <w:r>
        <w:rPr>
          <w:rFonts w:cs="Arial"/>
          <w:sz w:val="18"/>
          <w:szCs w:val="18"/>
        </w:rPr>
        <w:t xml:space="preserve"> </w:t>
      </w:r>
      <w:r w:rsidRPr="00737A30">
        <w:rPr>
          <w:rFonts w:cs="Arial"/>
          <w:sz w:val="18"/>
          <w:szCs w:val="18"/>
        </w:rPr>
        <w:t>CI, confidence interval; COPD, chronic obstructive pulmonary disease; Ref, reference.</w:t>
      </w:r>
    </w:p>
    <w:p w14:paraId="7E4627E3" w14:textId="77777777" w:rsidR="00D250E5" w:rsidRPr="00737A30" w:rsidRDefault="00D250E5" w:rsidP="00D250E5">
      <w:pPr>
        <w:pStyle w:val="Heading3"/>
        <w:rPr>
          <w:rFonts w:cs="Arial"/>
          <w:sz w:val="18"/>
          <w:szCs w:val="18"/>
          <w:lang w:eastAsia="ja-JP"/>
        </w:rPr>
        <w:sectPr w:rsidR="00D250E5" w:rsidRPr="00737A30" w:rsidSect="00D250E5">
          <w:endnotePr>
            <w:numFmt w:val="decimal"/>
          </w:endnotePr>
          <w:pgSz w:w="16840" w:h="11907" w:orient="landscape" w:code="9"/>
          <w:pgMar w:top="1701" w:right="1440" w:bottom="1701" w:left="1440" w:header="567" w:footer="567" w:gutter="0"/>
          <w:cols w:space="720"/>
          <w:docGrid w:linePitch="299"/>
        </w:sectPr>
      </w:pPr>
    </w:p>
    <w:p w14:paraId="7C346193" w14:textId="37E28778" w:rsidR="00D250E5" w:rsidRPr="00333832" w:rsidRDefault="00D250E5" w:rsidP="00333832">
      <w:pPr>
        <w:pStyle w:val="Heading3"/>
        <w:rPr>
          <w:b/>
          <w:bCs/>
          <w:color w:val="000000" w:themeColor="text1"/>
          <w:sz w:val="20"/>
          <w:szCs w:val="20"/>
          <w:lang w:eastAsia="ja-JP"/>
        </w:rPr>
      </w:pPr>
      <w:r w:rsidRPr="00D250E5">
        <w:rPr>
          <w:b/>
          <w:bCs/>
          <w:color w:val="000000" w:themeColor="text1"/>
          <w:sz w:val="20"/>
          <w:szCs w:val="20"/>
          <w:lang w:eastAsia="ja-JP"/>
        </w:rPr>
        <w:lastRenderedPageBreak/>
        <w:t xml:space="preserve">Supplementary Table </w:t>
      </w:r>
      <w:r w:rsidR="00E70A5E">
        <w:rPr>
          <w:b/>
          <w:bCs/>
          <w:color w:val="000000" w:themeColor="text1"/>
          <w:sz w:val="20"/>
          <w:szCs w:val="20"/>
          <w:lang w:eastAsia="ja-JP"/>
        </w:rPr>
        <w:t>8</w:t>
      </w:r>
      <w:r w:rsidRPr="00737A30">
        <w:rPr>
          <w:lang w:eastAsia="ja-JP"/>
        </w:rPr>
        <w:t xml:space="preserve"> </w:t>
      </w:r>
      <w:r w:rsidRPr="00333832">
        <w:rPr>
          <w:b/>
          <w:bCs/>
          <w:color w:val="000000" w:themeColor="text1"/>
          <w:sz w:val="20"/>
          <w:szCs w:val="20"/>
          <w:lang w:eastAsia="ja-JP"/>
        </w:rPr>
        <w:t>Incidence rates and rate ratios for MACE by type 2 inflammation status</w:t>
      </w:r>
    </w:p>
    <w:tbl>
      <w:tblPr>
        <w:tblW w:w="0" w:type="auto"/>
        <w:tblInd w:w="-49" w:type="dxa"/>
        <w:tblLayout w:type="fixed"/>
        <w:tblCellMar>
          <w:left w:w="99" w:type="dxa"/>
          <w:right w:w="99" w:type="dxa"/>
        </w:tblCellMar>
        <w:tblLook w:val="04A0" w:firstRow="1" w:lastRow="0" w:firstColumn="1" w:lastColumn="0" w:noHBand="0" w:noVBand="1"/>
      </w:tblPr>
      <w:tblGrid>
        <w:gridCol w:w="4302"/>
        <w:gridCol w:w="992"/>
        <w:gridCol w:w="992"/>
        <w:gridCol w:w="1418"/>
        <w:gridCol w:w="1575"/>
        <w:gridCol w:w="1576"/>
        <w:gridCol w:w="1576"/>
        <w:gridCol w:w="1576"/>
      </w:tblGrid>
      <w:tr w:rsidR="00D250E5" w:rsidRPr="00737A30" w14:paraId="453A12F9" w14:textId="77777777" w:rsidTr="002D2677">
        <w:trPr>
          <w:trHeight w:val="23"/>
        </w:trPr>
        <w:tc>
          <w:tcPr>
            <w:tcW w:w="4302" w:type="dxa"/>
            <w:tcBorders>
              <w:top w:val="single" w:sz="4" w:space="0" w:color="auto"/>
              <w:left w:val="nil"/>
              <w:bottom w:val="single" w:sz="4" w:space="0" w:color="auto"/>
              <w:right w:val="nil"/>
            </w:tcBorders>
            <w:noWrap/>
          </w:tcPr>
          <w:p w14:paraId="00904548"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p>
        </w:tc>
        <w:tc>
          <w:tcPr>
            <w:tcW w:w="992" w:type="dxa"/>
            <w:tcBorders>
              <w:top w:val="single" w:sz="4" w:space="0" w:color="auto"/>
              <w:left w:val="nil"/>
              <w:bottom w:val="single" w:sz="4" w:space="0" w:color="auto"/>
              <w:right w:val="nil"/>
            </w:tcBorders>
            <w:noWrap/>
            <w:hideMark/>
          </w:tcPr>
          <w:p w14:paraId="39BE9ED1"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Patients, n</w:t>
            </w:r>
          </w:p>
        </w:tc>
        <w:tc>
          <w:tcPr>
            <w:tcW w:w="992" w:type="dxa"/>
            <w:tcBorders>
              <w:top w:val="single" w:sz="4" w:space="0" w:color="auto"/>
              <w:left w:val="nil"/>
              <w:bottom w:val="single" w:sz="4" w:space="0" w:color="auto"/>
              <w:right w:val="nil"/>
            </w:tcBorders>
            <w:noWrap/>
            <w:hideMark/>
          </w:tcPr>
          <w:p w14:paraId="60DF9297"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Events, n</w:t>
            </w:r>
          </w:p>
        </w:tc>
        <w:tc>
          <w:tcPr>
            <w:tcW w:w="1418" w:type="dxa"/>
            <w:tcBorders>
              <w:top w:val="single" w:sz="4" w:space="0" w:color="auto"/>
              <w:left w:val="nil"/>
              <w:bottom w:val="single" w:sz="4" w:space="0" w:color="auto"/>
              <w:right w:val="nil"/>
            </w:tcBorders>
            <w:hideMark/>
          </w:tcPr>
          <w:p w14:paraId="7C0787EA"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Follow-up, patient-years</w:t>
            </w:r>
          </w:p>
        </w:tc>
        <w:tc>
          <w:tcPr>
            <w:tcW w:w="1575" w:type="dxa"/>
            <w:tcBorders>
              <w:top w:val="single" w:sz="4" w:space="0" w:color="auto"/>
              <w:left w:val="nil"/>
              <w:bottom w:val="single" w:sz="4" w:space="0" w:color="auto"/>
              <w:right w:val="nil"/>
            </w:tcBorders>
            <w:noWrap/>
            <w:hideMark/>
          </w:tcPr>
          <w:p w14:paraId="47F60CC6"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Crude incidence</w:t>
            </w:r>
            <w:r w:rsidRPr="00495D42">
              <w:rPr>
                <w:rFonts w:eastAsia="Yu Gothic" w:cs="Arial"/>
                <w:color w:val="000000"/>
                <w:sz w:val="18"/>
                <w:szCs w:val="18"/>
                <w:lang w:eastAsia="ja-JP"/>
              </w:rPr>
              <w:br/>
              <w:t>(95% CI)</w:t>
            </w:r>
            <w:r w:rsidRPr="00495D42">
              <w:rPr>
                <w:rFonts w:eastAsia="Yu Gothic" w:cs="Arial"/>
                <w:color w:val="000000"/>
                <w:sz w:val="18"/>
                <w:szCs w:val="18"/>
                <w:vertAlign w:val="superscript"/>
                <w:lang w:eastAsia="ja-JP"/>
              </w:rPr>
              <w:t>a</w:t>
            </w:r>
          </w:p>
        </w:tc>
        <w:tc>
          <w:tcPr>
            <w:tcW w:w="1576" w:type="dxa"/>
            <w:tcBorders>
              <w:top w:val="single" w:sz="4" w:space="0" w:color="auto"/>
              <w:left w:val="nil"/>
              <w:bottom w:val="single" w:sz="4" w:space="0" w:color="auto"/>
              <w:right w:val="nil"/>
            </w:tcBorders>
            <w:noWrap/>
            <w:hideMark/>
          </w:tcPr>
          <w:p w14:paraId="4554F001"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Adjusted incidence</w:t>
            </w:r>
            <w:r w:rsidRPr="00495D42">
              <w:rPr>
                <w:rFonts w:eastAsia="Yu Gothic" w:cs="Arial"/>
                <w:color w:val="000000"/>
                <w:sz w:val="18"/>
                <w:szCs w:val="18"/>
                <w:vertAlign w:val="superscript"/>
                <w:lang w:eastAsia="ja-JP"/>
              </w:rPr>
              <w:br/>
            </w:r>
            <w:r w:rsidRPr="00495D42">
              <w:rPr>
                <w:rFonts w:eastAsia="Yu Gothic" w:cs="Arial"/>
                <w:color w:val="000000"/>
                <w:sz w:val="18"/>
                <w:szCs w:val="18"/>
                <w:lang w:eastAsia="ja-JP"/>
              </w:rPr>
              <w:t>(95% CI)</w:t>
            </w:r>
            <w:r w:rsidRPr="00495D42">
              <w:rPr>
                <w:rFonts w:eastAsia="Yu Gothic" w:cs="Arial"/>
                <w:color w:val="000000"/>
                <w:sz w:val="18"/>
                <w:szCs w:val="18"/>
                <w:vertAlign w:val="superscript"/>
                <w:lang w:eastAsia="ja-JP"/>
              </w:rPr>
              <w:t>a</w:t>
            </w:r>
          </w:p>
        </w:tc>
        <w:tc>
          <w:tcPr>
            <w:tcW w:w="1576" w:type="dxa"/>
            <w:tcBorders>
              <w:top w:val="single" w:sz="4" w:space="0" w:color="auto"/>
              <w:left w:val="nil"/>
              <w:bottom w:val="single" w:sz="4" w:space="0" w:color="auto"/>
              <w:right w:val="nil"/>
            </w:tcBorders>
            <w:noWrap/>
            <w:hideMark/>
          </w:tcPr>
          <w:p w14:paraId="66883BAA"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Rate ratio vs Intermediate</w:t>
            </w:r>
            <w:r w:rsidRPr="00495D42">
              <w:rPr>
                <w:rFonts w:eastAsia="Yu Gothic" w:cs="Arial"/>
                <w:color w:val="000000"/>
                <w:sz w:val="18"/>
                <w:szCs w:val="18"/>
                <w:vertAlign w:val="superscript"/>
                <w:lang w:eastAsia="ja-JP"/>
              </w:rPr>
              <w:br/>
            </w:r>
            <w:r w:rsidRPr="00495D42">
              <w:rPr>
                <w:rFonts w:eastAsia="Yu Gothic" w:cs="Arial"/>
                <w:color w:val="000000"/>
                <w:sz w:val="18"/>
                <w:szCs w:val="18"/>
                <w:lang w:eastAsia="ja-JP"/>
              </w:rPr>
              <w:t>(95% CI)</w:t>
            </w:r>
          </w:p>
        </w:tc>
        <w:tc>
          <w:tcPr>
            <w:tcW w:w="1576" w:type="dxa"/>
            <w:tcBorders>
              <w:top w:val="single" w:sz="4" w:space="0" w:color="auto"/>
              <w:left w:val="nil"/>
              <w:bottom w:val="single" w:sz="4" w:space="0" w:color="auto"/>
              <w:right w:val="nil"/>
            </w:tcBorders>
            <w:hideMark/>
          </w:tcPr>
          <w:p w14:paraId="1365D8C7"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Rate ratio</w:t>
            </w:r>
            <w:r w:rsidRPr="00495D42">
              <w:rPr>
                <w:rFonts w:eastAsia="Yu Gothic" w:cs="Arial"/>
                <w:color w:val="000000"/>
                <w:sz w:val="18"/>
                <w:szCs w:val="18"/>
                <w:lang w:eastAsia="ja-JP"/>
              </w:rPr>
              <w:br/>
              <w:t>(95% CI)</w:t>
            </w:r>
            <w:r w:rsidRPr="00495D42">
              <w:rPr>
                <w:rFonts w:eastAsia="Yu Gothic" w:cs="Arial"/>
                <w:color w:val="000000"/>
                <w:sz w:val="18"/>
                <w:szCs w:val="18"/>
                <w:lang w:eastAsia="ja-JP"/>
              </w:rPr>
              <w:br/>
              <w:t>(High vs low)</w:t>
            </w:r>
          </w:p>
        </w:tc>
      </w:tr>
      <w:tr w:rsidR="00D250E5" w:rsidRPr="00737A30" w14:paraId="26512048" w14:textId="77777777" w:rsidTr="002D2677">
        <w:trPr>
          <w:trHeight w:val="23"/>
        </w:trPr>
        <w:tc>
          <w:tcPr>
            <w:tcW w:w="4302" w:type="dxa"/>
            <w:tcBorders>
              <w:top w:val="single" w:sz="4" w:space="0" w:color="auto"/>
              <w:left w:val="nil"/>
              <w:bottom w:val="nil"/>
              <w:right w:val="nil"/>
            </w:tcBorders>
            <w:noWrap/>
            <w:hideMark/>
          </w:tcPr>
          <w:p w14:paraId="5FF6BBA3"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Type 2 inflammation status: Low</w:t>
            </w:r>
          </w:p>
        </w:tc>
        <w:tc>
          <w:tcPr>
            <w:tcW w:w="992" w:type="dxa"/>
            <w:tcBorders>
              <w:top w:val="single" w:sz="4" w:space="0" w:color="auto"/>
              <w:left w:val="nil"/>
              <w:bottom w:val="nil"/>
              <w:right w:val="nil"/>
            </w:tcBorders>
            <w:noWrap/>
          </w:tcPr>
          <w:p w14:paraId="17894C9C"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1,423</w:t>
            </w:r>
          </w:p>
        </w:tc>
        <w:tc>
          <w:tcPr>
            <w:tcW w:w="992" w:type="dxa"/>
            <w:tcBorders>
              <w:top w:val="single" w:sz="4" w:space="0" w:color="auto"/>
              <w:left w:val="nil"/>
              <w:bottom w:val="nil"/>
              <w:right w:val="nil"/>
            </w:tcBorders>
            <w:noWrap/>
          </w:tcPr>
          <w:p w14:paraId="094CC1D6"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100</w:t>
            </w:r>
          </w:p>
        </w:tc>
        <w:tc>
          <w:tcPr>
            <w:tcW w:w="1418" w:type="dxa"/>
            <w:tcBorders>
              <w:top w:val="single" w:sz="4" w:space="0" w:color="auto"/>
              <w:left w:val="nil"/>
              <w:bottom w:val="nil"/>
              <w:right w:val="nil"/>
            </w:tcBorders>
            <w:noWrap/>
          </w:tcPr>
          <w:p w14:paraId="60B4D4F4"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3,402.1</w:t>
            </w:r>
          </w:p>
        </w:tc>
        <w:tc>
          <w:tcPr>
            <w:tcW w:w="1575" w:type="dxa"/>
            <w:tcBorders>
              <w:top w:val="single" w:sz="4" w:space="0" w:color="auto"/>
              <w:left w:val="nil"/>
              <w:bottom w:val="nil"/>
              <w:right w:val="nil"/>
            </w:tcBorders>
            <w:noWrap/>
          </w:tcPr>
          <w:p w14:paraId="145A86E9"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sz w:val="18"/>
                <w:szCs w:val="18"/>
              </w:rPr>
              <w:t>2.9 (2.4, 3.6)</w:t>
            </w:r>
          </w:p>
        </w:tc>
        <w:tc>
          <w:tcPr>
            <w:tcW w:w="1576" w:type="dxa"/>
            <w:tcBorders>
              <w:top w:val="single" w:sz="4" w:space="0" w:color="auto"/>
              <w:left w:val="nil"/>
              <w:bottom w:val="nil"/>
              <w:right w:val="nil"/>
            </w:tcBorders>
            <w:noWrap/>
          </w:tcPr>
          <w:p w14:paraId="6FF64C31"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2.5 (1.9, 3.3)</w:t>
            </w:r>
          </w:p>
        </w:tc>
        <w:tc>
          <w:tcPr>
            <w:tcW w:w="1576" w:type="dxa"/>
            <w:tcBorders>
              <w:top w:val="single" w:sz="4" w:space="0" w:color="auto"/>
              <w:left w:val="nil"/>
              <w:bottom w:val="nil"/>
              <w:right w:val="nil"/>
            </w:tcBorders>
            <w:noWrap/>
          </w:tcPr>
          <w:p w14:paraId="56D5F2CE"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0.81 (0.60, 1.09)</w:t>
            </w:r>
          </w:p>
        </w:tc>
        <w:tc>
          <w:tcPr>
            <w:tcW w:w="1576" w:type="dxa"/>
            <w:tcBorders>
              <w:top w:val="single" w:sz="4" w:space="0" w:color="auto"/>
              <w:left w:val="nil"/>
              <w:bottom w:val="nil"/>
              <w:right w:val="nil"/>
            </w:tcBorders>
            <w:noWrap/>
          </w:tcPr>
          <w:p w14:paraId="68D09E2D"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Ref</w:t>
            </w:r>
          </w:p>
        </w:tc>
      </w:tr>
      <w:tr w:rsidR="00D250E5" w:rsidRPr="00737A30" w14:paraId="601DE0F1" w14:textId="77777777" w:rsidTr="002D2677">
        <w:trPr>
          <w:trHeight w:val="23"/>
        </w:trPr>
        <w:tc>
          <w:tcPr>
            <w:tcW w:w="4302" w:type="dxa"/>
            <w:tcBorders>
              <w:top w:val="nil"/>
              <w:left w:val="nil"/>
              <w:right w:val="nil"/>
            </w:tcBorders>
            <w:noWrap/>
            <w:hideMark/>
          </w:tcPr>
          <w:p w14:paraId="11502E45"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Type 2 inflammation status: Intermediate</w:t>
            </w:r>
          </w:p>
        </w:tc>
        <w:tc>
          <w:tcPr>
            <w:tcW w:w="992" w:type="dxa"/>
            <w:tcBorders>
              <w:top w:val="nil"/>
              <w:left w:val="nil"/>
              <w:right w:val="nil"/>
            </w:tcBorders>
            <w:noWrap/>
          </w:tcPr>
          <w:p w14:paraId="4C0BC4D0"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4,895</w:t>
            </w:r>
          </w:p>
        </w:tc>
        <w:tc>
          <w:tcPr>
            <w:tcW w:w="992" w:type="dxa"/>
            <w:tcBorders>
              <w:top w:val="nil"/>
              <w:left w:val="nil"/>
              <w:right w:val="nil"/>
            </w:tcBorders>
            <w:noWrap/>
          </w:tcPr>
          <w:p w14:paraId="7A8A3ECB"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439</w:t>
            </w:r>
          </w:p>
        </w:tc>
        <w:tc>
          <w:tcPr>
            <w:tcW w:w="1418" w:type="dxa"/>
            <w:tcBorders>
              <w:top w:val="nil"/>
              <w:left w:val="nil"/>
              <w:right w:val="nil"/>
            </w:tcBorders>
            <w:noWrap/>
          </w:tcPr>
          <w:p w14:paraId="2497ECC8"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12,068.4</w:t>
            </w:r>
          </w:p>
        </w:tc>
        <w:tc>
          <w:tcPr>
            <w:tcW w:w="1575" w:type="dxa"/>
            <w:tcBorders>
              <w:top w:val="nil"/>
              <w:left w:val="nil"/>
              <w:right w:val="nil"/>
            </w:tcBorders>
            <w:noWrap/>
          </w:tcPr>
          <w:p w14:paraId="73637205"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sz w:val="18"/>
                <w:szCs w:val="18"/>
              </w:rPr>
              <w:t>3.6 (3.3, 4.0)</w:t>
            </w:r>
          </w:p>
        </w:tc>
        <w:tc>
          <w:tcPr>
            <w:tcW w:w="1576" w:type="dxa"/>
            <w:tcBorders>
              <w:top w:val="nil"/>
              <w:left w:val="nil"/>
              <w:right w:val="nil"/>
            </w:tcBorders>
            <w:noWrap/>
          </w:tcPr>
          <w:p w14:paraId="491A20F4"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3.1 (2.7, 3.5)</w:t>
            </w:r>
          </w:p>
        </w:tc>
        <w:tc>
          <w:tcPr>
            <w:tcW w:w="1576" w:type="dxa"/>
            <w:tcBorders>
              <w:top w:val="nil"/>
              <w:left w:val="nil"/>
              <w:right w:val="nil"/>
            </w:tcBorders>
            <w:noWrap/>
          </w:tcPr>
          <w:p w14:paraId="0A6F034A"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Ref</w:t>
            </w:r>
          </w:p>
        </w:tc>
        <w:tc>
          <w:tcPr>
            <w:tcW w:w="1576" w:type="dxa"/>
            <w:tcBorders>
              <w:top w:val="nil"/>
              <w:left w:val="nil"/>
              <w:right w:val="nil"/>
            </w:tcBorders>
            <w:noWrap/>
          </w:tcPr>
          <w:p w14:paraId="5FDDEEC5"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w:t>
            </w:r>
          </w:p>
        </w:tc>
      </w:tr>
      <w:tr w:rsidR="00D250E5" w:rsidRPr="00737A30" w14:paraId="422B09FA" w14:textId="77777777" w:rsidTr="002D2677">
        <w:trPr>
          <w:trHeight w:val="23"/>
        </w:trPr>
        <w:tc>
          <w:tcPr>
            <w:tcW w:w="4302" w:type="dxa"/>
            <w:tcBorders>
              <w:top w:val="nil"/>
              <w:left w:val="nil"/>
              <w:bottom w:val="single" w:sz="4" w:space="0" w:color="auto"/>
              <w:right w:val="nil"/>
            </w:tcBorders>
            <w:noWrap/>
            <w:hideMark/>
          </w:tcPr>
          <w:p w14:paraId="754B7489"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Type 2 inflammation status: High</w:t>
            </w:r>
          </w:p>
        </w:tc>
        <w:tc>
          <w:tcPr>
            <w:tcW w:w="992" w:type="dxa"/>
            <w:tcBorders>
              <w:top w:val="nil"/>
              <w:left w:val="nil"/>
              <w:bottom w:val="single" w:sz="4" w:space="0" w:color="auto"/>
              <w:right w:val="nil"/>
            </w:tcBorders>
            <w:noWrap/>
          </w:tcPr>
          <w:p w14:paraId="6AC296B1"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4,003</w:t>
            </w:r>
          </w:p>
        </w:tc>
        <w:tc>
          <w:tcPr>
            <w:tcW w:w="992" w:type="dxa"/>
            <w:tcBorders>
              <w:top w:val="nil"/>
              <w:left w:val="nil"/>
              <w:bottom w:val="single" w:sz="4" w:space="0" w:color="auto"/>
              <w:right w:val="nil"/>
            </w:tcBorders>
            <w:noWrap/>
          </w:tcPr>
          <w:p w14:paraId="461BE5EF"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364</w:t>
            </w:r>
          </w:p>
        </w:tc>
        <w:tc>
          <w:tcPr>
            <w:tcW w:w="1418" w:type="dxa"/>
            <w:tcBorders>
              <w:top w:val="nil"/>
              <w:left w:val="nil"/>
              <w:bottom w:val="single" w:sz="4" w:space="0" w:color="auto"/>
              <w:right w:val="nil"/>
            </w:tcBorders>
            <w:noWrap/>
          </w:tcPr>
          <w:p w14:paraId="3750CF4D"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9,836.1</w:t>
            </w:r>
          </w:p>
        </w:tc>
        <w:tc>
          <w:tcPr>
            <w:tcW w:w="1575" w:type="dxa"/>
            <w:tcBorders>
              <w:top w:val="nil"/>
              <w:left w:val="nil"/>
              <w:bottom w:val="single" w:sz="4" w:space="0" w:color="auto"/>
              <w:right w:val="nil"/>
            </w:tcBorders>
            <w:noWrap/>
          </w:tcPr>
          <w:p w14:paraId="322D8FC5"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sz w:val="18"/>
                <w:szCs w:val="18"/>
              </w:rPr>
              <w:t>3.7 (3.3, 4.1)</w:t>
            </w:r>
          </w:p>
        </w:tc>
        <w:tc>
          <w:tcPr>
            <w:tcW w:w="1576" w:type="dxa"/>
            <w:tcBorders>
              <w:top w:val="nil"/>
              <w:left w:val="nil"/>
              <w:bottom w:val="single" w:sz="4" w:space="0" w:color="auto"/>
              <w:right w:val="nil"/>
            </w:tcBorders>
            <w:noWrap/>
          </w:tcPr>
          <w:p w14:paraId="18F14765"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3.3 (2.8, 3.8)</w:t>
            </w:r>
          </w:p>
        </w:tc>
        <w:tc>
          <w:tcPr>
            <w:tcW w:w="1576" w:type="dxa"/>
            <w:tcBorders>
              <w:top w:val="nil"/>
              <w:left w:val="nil"/>
              <w:bottom w:val="single" w:sz="4" w:space="0" w:color="auto"/>
              <w:right w:val="nil"/>
            </w:tcBorders>
            <w:noWrap/>
          </w:tcPr>
          <w:p w14:paraId="7B4CA476"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cs="Arial"/>
                <w:color w:val="000000"/>
                <w:kern w:val="24"/>
                <w:sz w:val="18"/>
                <w:szCs w:val="18"/>
              </w:rPr>
              <w:t>1.06 (0.87, 1.29)</w:t>
            </w:r>
          </w:p>
        </w:tc>
        <w:tc>
          <w:tcPr>
            <w:tcW w:w="1576" w:type="dxa"/>
            <w:tcBorders>
              <w:top w:val="nil"/>
              <w:left w:val="nil"/>
              <w:bottom w:val="single" w:sz="4" w:space="0" w:color="auto"/>
              <w:right w:val="nil"/>
            </w:tcBorders>
            <w:noWrap/>
          </w:tcPr>
          <w:p w14:paraId="464E3A9A" w14:textId="77777777" w:rsidR="00D250E5" w:rsidRPr="00495D42" w:rsidRDefault="00D250E5" w:rsidP="002D2677">
            <w:pPr>
              <w:widowControl/>
              <w:spacing w:before="0" w:beforeAutospacing="0" w:after="0" w:afterAutospacing="0" w:line="276" w:lineRule="auto"/>
              <w:rPr>
                <w:rFonts w:eastAsia="Yu Gothic" w:cs="Arial"/>
                <w:color w:val="000000"/>
                <w:sz w:val="18"/>
                <w:szCs w:val="18"/>
                <w:lang w:eastAsia="ja-JP"/>
              </w:rPr>
            </w:pPr>
            <w:r w:rsidRPr="00495D42">
              <w:rPr>
                <w:rFonts w:eastAsia="Yu Gothic" w:cs="Arial"/>
                <w:color w:val="000000"/>
                <w:sz w:val="18"/>
                <w:szCs w:val="18"/>
                <w:lang w:eastAsia="ja-JP"/>
              </w:rPr>
              <w:t>1.30 (0.91, 1.88)</w:t>
            </w:r>
          </w:p>
        </w:tc>
      </w:tr>
    </w:tbl>
    <w:p w14:paraId="082A821B" w14:textId="77777777" w:rsidR="00D250E5" w:rsidRPr="00737A30" w:rsidRDefault="00D250E5" w:rsidP="00D250E5">
      <w:pPr>
        <w:spacing w:before="0" w:beforeAutospacing="0" w:after="0" w:afterAutospacing="0" w:line="276" w:lineRule="auto"/>
        <w:rPr>
          <w:sz w:val="18"/>
          <w:szCs w:val="18"/>
        </w:rPr>
      </w:pPr>
      <w:r w:rsidRPr="00737A30">
        <w:rPr>
          <w:rFonts w:eastAsia="Yu Gothic"/>
          <w:b/>
          <w:bCs/>
          <w:color w:val="000000"/>
          <w:sz w:val="18"/>
          <w:szCs w:val="18"/>
          <w:vertAlign w:val="superscript"/>
          <w:lang w:eastAsia="ja-JP"/>
        </w:rPr>
        <w:t>a</w:t>
      </w:r>
      <w:r w:rsidRPr="00737A30">
        <w:rPr>
          <w:sz w:val="18"/>
          <w:szCs w:val="18"/>
        </w:rPr>
        <w:t xml:space="preserve"> Per 100 patient-years.</w:t>
      </w:r>
    </w:p>
    <w:p w14:paraId="61CE07D2" w14:textId="77777777" w:rsidR="00D250E5" w:rsidRPr="00737A30" w:rsidRDefault="00D250E5" w:rsidP="00D250E5">
      <w:pPr>
        <w:spacing w:before="0" w:beforeAutospacing="0" w:after="0" w:afterAutospacing="0" w:line="276" w:lineRule="auto"/>
        <w:rPr>
          <w:sz w:val="18"/>
          <w:szCs w:val="18"/>
        </w:rPr>
      </w:pPr>
      <w:r w:rsidRPr="002D2677">
        <w:rPr>
          <w:rFonts w:cs="Arial"/>
          <w:b/>
          <w:bCs/>
          <w:sz w:val="18"/>
          <w:szCs w:val="18"/>
        </w:rPr>
        <w:t>Abbreviations:</w:t>
      </w:r>
      <w:r>
        <w:rPr>
          <w:rFonts w:cs="Arial"/>
          <w:sz w:val="18"/>
          <w:szCs w:val="18"/>
        </w:rPr>
        <w:t xml:space="preserve"> </w:t>
      </w:r>
      <w:r w:rsidRPr="00737A30">
        <w:rPr>
          <w:sz w:val="18"/>
          <w:szCs w:val="18"/>
        </w:rPr>
        <w:t>CI, confidence interval; MACE, major adverse cardiovascular event; Ref, reference.</w:t>
      </w:r>
    </w:p>
    <w:p w14:paraId="380EDE1A" w14:textId="77777777" w:rsidR="00D250E5" w:rsidRPr="00737A30" w:rsidRDefault="00D250E5" w:rsidP="00D250E5">
      <w:pPr>
        <w:pStyle w:val="NormalIndent"/>
        <w:rPr>
          <w:lang w:eastAsia="ja-JP"/>
        </w:rPr>
        <w:sectPr w:rsidR="00D250E5" w:rsidRPr="00737A30" w:rsidSect="00D250E5">
          <w:endnotePr>
            <w:numFmt w:val="decimal"/>
          </w:endnotePr>
          <w:pgSz w:w="16840" w:h="11907" w:orient="landscape" w:code="9"/>
          <w:pgMar w:top="1701" w:right="1440" w:bottom="1701" w:left="1440" w:header="567" w:footer="567" w:gutter="0"/>
          <w:cols w:space="720"/>
          <w:docGrid w:linePitch="299"/>
        </w:sectPr>
      </w:pPr>
    </w:p>
    <w:p w14:paraId="0CF3E95E" w14:textId="0873C78F" w:rsidR="00D250E5" w:rsidRPr="00442C99" w:rsidRDefault="00D250E5" w:rsidP="00442C99">
      <w:pPr>
        <w:pStyle w:val="Heading3"/>
        <w:rPr>
          <w:rFonts w:cs="Arial"/>
          <w:b/>
          <w:bCs/>
          <w:color w:val="000000" w:themeColor="text1"/>
          <w:sz w:val="20"/>
          <w:szCs w:val="20"/>
          <w:lang w:eastAsia="ja-JP"/>
        </w:rPr>
      </w:pPr>
      <w:r w:rsidRPr="00D250E5">
        <w:rPr>
          <w:rFonts w:cs="Arial"/>
          <w:b/>
          <w:bCs/>
          <w:color w:val="000000" w:themeColor="text1"/>
          <w:sz w:val="20"/>
          <w:szCs w:val="20"/>
          <w:lang w:eastAsia="ja-JP"/>
        </w:rPr>
        <w:lastRenderedPageBreak/>
        <w:t xml:space="preserve">Supplementary Table </w:t>
      </w:r>
      <w:r w:rsidR="00E70A5E">
        <w:rPr>
          <w:rFonts w:cs="Arial"/>
          <w:b/>
          <w:bCs/>
          <w:color w:val="000000" w:themeColor="text1"/>
          <w:sz w:val="20"/>
          <w:szCs w:val="20"/>
          <w:lang w:eastAsia="ja-JP"/>
        </w:rPr>
        <w:t>9</w:t>
      </w:r>
      <w:r w:rsidRPr="00737A30">
        <w:rPr>
          <w:rFonts w:cs="Arial"/>
          <w:szCs w:val="20"/>
        </w:rPr>
        <w:t xml:space="preserve"> </w:t>
      </w:r>
      <w:r w:rsidRPr="00442C99">
        <w:rPr>
          <w:rFonts w:cs="Arial"/>
          <w:b/>
          <w:bCs/>
          <w:color w:val="000000" w:themeColor="text1"/>
          <w:sz w:val="20"/>
          <w:szCs w:val="20"/>
          <w:lang w:eastAsia="ja-JP"/>
        </w:rPr>
        <w:t>Other secondary outcomes – medication use and health resource utilization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2214"/>
        <w:gridCol w:w="2214"/>
        <w:gridCol w:w="2214"/>
        <w:gridCol w:w="2215"/>
      </w:tblGrid>
      <w:tr w:rsidR="00D250E5" w:rsidRPr="00737A30" w14:paraId="2724327B" w14:textId="77777777" w:rsidTr="002D2677">
        <w:trPr>
          <w:trHeight w:val="23"/>
        </w:trPr>
        <w:tc>
          <w:tcPr>
            <w:tcW w:w="5103" w:type="dxa"/>
            <w:vMerge w:val="restart"/>
            <w:tcBorders>
              <w:top w:val="single" w:sz="4" w:space="0" w:color="auto"/>
            </w:tcBorders>
            <w:hideMark/>
          </w:tcPr>
          <w:p w14:paraId="044C67E2"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Outcomes</w:t>
            </w:r>
          </w:p>
        </w:tc>
        <w:tc>
          <w:tcPr>
            <w:tcW w:w="2214" w:type="dxa"/>
            <w:vMerge w:val="restart"/>
            <w:tcBorders>
              <w:top w:val="single" w:sz="4" w:space="0" w:color="auto"/>
            </w:tcBorders>
            <w:hideMark/>
          </w:tcPr>
          <w:p w14:paraId="023A0D7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Total</w:t>
            </w:r>
            <w:r w:rsidRPr="00495D42">
              <w:rPr>
                <w:rFonts w:cs="Arial"/>
                <w:sz w:val="18"/>
                <w:szCs w:val="18"/>
              </w:rPr>
              <w:br/>
              <w:t>(n=10,321)</w:t>
            </w:r>
          </w:p>
        </w:tc>
        <w:tc>
          <w:tcPr>
            <w:tcW w:w="6643" w:type="dxa"/>
            <w:gridSpan w:val="3"/>
            <w:tcBorders>
              <w:top w:val="single" w:sz="4" w:space="0" w:color="auto"/>
            </w:tcBorders>
            <w:noWrap/>
            <w:hideMark/>
          </w:tcPr>
          <w:p w14:paraId="08224E5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Type 2 inflammation status</w:t>
            </w:r>
          </w:p>
        </w:tc>
      </w:tr>
      <w:tr w:rsidR="00D250E5" w:rsidRPr="00737A30" w14:paraId="284639CC" w14:textId="77777777" w:rsidTr="002D2677">
        <w:trPr>
          <w:trHeight w:val="23"/>
        </w:trPr>
        <w:tc>
          <w:tcPr>
            <w:tcW w:w="5103" w:type="dxa"/>
            <w:vMerge/>
            <w:tcBorders>
              <w:bottom w:val="single" w:sz="4" w:space="0" w:color="auto"/>
            </w:tcBorders>
          </w:tcPr>
          <w:p w14:paraId="32B15F1C" w14:textId="77777777" w:rsidR="00D250E5" w:rsidRPr="00495D42" w:rsidRDefault="00D250E5" w:rsidP="002D2677">
            <w:pPr>
              <w:widowControl/>
              <w:spacing w:before="0" w:beforeAutospacing="0" w:after="0" w:afterAutospacing="0" w:line="276" w:lineRule="auto"/>
              <w:rPr>
                <w:rFonts w:cs="Arial"/>
                <w:sz w:val="18"/>
                <w:szCs w:val="18"/>
              </w:rPr>
            </w:pPr>
          </w:p>
        </w:tc>
        <w:tc>
          <w:tcPr>
            <w:tcW w:w="2214" w:type="dxa"/>
            <w:vMerge/>
            <w:tcBorders>
              <w:bottom w:val="single" w:sz="4" w:space="0" w:color="auto"/>
            </w:tcBorders>
          </w:tcPr>
          <w:p w14:paraId="599A75D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tcBorders>
              <w:bottom w:val="single" w:sz="4" w:space="0" w:color="auto"/>
            </w:tcBorders>
            <w:noWrap/>
            <w:hideMark/>
          </w:tcPr>
          <w:p w14:paraId="15A8D32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Low</w:t>
            </w:r>
            <w:r w:rsidRPr="00495D42">
              <w:rPr>
                <w:rFonts w:cs="Arial"/>
                <w:sz w:val="18"/>
                <w:szCs w:val="18"/>
              </w:rPr>
              <w:br/>
              <w:t>(n=1,423)</w:t>
            </w:r>
          </w:p>
        </w:tc>
        <w:tc>
          <w:tcPr>
            <w:tcW w:w="2214" w:type="dxa"/>
            <w:tcBorders>
              <w:bottom w:val="single" w:sz="4" w:space="0" w:color="auto"/>
            </w:tcBorders>
            <w:noWrap/>
            <w:hideMark/>
          </w:tcPr>
          <w:p w14:paraId="08B946F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Intermediate</w:t>
            </w:r>
            <w:r w:rsidRPr="00495D42">
              <w:rPr>
                <w:rFonts w:cs="Arial"/>
                <w:sz w:val="18"/>
                <w:szCs w:val="18"/>
              </w:rPr>
              <w:br/>
              <w:t>(n=4,895)</w:t>
            </w:r>
          </w:p>
        </w:tc>
        <w:tc>
          <w:tcPr>
            <w:tcW w:w="2215" w:type="dxa"/>
            <w:tcBorders>
              <w:bottom w:val="single" w:sz="4" w:space="0" w:color="auto"/>
            </w:tcBorders>
            <w:noWrap/>
            <w:hideMark/>
          </w:tcPr>
          <w:p w14:paraId="46E3B29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High</w:t>
            </w:r>
            <w:r w:rsidRPr="00495D42">
              <w:rPr>
                <w:rFonts w:cs="Arial"/>
                <w:sz w:val="18"/>
                <w:szCs w:val="18"/>
              </w:rPr>
              <w:br/>
              <w:t>(n=4,003)</w:t>
            </w:r>
          </w:p>
        </w:tc>
      </w:tr>
      <w:tr w:rsidR="00D250E5" w:rsidRPr="00737A30" w14:paraId="0DF31969" w14:textId="77777777" w:rsidTr="002D2677">
        <w:trPr>
          <w:trHeight w:val="23"/>
        </w:trPr>
        <w:tc>
          <w:tcPr>
            <w:tcW w:w="5103" w:type="dxa"/>
            <w:tcBorders>
              <w:top w:val="single" w:sz="4" w:space="0" w:color="auto"/>
            </w:tcBorders>
          </w:tcPr>
          <w:p w14:paraId="292407C6"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Short-term use of oral and intravenous systemic glucocorticoids</w:t>
            </w:r>
          </w:p>
        </w:tc>
        <w:tc>
          <w:tcPr>
            <w:tcW w:w="2214" w:type="dxa"/>
            <w:tcBorders>
              <w:top w:val="single" w:sz="4" w:space="0" w:color="auto"/>
            </w:tcBorders>
            <w:hideMark/>
          </w:tcPr>
          <w:p w14:paraId="664B076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tcBorders>
              <w:top w:val="single" w:sz="4" w:space="0" w:color="auto"/>
            </w:tcBorders>
            <w:hideMark/>
          </w:tcPr>
          <w:p w14:paraId="6767D76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tcBorders>
              <w:top w:val="single" w:sz="4" w:space="0" w:color="auto"/>
            </w:tcBorders>
            <w:hideMark/>
          </w:tcPr>
          <w:p w14:paraId="15BF743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tcBorders>
              <w:top w:val="single" w:sz="4" w:space="0" w:color="auto"/>
            </w:tcBorders>
            <w:hideMark/>
          </w:tcPr>
          <w:p w14:paraId="6CDA4E19"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470A3AAF" w14:textId="77777777" w:rsidTr="002D2677">
        <w:trPr>
          <w:trHeight w:val="23"/>
        </w:trPr>
        <w:tc>
          <w:tcPr>
            <w:tcW w:w="5103" w:type="dxa"/>
            <w:hideMark/>
          </w:tcPr>
          <w:p w14:paraId="42227C3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Patients, n (%)</w:t>
            </w:r>
          </w:p>
        </w:tc>
        <w:tc>
          <w:tcPr>
            <w:tcW w:w="2214" w:type="dxa"/>
            <w:hideMark/>
          </w:tcPr>
          <w:p w14:paraId="4004A7E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2,502 (24.2)</w:t>
            </w:r>
          </w:p>
        </w:tc>
        <w:tc>
          <w:tcPr>
            <w:tcW w:w="2214" w:type="dxa"/>
            <w:hideMark/>
          </w:tcPr>
          <w:p w14:paraId="0DAABCF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302 (21.2)</w:t>
            </w:r>
          </w:p>
        </w:tc>
        <w:tc>
          <w:tcPr>
            <w:tcW w:w="2214" w:type="dxa"/>
            <w:hideMark/>
          </w:tcPr>
          <w:p w14:paraId="6A1FF3F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1,090 (22.3)</w:t>
            </w:r>
          </w:p>
        </w:tc>
        <w:tc>
          <w:tcPr>
            <w:tcW w:w="2215" w:type="dxa"/>
            <w:hideMark/>
          </w:tcPr>
          <w:p w14:paraId="66E0542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1,110 (27.7)</w:t>
            </w:r>
          </w:p>
        </w:tc>
      </w:tr>
      <w:tr w:rsidR="00D250E5" w:rsidRPr="00737A30" w14:paraId="65A447CC" w14:textId="77777777" w:rsidTr="002D2677">
        <w:trPr>
          <w:trHeight w:val="23"/>
        </w:trPr>
        <w:tc>
          <w:tcPr>
            <w:tcW w:w="5103" w:type="dxa"/>
            <w:hideMark/>
          </w:tcPr>
          <w:p w14:paraId="6E7A1A79"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Events, n</w:t>
            </w:r>
          </w:p>
        </w:tc>
        <w:tc>
          <w:tcPr>
            <w:tcW w:w="2214" w:type="dxa"/>
            <w:hideMark/>
          </w:tcPr>
          <w:p w14:paraId="5D56780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12,851</w:t>
            </w:r>
          </w:p>
        </w:tc>
        <w:tc>
          <w:tcPr>
            <w:tcW w:w="2214" w:type="dxa"/>
            <w:hideMark/>
          </w:tcPr>
          <w:p w14:paraId="5948CB1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1,446</w:t>
            </w:r>
          </w:p>
        </w:tc>
        <w:tc>
          <w:tcPr>
            <w:tcW w:w="2214" w:type="dxa"/>
            <w:hideMark/>
          </w:tcPr>
          <w:p w14:paraId="58A3091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5,492</w:t>
            </w:r>
          </w:p>
        </w:tc>
        <w:tc>
          <w:tcPr>
            <w:tcW w:w="2215" w:type="dxa"/>
            <w:hideMark/>
          </w:tcPr>
          <w:p w14:paraId="019FAC5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5,913</w:t>
            </w:r>
          </w:p>
        </w:tc>
      </w:tr>
      <w:tr w:rsidR="00D250E5" w:rsidRPr="00737A30" w14:paraId="019A0476" w14:textId="77777777" w:rsidTr="002D2677">
        <w:trPr>
          <w:trHeight w:val="23"/>
        </w:trPr>
        <w:tc>
          <w:tcPr>
            <w:tcW w:w="5103" w:type="dxa"/>
            <w:hideMark/>
          </w:tcPr>
          <w:p w14:paraId="6A63390C"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Total follow-up duration, years</w:t>
            </w:r>
          </w:p>
        </w:tc>
        <w:tc>
          <w:tcPr>
            <w:tcW w:w="2214" w:type="dxa"/>
            <w:hideMark/>
          </w:tcPr>
          <w:p w14:paraId="7B9061C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25,306.50</w:t>
            </w:r>
          </w:p>
        </w:tc>
        <w:tc>
          <w:tcPr>
            <w:tcW w:w="2214" w:type="dxa"/>
            <w:hideMark/>
          </w:tcPr>
          <w:p w14:paraId="6D0479D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3,402.10</w:t>
            </w:r>
          </w:p>
        </w:tc>
        <w:tc>
          <w:tcPr>
            <w:tcW w:w="2214" w:type="dxa"/>
            <w:hideMark/>
          </w:tcPr>
          <w:p w14:paraId="5FC2357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12,068.40</w:t>
            </w:r>
          </w:p>
        </w:tc>
        <w:tc>
          <w:tcPr>
            <w:tcW w:w="2215" w:type="dxa"/>
            <w:hideMark/>
          </w:tcPr>
          <w:p w14:paraId="38892D4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9,836.10</w:t>
            </w:r>
          </w:p>
        </w:tc>
      </w:tr>
      <w:tr w:rsidR="00D250E5" w:rsidRPr="00737A30" w14:paraId="01CDE2EE" w14:textId="77777777" w:rsidTr="002D2677">
        <w:trPr>
          <w:trHeight w:val="23"/>
        </w:trPr>
        <w:tc>
          <w:tcPr>
            <w:tcW w:w="5103" w:type="dxa"/>
            <w:hideMark/>
          </w:tcPr>
          <w:p w14:paraId="0CA9E149"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Incidence rate, events/100 patient-years (95% CI)</w:t>
            </w:r>
          </w:p>
        </w:tc>
        <w:tc>
          <w:tcPr>
            <w:tcW w:w="2214" w:type="dxa"/>
            <w:hideMark/>
          </w:tcPr>
          <w:p w14:paraId="6C346CC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50.78 (49.91, 51.67)</w:t>
            </w:r>
          </w:p>
        </w:tc>
        <w:tc>
          <w:tcPr>
            <w:tcW w:w="2214" w:type="dxa"/>
            <w:hideMark/>
          </w:tcPr>
          <w:p w14:paraId="323D3F8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42.50 (40.34, 44.75)</w:t>
            </w:r>
          </w:p>
        </w:tc>
        <w:tc>
          <w:tcPr>
            <w:tcW w:w="2214" w:type="dxa"/>
            <w:hideMark/>
          </w:tcPr>
          <w:p w14:paraId="72BA252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45.51 (44.31, 46.73)</w:t>
            </w:r>
          </w:p>
        </w:tc>
        <w:tc>
          <w:tcPr>
            <w:tcW w:w="2215" w:type="dxa"/>
            <w:hideMark/>
          </w:tcPr>
          <w:p w14:paraId="6A31566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60.12 (58.59, 61.67)</w:t>
            </w:r>
          </w:p>
        </w:tc>
      </w:tr>
      <w:tr w:rsidR="00D250E5" w:rsidRPr="00737A30" w14:paraId="309AD89F" w14:textId="77777777" w:rsidTr="002D2677">
        <w:trPr>
          <w:trHeight w:val="23"/>
        </w:trPr>
        <w:tc>
          <w:tcPr>
            <w:tcW w:w="5103" w:type="dxa"/>
            <w:hideMark/>
          </w:tcPr>
          <w:p w14:paraId="52876893"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Duration, days/</w:t>
            </w:r>
            <w:proofErr w:type="spellStart"/>
            <w:r w:rsidRPr="00495D42">
              <w:rPr>
                <w:rFonts w:cs="Arial"/>
                <w:sz w:val="18"/>
                <w:szCs w:val="18"/>
              </w:rPr>
              <w:t>episode</w:t>
            </w:r>
            <w:r w:rsidRPr="00495D42">
              <w:rPr>
                <w:rFonts w:cs="Arial"/>
                <w:sz w:val="18"/>
                <w:szCs w:val="18"/>
                <w:vertAlign w:val="superscript"/>
              </w:rPr>
              <w:t>a</w:t>
            </w:r>
            <w:proofErr w:type="spellEnd"/>
          </w:p>
        </w:tc>
        <w:tc>
          <w:tcPr>
            <w:tcW w:w="2214" w:type="dxa"/>
            <w:hideMark/>
          </w:tcPr>
          <w:p w14:paraId="2FC3BE60"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036B33B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42AC520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67D34F6C"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B7FD0F3" w14:textId="77777777" w:rsidTr="002D2677">
        <w:trPr>
          <w:trHeight w:val="23"/>
        </w:trPr>
        <w:tc>
          <w:tcPr>
            <w:tcW w:w="5103" w:type="dxa"/>
            <w:hideMark/>
          </w:tcPr>
          <w:p w14:paraId="3F75254D"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Mean (SD)</w:t>
            </w:r>
          </w:p>
        </w:tc>
        <w:tc>
          <w:tcPr>
            <w:tcW w:w="2214" w:type="dxa"/>
            <w:hideMark/>
          </w:tcPr>
          <w:p w14:paraId="0C24D72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3.6 (3.0)</w:t>
            </w:r>
          </w:p>
        </w:tc>
        <w:tc>
          <w:tcPr>
            <w:tcW w:w="2214" w:type="dxa"/>
            <w:hideMark/>
          </w:tcPr>
          <w:p w14:paraId="7C5E1D3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3.6 (2.8)</w:t>
            </w:r>
          </w:p>
        </w:tc>
        <w:tc>
          <w:tcPr>
            <w:tcW w:w="2214" w:type="dxa"/>
            <w:hideMark/>
          </w:tcPr>
          <w:p w14:paraId="419406C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3.5 (2.9)</w:t>
            </w:r>
          </w:p>
        </w:tc>
        <w:tc>
          <w:tcPr>
            <w:tcW w:w="2215" w:type="dxa"/>
            <w:hideMark/>
          </w:tcPr>
          <w:p w14:paraId="66D599F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3.7 (3.1)</w:t>
            </w:r>
          </w:p>
        </w:tc>
      </w:tr>
      <w:tr w:rsidR="00D250E5" w:rsidRPr="00737A30" w14:paraId="06BE353C" w14:textId="77777777" w:rsidTr="002D2677">
        <w:trPr>
          <w:trHeight w:val="23"/>
        </w:trPr>
        <w:tc>
          <w:tcPr>
            <w:tcW w:w="5103" w:type="dxa"/>
            <w:hideMark/>
          </w:tcPr>
          <w:p w14:paraId="617FD3AA"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Median (IQR)</w:t>
            </w:r>
          </w:p>
        </w:tc>
        <w:tc>
          <w:tcPr>
            <w:tcW w:w="2214" w:type="dxa"/>
            <w:hideMark/>
          </w:tcPr>
          <w:p w14:paraId="7FE8155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3.0 (1.0, 5.0)</w:t>
            </w:r>
          </w:p>
        </w:tc>
        <w:tc>
          <w:tcPr>
            <w:tcW w:w="2214" w:type="dxa"/>
            <w:hideMark/>
          </w:tcPr>
          <w:p w14:paraId="0587C31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3.0 (1.0, 5.5)</w:t>
            </w:r>
          </w:p>
        </w:tc>
        <w:tc>
          <w:tcPr>
            <w:tcW w:w="2214" w:type="dxa"/>
            <w:hideMark/>
          </w:tcPr>
          <w:p w14:paraId="4453EF0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3.0 (1.0, 5.0)</w:t>
            </w:r>
          </w:p>
        </w:tc>
        <w:tc>
          <w:tcPr>
            <w:tcW w:w="2215" w:type="dxa"/>
            <w:hideMark/>
          </w:tcPr>
          <w:p w14:paraId="630660D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3.0 (1.0, 5.0)</w:t>
            </w:r>
          </w:p>
        </w:tc>
      </w:tr>
      <w:tr w:rsidR="00D250E5" w:rsidRPr="00737A30" w14:paraId="4F05275D" w14:textId="77777777" w:rsidTr="002D2677">
        <w:trPr>
          <w:trHeight w:val="23"/>
        </w:trPr>
        <w:tc>
          <w:tcPr>
            <w:tcW w:w="5103" w:type="dxa"/>
            <w:hideMark/>
          </w:tcPr>
          <w:p w14:paraId="4A0CEE73"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Range</w:t>
            </w:r>
          </w:p>
        </w:tc>
        <w:tc>
          <w:tcPr>
            <w:tcW w:w="2214" w:type="dxa"/>
            <w:hideMark/>
          </w:tcPr>
          <w:p w14:paraId="6D249FB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1.0–36.0</w:t>
            </w:r>
          </w:p>
        </w:tc>
        <w:tc>
          <w:tcPr>
            <w:tcW w:w="2214" w:type="dxa"/>
            <w:hideMark/>
          </w:tcPr>
          <w:p w14:paraId="310F5B6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1.0–14.0</w:t>
            </w:r>
          </w:p>
        </w:tc>
        <w:tc>
          <w:tcPr>
            <w:tcW w:w="2214" w:type="dxa"/>
            <w:hideMark/>
          </w:tcPr>
          <w:p w14:paraId="3532ACC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1.0–31.0</w:t>
            </w:r>
          </w:p>
        </w:tc>
        <w:tc>
          <w:tcPr>
            <w:tcW w:w="2215" w:type="dxa"/>
            <w:hideMark/>
          </w:tcPr>
          <w:p w14:paraId="741B1BC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1.0–36.0</w:t>
            </w:r>
          </w:p>
        </w:tc>
      </w:tr>
      <w:tr w:rsidR="00D250E5" w:rsidRPr="00737A30" w14:paraId="2BD8C4CA" w14:textId="77777777" w:rsidTr="002D2677">
        <w:trPr>
          <w:trHeight w:val="23"/>
        </w:trPr>
        <w:tc>
          <w:tcPr>
            <w:tcW w:w="5103" w:type="dxa"/>
            <w:hideMark/>
          </w:tcPr>
          <w:p w14:paraId="13C3E9B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Duration categories, n (%)</w:t>
            </w:r>
            <w:r w:rsidRPr="00495D42">
              <w:rPr>
                <w:rFonts w:cs="Arial"/>
                <w:sz w:val="18"/>
                <w:szCs w:val="18"/>
                <w:vertAlign w:val="superscript"/>
              </w:rPr>
              <w:t>a</w:t>
            </w:r>
          </w:p>
        </w:tc>
        <w:tc>
          <w:tcPr>
            <w:tcW w:w="2214" w:type="dxa"/>
            <w:hideMark/>
          </w:tcPr>
          <w:p w14:paraId="5DE8C2AD"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45815A7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0E784520"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37009173"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78E2E29" w14:textId="77777777" w:rsidTr="002D2677">
        <w:trPr>
          <w:trHeight w:val="23"/>
        </w:trPr>
        <w:tc>
          <w:tcPr>
            <w:tcW w:w="5103" w:type="dxa"/>
            <w:hideMark/>
          </w:tcPr>
          <w:p w14:paraId="36025552"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1–2 days</w:t>
            </w:r>
          </w:p>
        </w:tc>
        <w:tc>
          <w:tcPr>
            <w:tcW w:w="2214" w:type="dxa"/>
            <w:hideMark/>
          </w:tcPr>
          <w:p w14:paraId="128FFFC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1,494 (59.7)</w:t>
            </w:r>
          </w:p>
        </w:tc>
        <w:tc>
          <w:tcPr>
            <w:tcW w:w="2214" w:type="dxa"/>
            <w:hideMark/>
          </w:tcPr>
          <w:p w14:paraId="39538E9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175 (57.9)</w:t>
            </w:r>
          </w:p>
        </w:tc>
        <w:tc>
          <w:tcPr>
            <w:tcW w:w="2214" w:type="dxa"/>
            <w:hideMark/>
          </w:tcPr>
          <w:p w14:paraId="5591296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665 (61.0)</w:t>
            </w:r>
          </w:p>
        </w:tc>
        <w:tc>
          <w:tcPr>
            <w:tcW w:w="2215" w:type="dxa"/>
            <w:hideMark/>
          </w:tcPr>
          <w:p w14:paraId="3CEDBD9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654 (58.9)</w:t>
            </w:r>
          </w:p>
        </w:tc>
      </w:tr>
      <w:tr w:rsidR="00D250E5" w:rsidRPr="00737A30" w14:paraId="7EEED45C" w14:textId="77777777" w:rsidTr="002D2677">
        <w:trPr>
          <w:trHeight w:val="23"/>
        </w:trPr>
        <w:tc>
          <w:tcPr>
            <w:tcW w:w="5103" w:type="dxa"/>
            <w:hideMark/>
          </w:tcPr>
          <w:p w14:paraId="748D7D22"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3–7 days</w:t>
            </w:r>
          </w:p>
        </w:tc>
        <w:tc>
          <w:tcPr>
            <w:tcW w:w="2214" w:type="dxa"/>
            <w:hideMark/>
          </w:tcPr>
          <w:p w14:paraId="730681E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1,390 (55.6)</w:t>
            </w:r>
          </w:p>
        </w:tc>
        <w:tc>
          <w:tcPr>
            <w:tcW w:w="2214" w:type="dxa"/>
            <w:hideMark/>
          </w:tcPr>
          <w:p w14:paraId="5BB3559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166 (55.0)</w:t>
            </w:r>
          </w:p>
        </w:tc>
        <w:tc>
          <w:tcPr>
            <w:tcW w:w="2214" w:type="dxa"/>
            <w:hideMark/>
          </w:tcPr>
          <w:p w14:paraId="09E82CE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594 (54.5)</w:t>
            </w:r>
          </w:p>
        </w:tc>
        <w:tc>
          <w:tcPr>
            <w:tcW w:w="2215" w:type="dxa"/>
            <w:hideMark/>
          </w:tcPr>
          <w:p w14:paraId="2B0F244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630 (56.8)</w:t>
            </w:r>
          </w:p>
        </w:tc>
      </w:tr>
      <w:tr w:rsidR="00D250E5" w:rsidRPr="00737A30" w14:paraId="01F5DAE9" w14:textId="77777777" w:rsidTr="002D2677">
        <w:trPr>
          <w:trHeight w:val="23"/>
        </w:trPr>
        <w:tc>
          <w:tcPr>
            <w:tcW w:w="5103" w:type="dxa"/>
            <w:hideMark/>
          </w:tcPr>
          <w:p w14:paraId="2B55CC34"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8–14 days</w:t>
            </w:r>
          </w:p>
        </w:tc>
        <w:tc>
          <w:tcPr>
            <w:tcW w:w="2214" w:type="dxa"/>
            <w:hideMark/>
          </w:tcPr>
          <w:p w14:paraId="1587A74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506 (20.2)</w:t>
            </w:r>
          </w:p>
        </w:tc>
        <w:tc>
          <w:tcPr>
            <w:tcW w:w="2214" w:type="dxa"/>
            <w:hideMark/>
          </w:tcPr>
          <w:p w14:paraId="1028439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66 (21.9)</w:t>
            </w:r>
          </w:p>
        </w:tc>
        <w:tc>
          <w:tcPr>
            <w:tcW w:w="2214" w:type="dxa"/>
            <w:hideMark/>
          </w:tcPr>
          <w:p w14:paraId="73B54BD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211 (19.4)</w:t>
            </w:r>
          </w:p>
        </w:tc>
        <w:tc>
          <w:tcPr>
            <w:tcW w:w="2215" w:type="dxa"/>
            <w:hideMark/>
          </w:tcPr>
          <w:p w14:paraId="0D2C925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229 (20.6)</w:t>
            </w:r>
          </w:p>
        </w:tc>
      </w:tr>
      <w:tr w:rsidR="00D250E5" w:rsidRPr="00737A30" w14:paraId="0D9CD0B3" w14:textId="77777777" w:rsidTr="002D2677">
        <w:trPr>
          <w:trHeight w:val="23"/>
        </w:trPr>
        <w:tc>
          <w:tcPr>
            <w:tcW w:w="5103" w:type="dxa"/>
            <w:hideMark/>
          </w:tcPr>
          <w:p w14:paraId="4FDBD9EF"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Dose, mg/</w:t>
            </w:r>
            <w:proofErr w:type="spellStart"/>
            <w:r w:rsidRPr="00495D42">
              <w:rPr>
                <w:rFonts w:cs="Arial"/>
                <w:sz w:val="18"/>
                <w:szCs w:val="18"/>
              </w:rPr>
              <w:t>day</w:t>
            </w:r>
            <w:r w:rsidRPr="00495D42">
              <w:rPr>
                <w:rFonts w:cs="Arial"/>
                <w:sz w:val="18"/>
                <w:szCs w:val="18"/>
                <w:vertAlign w:val="superscript"/>
              </w:rPr>
              <w:t>a</w:t>
            </w:r>
            <w:proofErr w:type="spellEnd"/>
          </w:p>
        </w:tc>
        <w:tc>
          <w:tcPr>
            <w:tcW w:w="2214" w:type="dxa"/>
            <w:hideMark/>
          </w:tcPr>
          <w:p w14:paraId="404495F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223B1EE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511D0710"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61A4E2C7"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17C413D" w14:textId="77777777" w:rsidTr="002D2677">
        <w:trPr>
          <w:trHeight w:val="23"/>
        </w:trPr>
        <w:tc>
          <w:tcPr>
            <w:tcW w:w="5103" w:type="dxa"/>
            <w:hideMark/>
          </w:tcPr>
          <w:p w14:paraId="53FF25CA"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Mean (SD)</w:t>
            </w:r>
          </w:p>
        </w:tc>
        <w:tc>
          <w:tcPr>
            <w:tcW w:w="2214" w:type="dxa"/>
            <w:hideMark/>
          </w:tcPr>
          <w:p w14:paraId="7E598A2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90.9 (206.5)</w:t>
            </w:r>
          </w:p>
        </w:tc>
        <w:tc>
          <w:tcPr>
            <w:tcW w:w="2214" w:type="dxa"/>
            <w:hideMark/>
          </w:tcPr>
          <w:p w14:paraId="4C15D6D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85.0 (158.7)</w:t>
            </w:r>
          </w:p>
        </w:tc>
        <w:tc>
          <w:tcPr>
            <w:tcW w:w="2214" w:type="dxa"/>
            <w:hideMark/>
          </w:tcPr>
          <w:p w14:paraId="7CE05D8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96.7 (237.7)</w:t>
            </w:r>
          </w:p>
        </w:tc>
        <w:tc>
          <w:tcPr>
            <w:tcW w:w="2215" w:type="dxa"/>
            <w:hideMark/>
          </w:tcPr>
          <w:p w14:paraId="4672142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86.8 (183.7)</w:t>
            </w:r>
          </w:p>
        </w:tc>
      </w:tr>
      <w:tr w:rsidR="00D250E5" w:rsidRPr="00737A30" w14:paraId="453B4984" w14:textId="77777777" w:rsidTr="002D2677">
        <w:trPr>
          <w:trHeight w:val="23"/>
        </w:trPr>
        <w:tc>
          <w:tcPr>
            <w:tcW w:w="5103" w:type="dxa"/>
            <w:hideMark/>
          </w:tcPr>
          <w:p w14:paraId="36DF7A8E"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Median (IQR)</w:t>
            </w:r>
          </w:p>
        </w:tc>
        <w:tc>
          <w:tcPr>
            <w:tcW w:w="2214" w:type="dxa"/>
            <w:hideMark/>
          </w:tcPr>
          <w:p w14:paraId="366D78A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44.0 (29.0, 69.1)</w:t>
            </w:r>
          </w:p>
        </w:tc>
        <w:tc>
          <w:tcPr>
            <w:tcW w:w="2214" w:type="dxa"/>
            <w:hideMark/>
          </w:tcPr>
          <w:p w14:paraId="20BB253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44.0 (27.1, 60.5)</w:t>
            </w:r>
          </w:p>
        </w:tc>
        <w:tc>
          <w:tcPr>
            <w:tcW w:w="2214" w:type="dxa"/>
            <w:hideMark/>
          </w:tcPr>
          <w:p w14:paraId="468F9AC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44.0 (29.1, 70.1)</w:t>
            </w:r>
          </w:p>
        </w:tc>
        <w:tc>
          <w:tcPr>
            <w:tcW w:w="2215" w:type="dxa"/>
            <w:hideMark/>
          </w:tcPr>
          <w:p w14:paraId="0E3292E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44.0 (29.5, 72.1)</w:t>
            </w:r>
          </w:p>
        </w:tc>
      </w:tr>
      <w:tr w:rsidR="00D250E5" w:rsidRPr="00737A30" w14:paraId="3FDA6FF9" w14:textId="77777777" w:rsidTr="002D2677">
        <w:trPr>
          <w:trHeight w:val="23"/>
        </w:trPr>
        <w:tc>
          <w:tcPr>
            <w:tcW w:w="5103" w:type="dxa"/>
            <w:hideMark/>
          </w:tcPr>
          <w:p w14:paraId="0E80285E"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Range</w:t>
            </w:r>
          </w:p>
        </w:tc>
        <w:tc>
          <w:tcPr>
            <w:tcW w:w="2214" w:type="dxa"/>
            <w:hideMark/>
          </w:tcPr>
          <w:p w14:paraId="659968B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20.0–3,750.0</w:t>
            </w:r>
          </w:p>
        </w:tc>
        <w:tc>
          <w:tcPr>
            <w:tcW w:w="2214" w:type="dxa"/>
            <w:hideMark/>
          </w:tcPr>
          <w:p w14:paraId="495290F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20.0–1,250.0</w:t>
            </w:r>
          </w:p>
        </w:tc>
        <w:tc>
          <w:tcPr>
            <w:tcW w:w="2214" w:type="dxa"/>
            <w:hideMark/>
          </w:tcPr>
          <w:p w14:paraId="7F9029D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20.0–3,750.0</w:t>
            </w:r>
          </w:p>
        </w:tc>
        <w:tc>
          <w:tcPr>
            <w:tcW w:w="2215" w:type="dxa"/>
            <w:hideMark/>
          </w:tcPr>
          <w:p w14:paraId="58A1522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20.0–3,750.0</w:t>
            </w:r>
          </w:p>
        </w:tc>
      </w:tr>
      <w:tr w:rsidR="00D250E5" w:rsidRPr="00737A30" w14:paraId="11C7BB5B" w14:textId="77777777" w:rsidTr="002D2677">
        <w:trPr>
          <w:trHeight w:val="23"/>
        </w:trPr>
        <w:tc>
          <w:tcPr>
            <w:tcW w:w="5103" w:type="dxa"/>
          </w:tcPr>
          <w:p w14:paraId="3A068550"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Short-term use of oral systemic glucocorticoids</w:t>
            </w:r>
          </w:p>
        </w:tc>
        <w:tc>
          <w:tcPr>
            <w:tcW w:w="2214" w:type="dxa"/>
            <w:hideMark/>
          </w:tcPr>
          <w:p w14:paraId="2735307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noWrap/>
            <w:hideMark/>
          </w:tcPr>
          <w:p w14:paraId="3E904BD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noWrap/>
            <w:hideMark/>
          </w:tcPr>
          <w:p w14:paraId="40BA93C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noWrap/>
            <w:hideMark/>
          </w:tcPr>
          <w:p w14:paraId="50C4323A"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D569049" w14:textId="77777777" w:rsidTr="002D2677">
        <w:trPr>
          <w:trHeight w:val="23"/>
        </w:trPr>
        <w:tc>
          <w:tcPr>
            <w:tcW w:w="5103" w:type="dxa"/>
            <w:hideMark/>
          </w:tcPr>
          <w:p w14:paraId="366B5532"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Patients, n (%)</w:t>
            </w:r>
          </w:p>
        </w:tc>
        <w:tc>
          <w:tcPr>
            <w:tcW w:w="2214" w:type="dxa"/>
            <w:hideMark/>
          </w:tcPr>
          <w:p w14:paraId="4EB02F6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1,265 (12.3)</w:t>
            </w:r>
          </w:p>
        </w:tc>
        <w:tc>
          <w:tcPr>
            <w:tcW w:w="2214" w:type="dxa"/>
            <w:hideMark/>
          </w:tcPr>
          <w:p w14:paraId="5817BD9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136 (9.6)</w:t>
            </w:r>
          </w:p>
        </w:tc>
        <w:tc>
          <w:tcPr>
            <w:tcW w:w="2214" w:type="dxa"/>
            <w:hideMark/>
          </w:tcPr>
          <w:p w14:paraId="21D119A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549 (11.2)</w:t>
            </w:r>
          </w:p>
        </w:tc>
        <w:tc>
          <w:tcPr>
            <w:tcW w:w="2215" w:type="dxa"/>
            <w:hideMark/>
          </w:tcPr>
          <w:p w14:paraId="6DD206A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580 (14.5)</w:t>
            </w:r>
          </w:p>
        </w:tc>
      </w:tr>
      <w:tr w:rsidR="00D250E5" w:rsidRPr="00737A30" w14:paraId="2DF101C6" w14:textId="77777777" w:rsidTr="002D2677">
        <w:trPr>
          <w:trHeight w:val="23"/>
        </w:trPr>
        <w:tc>
          <w:tcPr>
            <w:tcW w:w="5103" w:type="dxa"/>
            <w:hideMark/>
          </w:tcPr>
          <w:p w14:paraId="6CEA02F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Events, n</w:t>
            </w:r>
          </w:p>
        </w:tc>
        <w:tc>
          <w:tcPr>
            <w:tcW w:w="2214" w:type="dxa"/>
            <w:hideMark/>
          </w:tcPr>
          <w:p w14:paraId="6881357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4,028</w:t>
            </w:r>
          </w:p>
        </w:tc>
        <w:tc>
          <w:tcPr>
            <w:tcW w:w="2214" w:type="dxa"/>
            <w:hideMark/>
          </w:tcPr>
          <w:p w14:paraId="3FEC1D5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411</w:t>
            </w:r>
          </w:p>
        </w:tc>
        <w:tc>
          <w:tcPr>
            <w:tcW w:w="2214" w:type="dxa"/>
            <w:hideMark/>
          </w:tcPr>
          <w:p w14:paraId="602F9FE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1,602</w:t>
            </w:r>
          </w:p>
        </w:tc>
        <w:tc>
          <w:tcPr>
            <w:tcW w:w="2215" w:type="dxa"/>
            <w:hideMark/>
          </w:tcPr>
          <w:p w14:paraId="1E15307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2,015</w:t>
            </w:r>
          </w:p>
        </w:tc>
      </w:tr>
      <w:tr w:rsidR="00D250E5" w:rsidRPr="00737A30" w14:paraId="1146349D" w14:textId="77777777" w:rsidTr="002D2677">
        <w:trPr>
          <w:trHeight w:val="23"/>
        </w:trPr>
        <w:tc>
          <w:tcPr>
            <w:tcW w:w="5103" w:type="dxa"/>
            <w:hideMark/>
          </w:tcPr>
          <w:p w14:paraId="11DDD9C8"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Total follow-up duration, years</w:t>
            </w:r>
          </w:p>
        </w:tc>
        <w:tc>
          <w:tcPr>
            <w:tcW w:w="2214" w:type="dxa"/>
            <w:hideMark/>
          </w:tcPr>
          <w:p w14:paraId="06F880C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25,306.50</w:t>
            </w:r>
          </w:p>
        </w:tc>
        <w:tc>
          <w:tcPr>
            <w:tcW w:w="2214" w:type="dxa"/>
            <w:hideMark/>
          </w:tcPr>
          <w:p w14:paraId="067067A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3,402.10</w:t>
            </w:r>
          </w:p>
        </w:tc>
        <w:tc>
          <w:tcPr>
            <w:tcW w:w="2214" w:type="dxa"/>
            <w:hideMark/>
          </w:tcPr>
          <w:p w14:paraId="2145F91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12,068.40</w:t>
            </w:r>
          </w:p>
        </w:tc>
        <w:tc>
          <w:tcPr>
            <w:tcW w:w="2215" w:type="dxa"/>
            <w:hideMark/>
          </w:tcPr>
          <w:p w14:paraId="1472C04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9,836.10</w:t>
            </w:r>
          </w:p>
        </w:tc>
      </w:tr>
      <w:tr w:rsidR="00D250E5" w:rsidRPr="00737A30" w14:paraId="5152CAC0" w14:textId="77777777" w:rsidTr="002D2677">
        <w:trPr>
          <w:trHeight w:val="23"/>
        </w:trPr>
        <w:tc>
          <w:tcPr>
            <w:tcW w:w="5103" w:type="dxa"/>
            <w:hideMark/>
          </w:tcPr>
          <w:p w14:paraId="4D5D2AF3"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Incidence rate, events/100 patient-years (95% CI)</w:t>
            </w:r>
          </w:p>
        </w:tc>
        <w:tc>
          <w:tcPr>
            <w:tcW w:w="2214" w:type="dxa"/>
            <w:hideMark/>
          </w:tcPr>
          <w:p w14:paraId="0A4583C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15.92 (15.43, 16.42)</w:t>
            </w:r>
          </w:p>
        </w:tc>
        <w:tc>
          <w:tcPr>
            <w:tcW w:w="2214" w:type="dxa"/>
            <w:hideMark/>
          </w:tcPr>
          <w:p w14:paraId="27DDE29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12.08 (10.94, 13.31)</w:t>
            </w:r>
          </w:p>
        </w:tc>
        <w:tc>
          <w:tcPr>
            <w:tcW w:w="2214" w:type="dxa"/>
            <w:hideMark/>
          </w:tcPr>
          <w:p w14:paraId="064A2DD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13.27 (12.63, 13.94)</w:t>
            </w:r>
          </w:p>
        </w:tc>
        <w:tc>
          <w:tcPr>
            <w:tcW w:w="2215" w:type="dxa"/>
            <w:hideMark/>
          </w:tcPr>
          <w:p w14:paraId="66CC93E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20.49 (19.60, 21.40)</w:t>
            </w:r>
          </w:p>
        </w:tc>
      </w:tr>
      <w:tr w:rsidR="00D250E5" w:rsidRPr="00737A30" w14:paraId="6CAC6018" w14:textId="77777777" w:rsidTr="002D2677">
        <w:trPr>
          <w:trHeight w:val="23"/>
        </w:trPr>
        <w:tc>
          <w:tcPr>
            <w:tcW w:w="5103" w:type="dxa"/>
            <w:hideMark/>
          </w:tcPr>
          <w:p w14:paraId="70390CAD"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Duration, days/</w:t>
            </w:r>
            <w:proofErr w:type="spellStart"/>
            <w:r w:rsidRPr="00495D42">
              <w:rPr>
                <w:rFonts w:cs="Arial"/>
                <w:sz w:val="18"/>
                <w:szCs w:val="18"/>
              </w:rPr>
              <w:t>episode</w:t>
            </w:r>
            <w:r w:rsidRPr="00495D42">
              <w:rPr>
                <w:rFonts w:cs="Arial"/>
                <w:sz w:val="18"/>
                <w:szCs w:val="18"/>
                <w:vertAlign w:val="superscript"/>
              </w:rPr>
              <w:t>a</w:t>
            </w:r>
            <w:proofErr w:type="spellEnd"/>
          </w:p>
        </w:tc>
        <w:tc>
          <w:tcPr>
            <w:tcW w:w="2214" w:type="dxa"/>
            <w:hideMark/>
          </w:tcPr>
          <w:p w14:paraId="57A83C6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6C217F6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5C21594C"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066BB286"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C4AA04C" w14:textId="77777777" w:rsidTr="002D2677">
        <w:trPr>
          <w:trHeight w:val="23"/>
        </w:trPr>
        <w:tc>
          <w:tcPr>
            <w:tcW w:w="5103" w:type="dxa"/>
            <w:hideMark/>
          </w:tcPr>
          <w:p w14:paraId="2BEF795F"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Mean (SD)</w:t>
            </w:r>
          </w:p>
        </w:tc>
        <w:tc>
          <w:tcPr>
            <w:tcW w:w="2214" w:type="dxa"/>
            <w:hideMark/>
          </w:tcPr>
          <w:p w14:paraId="1D1006B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5.0 (3.1)</w:t>
            </w:r>
          </w:p>
        </w:tc>
        <w:tc>
          <w:tcPr>
            <w:tcW w:w="2214" w:type="dxa"/>
            <w:hideMark/>
          </w:tcPr>
          <w:p w14:paraId="0ADE156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4.4 (2.3)</w:t>
            </w:r>
          </w:p>
        </w:tc>
        <w:tc>
          <w:tcPr>
            <w:tcW w:w="2214" w:type="dxa"/>
            <w:hideMark/>
          </w:tcPr>
          <w:p w14:paraId="04E7435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4.9 (3.0)</w:t>
            </w:r>
          </w:p>
        </w:tc>
        <w:tc>
          <w:tcPr>
            <w:tcW w:w="2215" w:type="dxa"/>
            <w:hideMark/>
          </w:tcPr>
          <w:p w14:paraId="370E57C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5.3 (3.4)</w:t>
            </w:r>
          </w:p>
        </w:tc>
      </w:tr>
      <w:tr w:rsidR="00D250E5" w:rsidRPr="00737A30" w14:paraId="17FED25F" w14:textId="77777777" w:rsidTr="002D2677">
        <w:trPr>
          <w:trHeight w:val="23"/>
        </w:trPr>
        <w:tc>
          <w:tcPr>
            <w:tcW w:w="5103" w:type="dxa"/>
            <w:hideMark/>
          </w:tcPr>
          <w:p w14:paraId="15F45B21"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Median (IQR)</w:t>
            </w:r>
          </w:p>
        </w:tc>
        <w:tc>
          <w:tcPr>
            <w:tcW w:w="2214" w:type="dxa"/>
            <w:hideMark/>
          </w:tcPr>
          <w:p w14:paraId="5A58BA7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4.7 (3.0, 6.2)</w:t>
            </w:r>
          </w:p>
        </w:tc>
        <w:tc>
          <w:tcPr>
            <w:tcW w:w="2214" w:type="dxa"/>
            <w:hideMark/>
          </w:tcPr>
          <w:p w14:paraId="18F6008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4.0 (3.0, 6.0)</w:t>
            </w:r>
          </w:p>
        </w:tc>
        <w:tc>
          <w:tcPr>
            <w:tcW w:w="2214" w:type="dxa"/>
            <w:hideMark/>
          </w:tcPr>
          <w:p w14:paraId="3080309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4.5 (3.0, 6.0)</w:t>
            </w:r>
          </w:p>
        </w:tc>
        <w:tc>
          <w:tcPr>
            <w:tcW w:w="2215" w:type="dxa"/>
            <w:hideMark/>
          </w:tcPr>
          <w:p w14:paraId="40D3CA2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5.0 (3.0, 6.4)</w:t>
            </w:r>
          </w:p>
        </w:tc>
      </w:tr>
      <w:tr w:rsidR="00D250E5" w:rsidRPr="00737A30" w14:paraId="16061524" w14:textId="77777777" w:rsidTr="002D2677">
        <w:trPr>
          <w:trHeight w:val="23"/>
        </w:trPr>
        <w:tc>
          <w:tcPr>
            <w:tcW w:w="5103" w:type="dxa"/>
            <w:hideMark/>
          </w:tcPr>
          <w:p w14:paraId="25D953B1"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Range</w:t>
            </w:r>
          </w:p>
        </w:tc>
        <w:tc>
          <w:tcPr>
            <w:tcW w:w="2214" w:type="dxa"/>
            <w:hideMark/>
          </w:tcPr>
          <w:p w14:paraId="1D6C643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1.0–36.0</w:t>
            </w:r>
          </w:p>
        </w:tc>
        <w:tc>
          <w:tcPr>
            <w:tcW w:w="2214" w:type="dxa"/>
            <w:hideMark/>
          </w:tcPr>
          <w:p w14:paraId="624DBE0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1.0–13.0</w:t>
            </w:r>
          </w:p>
        </w:tc>
        <w:tc>
          <w:tcPr>
            <w:tcW w:w="2214" w:type="dxa"/>
            <w:hideMark/>
          </w:tcPr>
          <w:p w14:paraId="5B7F7B1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1.0–31.0</w:t>
            </w:r>
          </w:p>
        </w:tc>
        <w:tc>
          <w:tcPr>
            <w:tcW w:w="2215" w:type="dxa"/>
            <w:hideMark/>
          </w:tcPr>
          <w:p w14:paraId="44A200D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1.0–36.0</w:t>
            </w:r>
          </w:p>
        </w:tc>
      </w:tr>
      <w:tr w:rsidR="00D250E5" w:rsidRPr="00737A30" w14:paraId="4EC6DC40" w14:textId="77777777" w:rsidTr="002D2677">
        <w:trPr>
          <w:trHeight w:val="23"/>
        </w:trPr>
        <w:tc>
          <w:tcPr>
            <w:tcW w:w="5103" w:type="dxa"/>
            <w:hideMark/>
          </w:tcPr>
          <w:p w14:paraId="0265B6EF"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Duration categories, n (%)</w:t>
            </w:r>
            <w:r w:rsidRPr="00495D42">
              <w:rPr>
                <w:rFonts w:cs="Arial"/>
                <w:sz w:val="18"/>
                <w:szCs w:val="18"/>
                <w:vertAlign w:val="superscript"/>
              </w:rPr>
              <w:t>a</w:t>
            </w:r>
          </w:p>
        </w:tc>
        <w:tc>
          <w:tcPr>
            <w:tcW w:w="2214" w:type="dxa"/>
            <w:hideMark/>
          </w:tcPr>
          <w:p w14:paraId="1327B2CA"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7502993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7FBBEB4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673DF402"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24BA4BB" w14:textId="77777777" w:rsidTr="002D2677">
        <w:trPr>
          <w:trHeight w:val="23"/>
        </w:trPr>
        <w:tc>
          <w:tcPr>
            <w:tcW w:w="5103" w:type="dxa"/>
            <w:hideMark/>
          </w:tcPr>
          <w:p w14:paraId="3DFC4FD4"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1–2 days</w:t>
            </w:r>
          </w:p>
        </w:tc>
        <w:tc>
          <w:tcPr>
            <w:tcW w:w="2214" w:type="dxa"/>
            <w:hideMark/>
          </w:tcPr>
          <w:p w14:paraId="138F43E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316 (25.0)</w:t>
            </w:r>
          </w:p>
        </w:tc>
        <w:tc>
          <w:tcPr>
            <w:tcW w:w="2214" w:type="dxa"/>
            <w:hideMark/>
          </w:tcPr>
          <w:p w14:paraId="7A2D684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36 (26.5)</w:t>
            </w:r>
          </w:p>
        </w:tc>
        <w:tc>
          <w:tcPr>
            <w:tcW w:w="2214" w:type="dxa"/>
            <w:hideMark/>
          </w:tcPr>
          <w:p w14:paraId="3B06912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152 (27.7)</w:t>
            </w:r>
          </w:p>
        </w:tc>
        <w:tc>
          <w:tcPr>
            <w:tcW w:w="2215" w:type="dxa"/>
            <w:hideMark/>
          </w:tcPr>
          <w:p w14:paraId="05FBA73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128 (22.1)</w:t>
            </w:r>
          </w:p>
        </w:tc>
      </w:tr>
      <w:tr w:rsidR="00D250E5" w:rsidRPr="00737A30" w14:paraId="63E7C071" w14:textId="77777777" w:rsidTr="002D2677">
        <w:trPr>
          <w:trHeight w:val="23"/>
        </w:trPr>
        <w:tc>
          <w:tcPr>
            <w:tcW w:w="5103" w:type="dxa"/>
            <w:hideMark/>
          </w:tcPr>
          <w:p w14:paraId="4AFB5E0B"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lastRenderedPageBreak/>
              <w:t>3–7 days</w:t>
            </w:r>
          </w:p>
        </w:tc>
        <w:tc>
          <w:tcPr>
            <w:tcW w:w="2214" w:type="dxa"/>
            <w:hideMark/>
          </w:tcPr>
          <w:p w14:paraId="2853AA1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969 (76.6)</w:t>
            </w:r>
          </w:p>
        </w:tc>
        <w:tc>
          <w:tcPr>
            <w:tcW w:w="2214" w:type="dxa"/>
            <w:hideMark/>
          </w:tcPr>
          <w:p w14:paraId="2CB1AD0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108 (79.4)</w:t>
            </w:r>
          </w:p>
        </w:tc>
        <w:tc>
          <w:tcPr>
            <w:tcW w:w="2214" w:type="dxa"/>
            <w:hideMark/>
          </w:tcPr>
          <w:p w14:paraId="374853A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411 (74.9)</w:t>
            </w:r>
          </w:p>
        </w:tc>
        <w:tc>
          <w:tcPr>
            <w:tcW w:w="2215" w:type="dxa"/>
            <w:hideMark/>
          </w:tcPr>
          <w:p w14:paraId="6CBE845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450 (77.6)</w:t>
            </w:r>
          </w:p>
        </w:tc>
      </w:tr>
      <w:tr w:rsidR="00D250E5" w:rsidRPr="00737A30" w14:paraId="78DB42F5" w14:textId="77777777" w:rsidTr="002D2677">
        <w:trPr>
          <w:trHeight w:val="23"/>
        </w:trPr>
        <w:tc>
          <w:tcPr>
            <w:tcW w:w="5103" w:type="dxa"/>
            <w:hideMark/>
          </w:tcPr>
          <w:p w14:paraId="4CCE89CA"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8–14 days</w:t>
            </w:r>
          </w:p>
        </w:tc>
        <w:tc>
          <w:tcPr>
            <w:tcW w:w="2214" w:type="dxa"/>
            <w:hideMark/>
          </w:tcPr>
          <w:p w14:paraId="2A88E2F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264 (20.9)</w:t>
            </w:r>
          </w:p>
        </w:tc>
        <w:tc>
          <w:tcPr>
            <w:tcW w:w="2214" w:type="dxa"/>
            <w:hideMark/>
          </w:tcPr>
          <w:p w14:paraId="6077529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24 (17.6)</w:t>
            </w:r>
          </w:p>
        </w:tc>
        <w:tc>
          <w:tcPr>
            <w:tcW w:w="2214" w:type="dxa"/>
            <w:hideMark/>
          </w:tcPr>
          <w:p w14:paraId="5CA7CA7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108 (19.7)</w:t>
            </w:r>
          </w:p>
        </w:tc>
        <w:tc>
          <w:tcPr>
            <w:tcW w:w="2215" w:type="dxa"/>
            <w:hideMark/>
          </w:tcPr>
          <w:p w14:paraId="2C0FE54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132 (22.8)</w:t>
            </w:r>
          </w:p>
        </w:tc>
      </w:tr>
      <w:tr w:rsidR="00D250E5" w:rsidRPr="00737A30" w14:paraId="6C7AEF7A" w14:textId="77777777" w:rsidTr="002D2677">
        <w:trPr>
          <w:trHeight w:val="23"/>
        </w:trPr>
        <w:tc>
          <w:tcPr>
            <w:tcW w:w="5103" w:type="dxa"/>
            <w:hideMark/>
          </w:tcPr>
          <w:p w14:paraId="0EA4A85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Dose, mg/</w:t>
            </w:r>
            <w:proofErr w:type="spellStart"/>
            <w:r w:rsidRPr="00495D42">
              <w:rPr>
                <w:rFonts w:cs="Arial"/>
                <w:sz w:val="18"/>
                <w:szCs w:val="18"/>
              </w:rPr>
              <w:t>day</w:t>
            </w:r>
            <w:r w:rsidRPr="00495D42">
              <w:rPr>
                <w:rFonts w:cs="Arial"/>
                <w:sz w:val="18"/>
                <w:szCs w:val="18"/>
                <w:vertAlign w:val="superscript"/>
              </w:rPr>
              <w:t>a</w:t>
            </w:r>
            <w:proofErr w:type="spellEnd"/>
          </w:p>
        </w:tc>
        <w:tc>
          <w:tcPr>
            <w:tcW w:w="2214" w:type="dxa"/>
            <w:hideMark/>
          </w:tcPr>
          <w:p w14:paraId="5DDBDF4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5710E14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3D9E8B9A"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065E58A2"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9486C95" w14:textId="77777777" w:rsidTr="002D2677">
        <w:trPr>
          <w:trHeight w:val="23"/>
        </w:trPr>
        <w:tc>
          <w:tcPr>
            <w:tcW w:w="5103" w:type="dxa"/>
            <w:hideMark/>
          </w:tcPr>
          <w:p w14:paraId="4342171A"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Mean (SD)</w:t>
            </w:r>
          </w:p>
        </w:tc>
        <w:tc>
          <w:tcPr>
            <w:tcW w:w="2214" w:type="dxa"/>
            <w:hideMark/>
          </w:tcPr>
          <w:p w14:paraId="597D1CF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28.6 (14.4)</w:t>
            </w:r>
          </w:p>
        </w:tc>
        <w:tc>
          <w:tcPr>
            <w:tcW w:w="2214" w:type="dxa"/>
            <w:hideMark/>
          </w:tcPr>
          <w:p w14:paraId="2FCDAF8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29.2 (17.4)</w:t>
            </w:r>
          </w:p>
        </w:tc>
        <w:tc>
          <w:tcPr>
            <w:tcW w:w="2214" w:type="dxa"/>
            <w:hideMark/>
          </w:tcPr>
          <w:p w14:paraId="00D3F94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29.7 (16.6)</w:t>
            </w:r>
          </w:p>
        </w:tc>
        <w:tc>
          <w:tcPr>
            <w:tcW w:w="2215" w:type="dxa"/>
            <w:hideMark/>
          </w:tcPr>
          <w:p w14:paraId="5F0E0E5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27.4 (10.8)</w:t>
            </w:r>
          </w:p>
        </w:tc>
      </w:tr>
      <w:tr w:rsidR="00D250E5" w:rsidRPr="00737A30" w14:paraId="6394DEAF" w14:textId="77777777" w:rsidTr="002D2677">
        <w:trPr>
          <w:trHeight w:val="23"/>
        </w:trPr>
        <w:tc>
          <w:tcPr>
            <w:tcW w:w="5103" w:type="dxa"/>
            <w:hideMark/>
          </w:tcPr>
          <w:p w14:paraId="2A7A5AAF"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Median (IQR)</w:t>
            </w:r>
          </w:p>
        </w:tc>
        <w:tc>
          <w:tcPr>
            <w:tcW w:w="2214" w:type="dxa"/>
            <w:hideMark/>
          </w:tcPr>
          <w:p w14:paraId="32F5BB2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26.0 (20.0, 30.0)</w:t>
            </w:r>
          </w:p>
        </w:tc>
        <w:tc>
          <w:tcPr>
            <w:tcW w:w="2214" w:type="dxa"/>
            <w:hideMark/>
          </w:tcPr>
          <w:p w14:paraId="181976E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25.0 (20.0, 30.0)</w:t>
            </w:r>
          </w:p>
        </w:tc>
        <w:tc>
          <w:tcPr>
            <w:tcW w:w="2214" w:type="dxa"/>
            <w:hideMark/>
          </w:tcPr>
          <w:p w14:paraId="23F3241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26.7 (20.0, 30.0)</w:t>
            </w:r>
          </w:p>
        </w:tc>
        <w:tc>
          <w:tcPr>
            <w:tcW w:w="2215" w:type="dxa"/>
            <w:hideMark/>
          </w:tcPr>
          <w:p w14:paraId="41BBFAE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25.0 (20.0–30.0)</w:t>
            </w:r>
          </w:p>
        </w:tc>
      </w:tr>
      <w:tr w:rsidR="00D250E5" w:rsidRPr="00737A30" w14:paraId="127226A5" w14:textId="77777777" w:rsidTr="002D2677">
        <w:trPr>
          <w:trHeight w:val="23"/>
        </w:trPr>
        <w:tc>
          <w:tcPr>
            <w:tcW w:w="5103" w:type="dxa"/>
            <w:hideMark/>
          </w:tcPr>
          <w:p w14:paraId="612FC1F4"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Range</w:t>
            </w:r>
          </w:p>
        </w:tc>
        <w:tc>
          <w:tcPr>
            <w:tcW w:w="2214" w:type="dxa"/>
            <w:hideMark/>
          </w:tcPr>
          <w:p w14:paraId="00309A7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2.0–294.9</w:t>
            </w:r>
          </w:p>
        </w:tc>
        <w:tc>
          <w:tcPr>
            <w:tcW w:w="2214" w:type="dxa"/>
            <w:hideMark/>
          </w:tcPr>
          <w:p w14:paraId="63A18AA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8.0–190.0</w:t>
            </w:r>
          </w:p>
        </w:tc>
        <w:tc>
          <w:tcPr>
            <w:tcW w:w="2214" w:type="dxa"/>
            <w:hideMark/>
          </w:tcPr>
          <w:p w14:paraId="475061C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2.0–294.9</w:t>
            </w:r>
          </w:p>
        </w:tc>
        <w:tc>
          <w:tcPr>
            <w:tcW w:w="2215" w:type="dxa"/>
            <w:hideMark/>
          </w:tcPr>
          <w:p w14:paraId="71C44AB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4.7, 150.0</w:t>
            </w:r>
          </w:p>
        </w:tc>
      </w:tr>
      <w:tr w:rsidR="00D250E5" w:rsidRPr="00737A30" w14:paraId="68AD4513" w14:textId="77777777" w:rsidTr="002D2677">
        <w:trPr>
          <w:trHeight w:val="23"/>
        </w:trPr>
        <w:tc>
          <w:tcPr>
            <w:tcW w:w="5103" w:type="dxa"/>
          </w:tcPr>
          <w:p w14:paraId="40414036"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Short-term use of intravenous systemic glucocorticoids</w:t>
            </w:r>
          </w:p>
        </w:tc>
        <w:tc>
          <w:tcPr>
            <w:tcW w:w="2214" w:type="dxa"/>
            <w:hideMark/>
          </w:tcPr>
          <w:p w14:paraId="22494145"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6F59ABE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5E2409AA"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2793B5AC"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664FF1F" w14:textId="77777777" w:rsidTr="002D2677">
        <w:trPr>
          <w:trHeight w:val="23"/>
        </w:trPr>
        <w:tc>
          <w:tcPr>
            <w:tcW w:w="5103" w:type="dxa"/>
            <w:hideMark/>
          </w:tcPr>
          <w:p w14:paraId="5A3FCF94"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Patients, n (%)</w:t>
            </w:r>
          </w:p>
        </w:tc>
        <w:tc>
          <w:tcPr>
            <w:tcW w:w="2214" w:type="dxa"/>
            <w:hideMark/>
          </w:tcPr>
          <w:p w14:paraId="5D0B4D4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1,993 (19.3)</w:t>
            </w:r>
          </w:p>
        </w:tc>
        <w:tc>
          <w:tcPr>
            <w:tcW w:w="2214" w:type="dxa"/>
            <w:hideMark/>
          </w:tcPr>
          <w:p w14:paraId="159FDDC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242 (17.0)</w:t>
            </w:r>
          </w:p>
        </w:tc>
        <w:tc>
          <w:tcPr>
            <w:tcW w:w="2214" w:type="dxa"/>
            <w:hideMark/>
          </w:tcPr>
          <w:p w14:paraId="310BFE5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864 (17.7)</w:t>
            </w:r>
          </w:p>
        </w:tc>
        <w:tc>
          <w:tcPr>
            <w:tcW w:w="2215" w:type="dxa"/>
            <w:hideMark/>
          </w:tcPr>
          <w:p w14:paraId="34297B1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887 (22.2)</w:t>
            </w:r>
          </w:p>
        </w:tc>
      </w:tr>
      <w:tr w:rsidR="00D250E5" w:rsidRPr="00737A30" w14:paraId="68D907F0" w14:textId="77777777" w:rsidTr="002D2677">
        <w:trPr>
          <w:trHeight w:val="23"/>
        </w:trPr>
        <w:tc>
          <w:tcPr>
            <w:tcW w:w="5103" w:type="dxa"/>
            <w:hideMark/>
          </w:tcPr>
          <w:p w14:paraId="5B9C1E34"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Events, n</w:t>
            </w:r>
          </w:p>
        </w:tc>
        <w:tc>
          <w:tcPr>
            <w:tcW w:w="2214" w:type="dxa"/>
            <w:hideMark/>
          </w:tcPr>
          <w:p w14:paraId="0F3F97D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10,405</w:t>
            </w:r>
          </w:p>
        </w:tc>
        <w:tc>
          <w:tcPr>
            <w:tcW w:w="2214" w:type="dxa"/>
            <w:hideMark/>
          </w:tcPr>
          <w:p w14:paraId="15B102F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1,212</w:t>
            </w:r>
          </w:p>
        </w:tc>
        <w:tc>
          <w:tcPr>
            <w:tcW w:w="2214" w:type="dxa"/>
            <w:hideMark/>
          </w:tcPr>
          <w:p w14:paraId="42CBEB9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4,517</w:t>
            </w:r>
          </w:p>
        </w:tc>
        <w:tc>
          <w:tcPr>
            <w:tcW w:w="2215" w:type="dxa"/>
            <w:hideMark/>
          </w:tcPr>
          <w:p w14:paraId="2418DCB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4,676</w:t>
            </w:r>
          </w:p>
        </w:tc>
      </w:tr>
      <w:tr w:rsidR="00D250E5" w:rsidRPr="00737A30" w14:paraId="46848A9C" w14:textId="77777777" w:rsidTr="002D2677">
        <w:trPr>
          <w:trHeight w:val="23"/>
        </w:trPr>
        <w:tc>
          <w:tcPr>
            <w:tcW w:w="5103" w:type="dxa"/>
            <w:hideMark/>
          </w:tcPr>
          <w:p w14:paraId="691274C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Total follow-up duration, years</w:t>
            </w:r>
          </w:p>
        </w:tc>
        <w:tc>
          <w:tcPr>
            <w:tcW w:w="2214" w:type="dxa"/>
            <w:hideMark/>
          </w:tcPr>
          <w:p w14:paraId="0415DF8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25,306.50</w:t>
            </w:r>
          </w:p>
        </w:tc>
        <w:tc>
          <w:tcPr>
            <w:tcW w:w="2214" w:type="dxa"/>
            <w:hideMark/>
          </w:tcPr>
          <w:p w14:paraId="562D794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3,402.10</w:t>
            </w:r>
          </w:p>
        </w:tc>
        <w:tc>
          <w:tcPr>
            <w:tcW w:w="2214" w:type="dxa"/>
            <w:hideMark/>
          </w:tcPr>
          <w:p w14:paraId="2992E2A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12,068.40</w:t>
            </w:r>
          </w:p>
        </w:tc>
        <w:tc>
          <w:tcPr>
            <w:tcW w:w="2215" w:type="dxa"/>
            <w:hideMark/>
          </w:tcPr>
          <w:p w14:paraId="030DE12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9,836.10</w:t>
            </w:r>
          </w:p>
        </w:tc>
      </w:tr>
      <w:tr w:rsidR="00D250E5" w:rsidRPr="00737A30" w14:paraId="5593CE57" w14:textId="77777777" w:rsidTr="002D2677">
        <w:trPr>
          <w:trHeight w:val="23"/>
        </w:trPr>
        <w:tc>
          <w:tcPr>
            <w:tcW w:w="5103" w:type="dxa"/>
            <w:hideMark/>
          </w:tcPr>
          <w:p w14:paraId="65C667E6"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Incidence rate, events/100 patient-years (95% CI)</w:t>
            </w:r>
          </w:p>
        </w:tc>
        <w:tc>
          <w:tcPr>
            <w:tcW w:w="2214" w:type="dxa"/>
            <w:hideMark/>
          </w:tcPr>
          <w:p w14:paraId="078CE29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41.12 (40.33, 41.91)</w:t>
            </w:r>
          </w:p>
        </w:tc>
        <w:tc>
          <w:tcPr>
            <w:tcW w:w="2214" w:type="dxa"/>
            <w:hideMark/>
          </w:tcPr>
          <w:p w14:paraId="42DE3E6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35.63 (33.65, 37.69)</w:t>
            </w:r>
          </w:p>
        </w:tc>
        <w:tc>
          <w:tcPr>
            <w:tcW w:w="2214" w:type="dxa"/>
            <w:hideMark/>
          </w:tcPr>
          <w:p w14:paraId="630CFD6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37.43 (36.34, 38.54)</w:t>
            </w:r>
          </w:p>
        </w:tc>
        <w:tc>
          <w:tcPr>
            <w:tcW w:w="2215" w:type="dxa"/>
            <w:hideMark/>
          </w:tcPr>
          <w:p w14:paraId="046298F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47.54 (46.19, 48.92)</w:t>
            </w:r>
          </w:p>
        </w:tc>
      </w:tr>
      <w:tr w:rsidR="00D250E5" w:rsidRPr="00737A30" w14:paraId="3373C065" w14:textId="77777777" w:rsidTr="002D2677">
        <w:trPr>
          <w:trHeight w:val="23"/>
        </w:trPr>
        <w:tc>
          <w:tcPr>
            <w:tcW w:w="5103" w:type="dxa"/>
            <w:hideMark/>
          </w:tcPr>
          <w:p w14:paraId="225FD4CC"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Duration, days/</w:t>
            </w:r>
            <w:proofErr w:type="spellStart"/>
            <w:r w:rsidRPr="00495D42">
              <w:rPr>
                <w:rFonts w:cs="Arial"/>
                <w:sz w:val="18"/>
                <w:szCs w:val="18"/>
              </w:rPr>
              <w:t>episode</w:t>
            </w:r>
            <w:r w:rsidRPr="00495D42">
              <w:rPr>
                <w:rFonts w:cs="Arial"/>
                <w:sz w:val="18"/>
                <w:szCs w:val="18"/>
                <w:vertAlign w:val="superscript"/>
              </w:rPr>
              <w:t>a</w:t>
            </w:r>
            <w:proofErr w:type="spellEnd"/>
          </w:p>
        </w:tc>
        <w:tc>
          <w:tcPr>
            <w:tcW w:w="2214" w:type="dxa"/>
            <w:hideMark/>
          </w:tcPr>
          <w:p w14:paraId="51734CE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4F594B7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2FB144D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3EAAA474"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5EF577D5" w14:textId="77777777" w:rsidTr="002D2677">
        <w:trPr>
          <w:trHeight w:val="23"/>
        </w:trPr>
        <w:tc>
          <w:tcPr>
            <w:tcW w:w="5103" w:type="dxa"/>
            <w:hideMark/>
          </w:tcPr>
          <w:p w14:paraId="7AA8BCC1"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Mean (SD)</w:t>
            </w:r>
          </w:p>
        </w:tc>
        <w:tc>
          <w:tcPr>
            <w:tcW w:w="2214" w:type="dxa"/>
            <w:hideMark/>
          </w:tcPr>
          <w:p w14:paraId="365E1EB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2.3 (2.2)</w:t>
            </w:r>
          </w:p>
        </w:tc>
        <w:tc>
          <w:tcPr>
            <w:tcW w:w="2214" w:type="dxa"/>
            <w:hideMark/>
          </w:tcPr>
          <w:p w14:paraId="53CC396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 (2.7)</w:t>
            </w:r>
          </w:p>
        </w:tc>
        <w:tc>
          <w:tcPr>
            <w:tcW w:w="2214" w:type="dxa"/>
            <w:hideMark/>
          </w:tcPr>
          <w:p w14:paraId="5CC2FAB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2.3 (2.2)</w:t>
            </w:r>
          </w:p>
        </w:tc>
        <w:tc>
          <w:tcPr>
            <w:tcW w:w="2215" w:type="dxa"/>
            <w:hideMark/>
          </w:tcPr>
          <w:p w14:paraId="3F19E1B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2.2 (2.0)</w:t>
            </w:r>
          </w:p>
        </w:tc>
      </w:tr>
      <w:tr w:rsidR="00D250E5" w:rsidRPr="00737A30" w14:paraId="35182B6F" w14:textId="77777777" w:rsidTr="002D2677">
        <w:trPr>
          <w:trHeight w:val="23"/>
        </w:trPr>
        <w:tc>
          <w:tcPr>
            <w:tcW w:w="5103" w:type="dxa"/>
            <w:hideMark/>
          </w:tcPr>
          <w:p w14:paraId="0A03095D"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Median (IQR)</w:t>
            </w:r>
          </w:p>
        </w:tc>
        <w:tc>
          <w:tcPr>
            <w:tcW w:w="2214" w:type="dxa"/>
            <w:hideMark/>
          </w:tcPr>
          <w:p w14:paraId="318AE63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 (1.0, 3.0)</w:t>
            </w:r>
          </w:p>
        </w:tc>
        <w:tc>
          <w:tcPr>
            <w:tcW w:w="2214" w:type="dxa"/>
            <w:hideMark/>
          </w:tcPr>
          <w:p w14:paraId="38AF878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 (1.0, 4.0)</w:t>
            </w:r>
          </w:p>
        </w:tc>
        <w:tc>
          <w:tcPr>
            <w:tcW w:w="2214" w:type="dxa"/>
            <w:hideMark/>
          </w:tcPr>
          <w:p w14:paraId="40EE356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 (1.0, 3.0)</w:t>
            </w:r>
          </w:p>
        </w:tc>
        <w:tc>
          <w:tcPr>
            <w:tcW w:w="2215" w:type="dxa"/>
            <w:hideMark/>
          </w:tcPr>
          <w:p w14:paraId="0D84A77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 (1.0, 3.0)</w:t>
            </w:r>
          </w:p>
        </w:tc>
      </w:tr>
      <w:tr w:rsidR="00D250E5" w:rsidRPr="00737A30" w14:paraId="2850CE73" w14:textId="77777777" w:rsidTr="002D2677">
        <w:trPr>
          <w:trHeight w:val="23"/>
        </w:trPr>
        <w:tc>
          <w:tcPr>
            <w:tcW w:w="5103" w:type="dxa"/>
            <w:hideMark/>
          </w:tcPr>
          <w:p w14:paraId="7B47208E"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Range</w:t>
            </w:r>
          </w:p>
        </w:tc>
        <w:tc>
          <w:tcPr>
            <w:tcW w:w="2214" w:type="dxa"/>
            <w:hideMark/>
          </w:tcPr>
          <w:p w14:paraId="72B8E29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1.0–14.0</w:t>
            </w:r>
          </w:p>
        </w:tc>
        <w:tc>
          <w:tcPr>
            <w:tcW w:w="2214" w:type="dxa"/>
            <w:hideMark/>
          </w:tcPr>
          <w:p w14:paraId="39DAAB2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1.0–14.0</w:t>
            </w:r>
          </w:p>
        </w:tc>
        <w:tc>
          <w:tcPr>
            <w:tcW w:w="2214" w:type="dxa"/>
            <w:hideMark/>
          </w:tcPr>
          <w:p w14:paraId="14E3E1D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1.0–14.0</w:t>
            </w:r>
          </w:p>
        </w:tc>
        <w:tc>
          <w:tcPr>
            <w:tcW w:w="2215" w:type="dxa"/>
            <w:hideMark/>
          </w:tcPr>
          <w:p w14:paraId="055BA83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1.0–14.0</w:t>
            </w:r>
          </w:p>
        </w:tc>
      </w:tr>
      <w:tr w:rsidR="00D250E5" w:rsidRPr="00737A30" w14:paraId="20396FCC" w14:textId="77777777" w:rsidTr="002D2677">
        <w:trPr>
          <w:trHeight w:val="23"/>
        </w:trPr>
        <w:tc>
          <w:tcPr>
            <w:tcW w:w="5103" w:type="dxa"/>
            <w:hideMark/>
          </w:tcPr>
          <w:p w14:paraId="3F0CD969"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Duration categories, n (%)</w:t>
            </w:r>
            <w:r w:rsidRPr="00495D42">
              <w:rPr>
                <w:rFonts w:cs="Arial"/>
                <w:sz w:val="18"/>
                <w:szCs w:val="18"/>
                <w:vertAlign w:val="superscript"/>
              </w:rPr>
              <w:t>a</w:t>
            </w:r>
          </w:p>
        </w:tc>
        <w:tc>
          <w:tcPr>
            <w:tcW w:w="2214" w:type="dxa"/>
            <w:hideMark/>
          </w:tcPr>
          <w:p w14:paraId="6AFD5D7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14F8AE80"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234B249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14C68DC5"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1F04A56" w14:textId="77777777" w:rsidTr="002D2677">
        <w:trPr>
          <w:trHeight w:val="23"/>
        </w:trPr>
        <w:tc>
          <w:tcPr>
            <w:tcW w:w="5103" w:type="dxa"/>
            <w:hideMark/>
          </w:tcPr>
          <w:p w14:paraId="5682A58C"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1–2 days</w:t>
            </w:r>
          </w:p>
        </w:tc>
        <w:tc>
          <w:tcPr>
            <w:tcW w:w="2214" w:type="dxa"/>
            <w:hideMark/>
          </w:tcPr>
          <w:p w14:paraId="6D15CDC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1,555 (78.0)</w:t>
            </w:r>
          </w:p>
        </w:tc>
        <w:tc>
          <w:tcPr>
            <w:tcW w:w="2214" w:type="dxa"/>
            <w:hideMark/>
          </w:tcPr>
          <w:p w14:paraId="7884A7B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174 (71.9)</w:t>
            </w:r>
          </w:p>
        </w:tc>
        <w:tc>
          <w:tcPr>
            <w:tcW w:w="2214" w:type="dxa"/>
            <w:hideMark/>
          </w:tcPr>
          <w:p w14:paraId="142399C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683 (79.1)</w:t>
            </w:r>
          </w:p>
        </w:tc>
        <w:tc>
          <w:tcPr>
            <w:tcW w:w="2215" w:type="dxa"/>
            <w:hideMark/>
          </w:tcPr>
          <w:p w14:paraId="34CE85D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698 (78.7)</w:t>
            </w:r>
          </w:p>
        </w:tc>
      </w:tr>
      <w:tr w:rsidR="00D250E5" w:rsidRPr="00737A30" w14:paraId="289626CF" w14:textId="77777777" w:rsidTr="002D2677">
        <w:trPr>
          <w:trHeight w:val="23"/>
        </w:trPr>
        <w:tc>
          <w:tcPr>
            <w:tcW w:w="5103" w:type="dxa"/>
            <w:hideMark/>
          </w:tcPr>
          <w:p w14:paraId="2A60B3EA"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3–7 days</w:t>
            </w:r>
          </w:p>
        </w:tc>
        <w:tc>
          <w:tcPr>
            <w:tcW w:w="2214" w:type="dxa"/>
            <w:hideMark/>
          </w:tcPr>
          <w:p w14:paraId="5AE2D66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678 (34.0)</w:t>
            </w:r>
          </w:p>
        </w:tc>
        <w:tc>
          <w:tcPr>
            <w:tcW w:w="2214" w:type="dxa"/>
            <w:hideMark/>
          </w:tcPr>
          <w:p w14:paraId="4B48D2D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87 (36.0)</w:t>
            </w:r>
          </w:p>
        </w:tc>
        <w:tc>
          <w:tcPr>
            <w:tcW w:w="2214" w:type="dxa"/>
            <w:hideMark/>
          </w:tcPr>
          <w:p w14:paraId="43CD414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289 (33.4)</w:t>
            </w:r>
          </w:p>
        </w:tc>
        <w:tc>
          <w:tcPr>
            <w:tcW w:w="2215" w:type="dxa"/>
            <w:hideMark/>
          </w:tcPr>
          <w:p w14:paraId="344DD2A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302 (34.0)</w:t>
            </w:r>
          </w:p>
        </w:tc>
      </w:tr>
      <w:tr w:rsidR="00D250E5" w:rsidRPr="00737A30" w14:paraId="3BB83798" w14:textId="77777777" w:rsidTr="002D2677">
        <w:trPr>
          <w:trHeight w:val="23"/>
        </w:trPr>
        <w:tc>
          <w:tcPr>
            <w:tcW w:w="5103" w:type="dxa"/>
            <w:hideMark/>
          </w:tcPr>
          <w:p w14:paraId="235B8F25"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8–14 days</w:t>
            </w:r>
          </w:p>
        </w:tc>
        <w:tc>
          <w:tcPr>
            <w:tcW w:w="2214" w:type="dxa"/>
            <w:hideMark/>
          </w:tcPr>
          <w:p w14:paraId="0A8F3DE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191 (9.6)</w:t>
            </w:r>
          </w:p>
        </w:tc>
        <w:tc>
          <w:tcPr>
            <w:tcW w:w="2214" w:type="dxa"/>
            <w:hideMark/>
          </w:tcPr>
          <w:p w14:paraId="3446C15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35 (14.5)</w:t>
            </w:r>
          </w:p>
        </w:tc>
        <w:tc>
          <w:tcPr>
            <w:tcW w:w="2214" w:type="dxa"/>
            <w:hideMark/>
          </w:tcPr>
          <w:p w14:paraId="19746BE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89 (10.3)</w:t>
            </w:r>
          </w:p>
        </w:tc>
        <w:tc>
          <w:tcPr>
            <w:tcW w:w="2215" w:type="dxa"/>
            <w:hideMark/>
          </w:tcPr>
          <w:p w14:paraId="225BEDA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67 (7.6)</w:t>
            </w:r>
          </w:p>
        </w:tc>
      </w:tr>
      <w:tr w:rsidR="00D250E5" w:rsidRPr="00737A30" w14:paraId="3E60765B" w14:textId="77777777" w:rsidTr="002D2677">
        <w:trPr>
          <w:trHeight w:val="23"/>
        </w:trPr>
        <w:tc>
          <w:tcPr>
            <w:tcW w:w="5103" w:type="dxa"/>
            <w:hideMark/>
          </w:tcPr>
          <w:p w14:paraId="25399099"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Dose, mg/</w:t>
            </w:r>
            <w:proofErr w:type="spellStart"/>
            <w:r w:rsidRPr="00495D42">
              <w:rPr>
                <w:rFonts w:cs="Arial"/>
                <w:sz w:val="18"/>
                <w:szCs w:val="18"/>
              </w:rPr>
              <w:t>day</w:t>
            </w:r>
            <w:r w:rsidRPr="00495D42">
              <w:rPr>
                <w:rFonts w:cs="Arial"/>
                <w:sz w:val="18"/>
                <w:szCs w:val="18"/>
                <w:vertAlign w:val="superscript"/>
              </w:rPr>
              <w:t>a</w:t>
            </w:r>
            <w:proofErr w:type="spellEnd"/>
          </w:p>
        </w:tc>
        <w:tc>
          <w:tcPr>
            <w:tcW w:w="2214" w:type="dxa"/>
            <w:hideMark/>
          </w:tcPr>
          <w:p w14:paraId="2C6CF0E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6A62DE6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6DFA10DE"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2D66087D"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FD11527" w14:textId="77777777" w:rsidTr="002D2677">
        <w:trPr>
          <w:trHeight w:val="23"/>
        </w:trPr>
        <w:tc>
          <w:tcPr>
            <w:tcW w:w="5103" w:type="dxa"/>
            <w:hideMark/>
          </w:tcPr>
          <w:p w14:paraId="15A95DD3"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Mean (SD)</w:t>
            </w:r>
          </w:p>
        </w:tc>
        <w:tc>
          <w:tcPr>
            <w:tcW w:w="2214" w:type="dxa"/>
            <w:hideMark/>
          </w:tcPr>
          <w:p w14:paraId="1D81162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124.7 (254.3)</w:t>
            </w:r>
          </w:p>
        </w:tc>
        <w:tc>
          <w:tcPr>
            <w:tcW w:w="2214" w:type="dxa"/>
            <w:hideMark/>
          </w:tcPr>
          <w:p w14:paraId="7C3CDB3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121.1 (267.2)</w:t>
            </w:r>
          </w:p>
        </w:tc>
        <w:tc>
          <w:tcPr>
            <w:tcW w:w="2214" w:type="dxa"/>
            <w:hideMark/>
          </w:tcPr>
          <w:p w14:paraId="45B1EA0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131.1 (284.0)</w:t>
            </w:r>
          </w:p>
        </w:tc>
        <w:tc>
          <w:tcPr>
            <w:tcW w:w="2215" w:type="dxa"/>
            <w:hideMark/>
          </w:tcPr>
          <w:p w14:paraId="556ADDF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119.4 (217.6)</w:t>
            </w:r>
          </w:p>
        </w:tc>
      </w:tr>
      <w:tr w:rsidR="00D250E5" w:rsidRPr="00737A30" w14:paraId="6C635042" w14:textId="77777777" w:rsidTr="002D2677">
        <w:trPr>
          <w:trHeight w:val="23"/>
        </w:trPr>
        <w:tc>
          <w:tcPr>
            <w:tcW w:w="5103" w:type="dxa"/>
            <w:hideMark/>
          </w:tcPr>
          <w:p w14:paraId="132578A0"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Median (IQR)</w:t>
            </w:r>
          </w:p>
        </w:tc>
        <w:tc>
          <w:tcPr>
            <w:tcW w:w="2214" w:type="dxa"/>
            <w:hideMark/>
          </w:tcPr>
          <w:p w14:paraId="1F91448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51.9 (44.0, 125.0)</w:t>
            </w:r>
          </w:p>
        </w:tc>
        <w:tc>
          <w:tcPr>
            <w:tcW w:w="2214" w:type="dxa"/>
            <w:hideMark/>
          </w:tcPr>
          <w:p w14:paraId="22FFB86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50.0 (40.0, 87.5)</w:t>
            </w:r>
          </w:p>
        </w:tc>
        <w:tc>
          <w:tcPr>
            <w:tcW w:w="2214" w:type="dxa"/>
            <w:hideMark/>
          </w:tcPr>
          <w:p w14:paraId="47531A5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50.0 (42.5, 124.8)</w:t>
            </w:r>
          </w:p>
        </w:tc>
        <w:tc>
          <w:tcPr>
            <w:tcW w:w="2215" w:type="dxa"/>
            <w:hideMark/>
          </w:tcPr>
          <w:p w14:paraId="5A2584C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53.3 (44.0, 135.7)</w:t>
            </w:r>
          </w:p>
        </w:tc>
      </w:tr>
      <w:tr w:rsidR="00D250E5" w:rsidRPr="00737A30" w14:paraId="5577FAB2" w14:textId="77777777" w:rsidTr="002D2677">
        <w:trPr>
          <w:trHeight w:val="23"/>
        </w:trPr>
        <w:tc>
          <w:tcPr>
            <w:tcW w:w="5103" w:type="dxa"/>
            <w:hideMark/>
          </w:tcPr>
          <w:p w14:paraId="390AD3E3"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Range</w:t>
            </w:r>
          </w:p>
        </w:tc>
        <w:tc>
          <w:tcPr>
            <w:tcW w:w="2214" w:type="dxa"/>
            <w:hideMark/>
          </w:tcPr>
          <w:p w14:paraId="6F6F721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15.0–3,750.0</w:t>
            </w:r>
          </w:p>
        </w:tc>
        <w:tc>
          <w:tcPr>
            <w:tcW w:w="2214" w:type="dxa"/>
            <w:hideMark/>
          </w:tcPr>
          <w:p w14:paraId="2179F41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20.0–2,500.0</w:t>
            </w:r>
          </w:p>
        </w:tc>
        <w:tc>
          <w:tcPr>
            <w:tcW w:w="2214" w:type="dxa"/>
            <w:hideMark/>
          </w:tcPr>
          <w:p w14:paraId="5E96E94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15.0–3,750.0</w:t>
            </w:r>
          </w:p>
        </w:tc>
        <w:tc>
          <w:tcPr>
            <w:tcW w:w="2215" w:type="dxa"/>
            <w:hideMark/>
          </w:tcPr>
          <w:p w14:paraId="5E7F51F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20.0–3,750.0</w:t>
            </w:r>
          </w:p>
        </w:tc>
      </w:tr>
      <w:tr w:rsidR="00D250E5" w:rsidRPr="00737A30" w14:paraId="55E71C21" w14:textId="77777777" w:rsidTr="002D2677">
        <w:trPr>
          <w:trHeight w:val="23"/>
        </w:trPr>
        <w:tc>
          <w:tcPr>
            <w:tcW w:w="5103" w:type="dxa"/>
          </w:tcPr>
          <w:p w14:paraId="76D95E92"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Continuous use of systemic glucocorticoids</w:t>
            </w:r>
          </w:p>
        </w:tc>
        <w:tc>
          <w:tcPr>
            <w:tcW w:w="2214" w:type="dxa"/>
            <w:hideMark/>
          </w:tcPr>
          <w:p w14:paraId="0C0DF410"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0E58C86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7F0BFE6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0A2C05CC"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29ABA853" w14:textId="77777777" w:rsidTr="002D2677">
        <w:trPr>
          <w:trHeight w:val="23"/>
        </w:trPr>
        <w:tc>
          <w:tcPr>
            <w:tcW w:w="5103" w:type="dxa"/>
            <w:hideMark/>
          </w:tcPr>
          <w:p w14:paraId="1E2F0099"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Patients, n (%)</w:t>
            </w:r>
          </w:p>
        </w:tc>
        <w:tc>
          <w:tcPr>
            <w:tcW w:w="2214" w:type="dxa"/>
            <w:hideMark/>
          </w:tcPr>
          <w:p w14:paraId="0C36A28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2,330 (22.6)</w:t>
            </w:r>
          </w:p>
        </w:tc>
        <w:tc>
          <w:tcPr>
            <w:tcW w:w="2214" w:type="dxa"/>
            <w:hideMark/>
          </w:tcPr>
          <w:p w14:paraId="27070B8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281 (19.7)</w:t>
            </w:r>
          </w:p>
        </w:tc>
        <w:tc>
          <w:tcPr>
            <w:tcW w:w="2214" w:type="dxa"/>
            <w:hideMark/>
          </w:tcPr>
          <w:p w14:paraId="54525A7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996 (20.3)</w:t>
            </w:r>
          </w:p>
        </w:tc>
        <w:tc>
          <w:tcPr>
            <w:tcW w:w="2215" w:type="dxa"/>
            <w:hideMark/>
          </w:tcPr>
          <w:p w14:paraId="76655CF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1,053 (26.3)</w:t>
            </w:r>
          </w:p>
        </w:tc>
      </w:tr>
      <w:tr w:rsidR="00D250E5" w:rsidRPr="00737A30" w14:paraId="5A8717DA" w14:textId="77777777" w:rsidTr="002D2677">
        <w:trPr>
          <w:trHeight w:val="23"/>
        </w:trPr>
        <w:tc>
          <w:tcPr>
            <w:tcW w:w="5103" w:type="dxa"/>
            <w:hideMark/>
          </w:tcPr>
          <w:p w14:paraId="39654E19"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Duration, days/longest episode/person</w:t>
            </w:r>
            <w:r w:rsidRPr="00495D42">
              <w:rPr>
                <w:rFonts w:cs="Arial"/>
                <w:sz w:val="18"/>
                <w:szCs w:val="18"/>
                <w:vertAlign w:val="superscript"/>
              </w:rPr>
              <w:t>a</w:t>
            </w:r>
          </w:p>
        </w:tc>
        <w:tc>
          <w:tcPr>
            <w:tcW w:w="2214" w:type="dxa"/>
            <w:hideMark/>
          </w:tcPr>
          <w:p w14:paraId="7E71D5AB"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701EF0FD"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6E0FFB17"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762091D2"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7B97B86B" w14:textId="77777777" w:rsidTr="002D2677">
        <w:trPr>
          <w:trHeight w:val="23"/>
        </w:trPr>
        <w:tc>
          <w:tcPr>
            <w:tcW w:w="5103" w:type="dxa"/>
            <w:hideMark/>
          </w:tcPr>
          <w:p w14:paraId="0BAAFC10"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Mean (SD)</w:t>
            </w:r>
          </w:p>
        </w:tc>
        <w:tc>
          <w:tcPr>
            <w:tcW w:w="2214" w:type="dxa"/>
            <w:hideMark/>
          </w:tcPr>
          <w:p w14:paraId="39949A9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187.5 (298.9)</w:t>
            </w:r>
          </w:p>
        </w:tc>
        <w:tc>
          <w:tcPr>
            <w:tcW w:w="2214" w:type="dxa"/>
            <w:hideMark/>
          </w:tcPr>
          <w:p w14:paraId="14FACC0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214.9 (315.7)</w:t>
            </w:r>
          </w:p>
        </w:tc>
        <w:tc>
          <w:tcPr>
            <w:tcW w:w="2214" w:type="dxa"/>
            <w:hideMark/>
          </w:tcPr>
          <w:p w14:paraId="7472CF9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172.9 (287.2)</w:t>
            </w:r>
          </w:p>
        </w:tc>
        <w:tc>
          <w:tcPr>
            <w:tcW w:w="2215" w:type="dxa"/>
            <w:hideMark/>
          </w:tcPr>
          <w:p w14:paraId="7393790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194.0 (304.5)</w:t>
            </w:r>
          </w:p>
        </w:tc>
      </w:tr>
      <w:tr w:rsidR="00D250E5" w:rsidRPr="00737A30" w14:paraId="01E0569D" w14:textId="77777777" w:rsidTr="002D2677">
        <w:trPr>
          <w:trHeight w:val="23"/>
        </w:trPr>
        <w:tc>
          <w:tcPr>
            <w:tcW w:w="5103" w:type="dxa"/>
            <w:hideMark/>
          </w:tcPr>
          <w:p w14:paraId="068AD2D7"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Median (IQR)</w:t>
            </w:r>
          </w:p>
        </w:tc>
        <w:tc>
          <w:tcPr>
            <w:tcW w:w="2214" w:type="dxa"/>
            <w:hideMark/>
          </w:tcPr>
          <w:p w14:paraId="16C7403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28.0 (5.0, 238.0)</w:t>
            </w:r>
          </w:p>
        </w:tc>
        <w:tc>
          <w:tcPr>
            <w:tcW w:w="2214" w:type="dxa"/>
            <w:hideMark/>
          </w:tcPr>
          <w:p w14:paraId="74F7946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38.0 (6.0, 315.0)</w:t>
            </w:r>
          </w:p>
        </w:tc>
        <w:tc>
          <w:tcPr>
            <w:tcW w:w="2214" w:type="dxa"/>
            <w:hideMark/>
          </w:tcPr>
          <w:p w14:paraId="59065C5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27.0 (5.0, 210.0)</w:t>
            </w:r>
          </w:p>
        </w:tc>
        <w:tc>
          <w:tcPr>
            <w:tcW w:w="2215" w:type="dxa"/>
            <w:hideMark/>
          </w:tcPr>
          <w:p w14:paraId="64112C6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27.0 (5.0, 252.0)</w:t>
            </w:r>
          </w:p>
        </w:tc>
      </w:tr>
      <w:tr w:rsidR="00D250E5" w:rsidRPr="00737A30" w14:paraId="1DBC0500" w14:textId="77777777" w:rsidTr="002D2677">
        <w:trPr>
          <w:trHeight w:val="23"/>
        </w:trPr>
        <w:tc>
          <w:tcPr>
            <w:tcW w:w="5103" w:type="dxa"/>
            <w:hideMark/>
          </w:tcPr>
          <w:p w14:paraId="1667828E"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Range</w:t>
            </w:r>
          </w:p>
        </w:tc>
        <w:tc>
          <w:tcPr>
            <w:tcW w:w="2214" w:type="dxa"/>
            <w:hideMark/>
          </w:tcPr>
          <w:p w14:paraId="1C0839F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1.0–1,092.0</w:t>
            </w:r>
          </w:p>
        </w:tc>
        <w:tc>
          <w:tcPr>
            <w:tcW w:w="2214" w:type="dxa"/>
            <w:hideMark/>
          </w:tcPr>
          <w:p w14:paraId="02A3671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1.0–1,078.0</w:t>
            </w:r>
          </w:p>
        </w:tc>
        <w:tc>
          <w:tcPr>
            <w:tcW w:w="2214" w:type="dxa"/>
            <w:hideMark/>
          </w:tcPr>
          <w:p w14:paraId="51B661A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1.0–1,092.0</w:t>
            </w:r>
          </w:p>
        </w:tc>
        <w:tc>
          <w:tcPr>
            <w:tcW w:w="2215" w:type="dxa"/>
            <w:hideMark/>
          </w:tcPr>
          <w:p w14:paraId="5CCC1E8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1.0–1,092.0</w:t>
            </w:r>
          </w:p>
        </w:tc>
      </w:tr>
      <w:tr w:rsidR="00D250E5" w:rsidRPr="00737A30" w14:paraId="26617D2B" w14:textId="77777777" w:rsidTr="002D2677">
        <w:trPr>
          <w:trHeight w:val="23"/>
        </w:trPr>
        <w:tc>
          <w:tcPr>
            <w:tcW w:w="5103" w:type="dxa"/>
          </w:tcPr>
          <w:p w14:paraId="51189050"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Dose of systemic glucocorticoids (except short-term glucocorticoids)</w:t>
            </w:r>
          </w:p>
        </w:tc>
        <w:tc>
          <w:tcPr>
            <w:tcW w:w="2214" w:type="dxa"/>
            <w:hideMark/>
          </w:tcPr>
          <w:p w14:paraId="3665398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645DFD6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04CEA20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062A789B"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B27171E" w14:textId="77777777" w:rsidTr="002D2677">
        <w:trPr>
          <w:trHeight w:val="23"/>
        </w:trPr>
        <w:tc>
          <w:tcPr>
            <w:tcW w:w="5103" w:type="dxa"/>
            <w:hideMark/>
          </w:tcPr>
          <w:p w14:paraId="050BB091"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Patients, n (%)</w:t>
            </w:r>
          </w:p>
        </w:tc>
        <w:tc>
          <w:tcPr>
            <w:tcW w:w="2214" w:type="dxa"/>
            <w:hideMark/>
          </w:tcPr>
          <w:p w14:paraId="2C816B4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1,688 (16.4)</w:t>
            </w:r>
          </w:p>
        </w:tc>
        <w:tc>
          <w:tcPr>
            <w:tcW w:w="2214" w:type="dxa"/>
            <w:hideMark/>
          </w:tcPr>
          <w:p w14:paraId="7BFCD93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212 (14.9)</w:t>
            </w:r>
          </w:p>
        </w:tc>
        <w:tc>
          <w:tcPr>
            <w:tcW w:w="2214" w:type="dxa"/>
            <w:hideMark/>
          </w:tcPr>
          <w:p w14:paraId="2E25A75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724 (14.8)</w:t>
            </w:r>
          </w:p>
        </w:tc>
        <w:tc>
          <w:tcPr>
            <w:tcW w:w="2215" w:type="dxa"/>
            <w:hideMark/>
          </w:tcPr>
          <w:p w14:paraId="75925DD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752 (18.8)</w:t>
            </w:r>
          </w:p>
        </w:tc>
      </w:tr>
      <w:tr w:rsidR="00D250E5" w:rsidRPr="00737A30" w14:paraId="15BEABDF" w14:textId="77777777" w:rsidTr="002D2677">
        <w:trPr>
          <w:trHeight w:val="23"/>
        </w:trPr>
        <w:tc>
          <w:tcPr>
            <w:tcW w:w="5103" w:type="dxa"/>
            <w:hideMark/>
          </w:tcPr>
          <w:p w14:paraId="75AE7FE2"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Dose, mg/</w:t>
            </w:r>
            <w:proofErr w:type="spellStart"/>
            <w:r w:rsidRPr="00495D42">
              <w:rPr>
                <w:rFonts w:cs="Arial"/>
                <w:sz w:val="18"/>
                <w:szCs w:val="18"/>
              </w:rPr>
              <w:t>day</w:t>
            </w:r>
            <w:r w:rsidRPr="00495D42">
              <w:rPr>
                <w:rFonts w:cs="Arial"/>
                <w:sz w:val="18"/>
                <w:szCs w:val="18"/>
                <w:vertAlign w:val="superscript"/>
              </w:rPr>
              <w:t>a</w:t>
            </w:r>
            <w:proofErr w:type="spellEnd"/>
          </w:p>
        </w:tc>
        <w:tc>
          <w:tcPr>
            <w:tcW w:w="2214" w:type="dxa"/>
            <w:hideMark/>
          </w:tcPr>
          <w:p w14:paraId="426D04D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6B5EF914"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358659B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7E2CBF95"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CF6ADBA" w14:textId="77777777" w:rsidTr="002D2677">
        <w:trPr>
          <w:trHeight w:val="23"/>
        </w:trPr>
        <w:tc>
          <w:tcPr>
            <w:tcW w:w="5103" w:type="dxa"/>
            <w:hideMark/>
          </w:tcPr>
          <w:p w14:paraId="4ED43D7D"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Mean (SD)</w:t>
            </w:r>
          </w:p>
        </w:tc>
        <w:tc>
          <w:tcPr>
            <w:tcW w:w="2214" w:type="dxa"/>
            <w:hideMark/>
          </w:tcPr>
          <w:p w14:paraId="3F47B61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9.6 (7.5)</w:t>
            </w:r>
          </w:p>
        </w:tc>
        <w:tc>
          <w:tcPr>
            <w:tcW w:w="2214" w:type="dxa"/>
            <w:hideMark/>
          </w:tcPr>
          <w:p w14:paraId="3D211D0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8.8 (5.6)</w:t>
            </w:r>
          </w:p>
        </w:tc>
        <w:tc>
          <w:tcPr>
            <w:tcW w:w="2214" w:type="dxa"/>
            <w:hideMark/>
          </w:tcPr>
          <w:p w14:paraId="3A63170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9.8 (7.8)</w:t>
            </w:r>
          </w:p>
        </w:tc>
        <w:tc>
          <w:tcPr>
            <w:tcW w:w="2215" w:type="dxa"/>
            <w:hideMark/>
          </w:tcPr>
          <w:p w14:paraId="0677CCC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9.6 (7.7)</w:t>
            </w:r>
          </w:p>
        </w:tc>
      </w:tr>
      <w:tr w:rsidR="00D250E5" w:rsidRPr="00737A30" w14:paraId="6FCA2D6A" w14:textId="77777777" w:rsidTr="002D2677">
        <w:trPr>
          <w:trHeight w:val="23"/>
        </w:trPr>
        <w:tc>
          <w:tcPr>
            <w:tcW w:w="5103" w:type="dxa"/>
            <w:hideMark/>
          </w:tcPr>
          <w:p w14:paraId="5E739973"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Median (IQR)</w:t>
            </w:r>
          </w:p>
        </w:tc>
        <w:tc>
          <w:tcPr>
            <w:tcW w:w="2214" w:type="dxa"/>
            <w:hideMark/>
          </w:tcPr>
          <w:p w14:paraId="13D2CBA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7.7 (5.0, 12.5)</w:t>
            </w:r>
          </w:p>
        </w:tc>
        <w:tc>
          <w:tcPr>
            <w:tcW w:w="2214" w:type="dxa"/>
            <w:hideMark/>
          </w:tcPr>
          <w:p w14:paraId="18DBE80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7.5 (5.0, 10.5)</w:t>
            </w:r>
          </w:p>
        </w:tc>
        <w:tc>
          <w:tcPr>
            <w:tcW w:w="2214" w:type="dxa"/>
            <w:hideMark/>
          </w:tcPr>
          <w:p w14:paraId="476192B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7.9 (5.0, 13.3)</w:t>
            </w:r>
          </w:p>
        </w:tc>
        <w:tc>
          <w:tcPr>
            <w:tcW w:w="2215" w:type="dxa"/>
            <w:hideMark/>
          </w:tcPr>
          <w:p w14:paraId="05462A1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7.5 (5.0, 12.3)</w:t>
            </w:r>
          </w:p>
        </w:tc>
      </w:tr>
      <w:tr w:rsidR="00D250E5" w:rsidRPr="00737A30" w14:paraId="43E46AB8" w14:textId="77777777" w:rsidTr="002D2677">
        <w:trPr>
          <w:trHeight w:val="23"/>
        </w:trPr>
        <w:tc>
          <w:tcPr>
            <w:tcW w:w="5103" w:type="dxa"/>
            <w:hideMark/>
          </w:tcPr>
          <w:p w14:paraId="3A3D3305"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lastRenderedPageBreak/>
              <w:t>Range</w:t>
            </w:r>
          </w:p>
        </w:tc>
        <w:tc>
          <w:tcPr>
            <w:tcW w:w="2214" w:type="dxa"/>
            <w:hideMark/>
          </w:tcPr>
          <w:p w14:paraId="58DB15D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0.5–70.0</w:t>
            </w:r>
          </w:p>
        </w:tc>
        <w:tc>
          <w:tcPr>
            <w:tcW w:w="2214" w:type="dxa"/>
            <w:hideMark/>
          </w:tcPr>
          <w:p w14:paraId="67E2B15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0.5–37.8</w:t>
            </w:r>
          </w:p>
        </w:tc>
        <w:tc>
          <w:tcPr>
            <w:tcW w:w="2214" w:type="dxa"/>
            <w:hideMark/>
          </w:tcPr>
          <w:p w14:paraId="7EB9A88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0.5–70.0</w:t>
            </w:r>
          </w:p>
        </w:tc>
        <w:tc>
          <w:tcPr>
            <w:tcW w:w="2215" w:type="dxa"/>
            <w:hideMark/>
          </w:tcPr>
          <w:p w14:paraId="338301A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0.5–56.7</w:t>
            </w:r>
          </w:p>
        </w:tc>
      </w:tr>
      <w:tr w:rsidR="00D250E5" w:rsidRPr="00737A30" w14:paraId="3D6116DC" w14:textId="77777777" w:rsidTr="002D2677">
        <w:trPr>
          <w:trHeight w:val="23"/>
        </w:trPr>
        <w:tc>
          <w:tcPr>
            <w:tcW w:w="5103" w:type="dxa"/>
          </w:tcPr>
          <w:p w14:paraId="2CDEEE03"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PDC for oral glucocorticoids</w:t>
            </w:r>
          </w:p>
        </w:tc>
        <w:tc>
          <w:tcPr>
            <w:tcW w:w="2214" w:type="dxa"/>
            <w:hideMark/>
          </w:tcPr>
          <w:p w14:paraId="7F5DA26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462C6E43"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318ECB32"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4E16023F"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46343CB" w14:textId="77777777" w:rsidTr="002D2677">
        <w:trPr>
          <w:trHeight w:val="23"/>
        </w:trPr>
        <w:tc>
          <w:tcPr>
            <w:tcW w:w="5103" w:type="dxa"/>
            <w:hideMark/>
          </w:tcPr>
          <w:p w14:paraId="50B6C5F2"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Patients, n (%)</w:t>
            </w:r>
          </w:p>
        </w:tc>
        <w:tc>
          <w:tcPr>
            <w:tcW w:w="2214" w:type="dxa"/>
            <w:hideMark/>
          </w:tcPr>
          <w:p w14:paraId="0ED4AE7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2,330 (22.6)</w:t>
            </w:r>
          </w:p>
        </w:tc>
        <w:tc>
          <w:tcPr>
            <w:tcW w:w="2214" w:type="dxa"/>
            <w:hideMark/>
          </w:tcPr>
          <w:p w14:paraId="1035744E"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281 (19.7)</w:t>
            </w:r>
          </w:p>
        </w:tc>
        <w:tc>
          <w:tcPr>
            <w:tcW w:w="2214" w:type="dxa"/>
            <w:hideMark/>
          </w:tcPr>
          <w:p w14:paraId="6DBB97D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996 (20.3)</w:t>
            </w:r>
          </w:p>
        </w:tc>
        <w:tc>
          <w:tcPr>
            <w:tcW w:w="2215" w:type="dxa"/>
            <w:hideMark/>
          </w:tcPr>
          <w:p w14:paraId="50BD2C8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1,053 (26.3)</w:t>
            </w:r>
          </w:p>
        </w:tc>
      </w:tr>
      <w:tr w:rsidR="00D250E5" w:rsidRPr="00737A30" w14:paraId="73D7173F" w14:textId="77777777" w:rsidTr="002D2677">
        <w:trPr>
          <w:trHeight w:val="23"/>
        </w:trPr>
        <w:tc>
          <w:tcPr>
            <w:tcW w:w="5103" w:type="dxa"/>
            <w:hideMark/>
          </w:tcPr>
          <w:p w14:paraId="6F2C6E0D"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Mean (SD)</w:t>
            </w:r>
          </w:p>
        </w:tc>
        <w:tc>
          <w:tcPr>
            <w:tcW w:w="2214" w:type="dxa"/>
            <w:hideMark/>
          </w:tcPr>
          <w:p w14:paraId="1686E87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26.1 (34.3)</w:t>
            </w:r>
          </w:p>
        </w:tc>
        <w:tc>
          <w:tcPr>
            <w:tcW w:w="2214" w:type="dxa"/>
            <w:hideMark/>
          </w:tcPr>
          <w:p w14:paraId="50915E9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30.3 (36.6)</w:t>
            </w:r>
          </w:p>
        </w:tc>
        <w:tc>
          <w:tcPr>
            <w:tcW w:w="2214" w:type="dxa"/>
            <w:hideMark/>
          </w:tcPr>
          <w:p w14:paraId="73E7CC7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24.4 (33.5)</w:t>
            </w:r>
          </w:p>
        </w:tc>
        <w:tc>
          <w:tcPr>
            <w:tcW w:w="2215" w:type="dxa"/>
            <w:hideMark/>
          </w:tcPr>
          <w:p w14:paraId="1E9C78E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26.6 (34.4)</w:t>
            </w:r>
          </w:p>
        </w:tc>
      </w:tr>
      <w:tr w:rsidR="00D250E5" w:rsidRPr="00737A30" w14:paraId="21CAD03F" w14:textId="77777777" w:rsidTr="002D2677">
        <w:trPr>
          <w:trHeight w:val="23"/>
        </w:trPr>
        <w:tc>
          <w:tcPr>
            <w:tcW w:w="5103" w:type="dxa"/>
            <w:hideMark/>
          </w:tcPr>
          <w:p w14:paraId="1DA3CA38"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Median (IQR)</w:t>
            </w:r>
          </w:p>
        </w:tc>
        <w:tc>
          <w:tcPr>
            <w:tcW w:w="2214" w:type="dxa"/>
            <w:hideMark/>
          </w:tcPr>
          <w:p w14:paraId="2F91836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5.6 (1.0, 45.3)</w:t>
            </w:r>
          </w:p>
        </w:tc>
        <w:tc>
          <w:tcPr>
            <w:tcW w:w="2214" w:type="dxa"/>
            <w:hideMark/>
          </w:tcPr>
          <w:p w14:paraId="7C6B2E6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6.8 (1.1, 62.8)</w:t>
            </w:r>
          </w:p>
        </w:tc>
        <w:tc>
          <w:tcPr>
            <w:tcW w:w="2214" w:type="dxa"/>
            <w:hideMark/>
          </w:tcPr>
          <w:p w14:paraId="36E02EC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5.1 (0.9, 39.4)</w:t>
            </w:r>
          </w:p>
        </w:tc>
        <w:tc>
          <w:tcPr>
            <w:tcW w:w="2215" w:type="dxa"/>
            <w:hideMark/>
          </w:tcPr>
          <w:p w14:paraId="516EC6B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6.4 (1.0, 46.9)</w:t>
            </w:r>
          </w:p>
        </w:tc>
      </w:tr>
      <w:tr w:rsidR="00D250E5" w:rsidRPr="00737A30" w14:paraId="53F56615" w14:textId="77777777" w:rsidTr="002D2677">
        <w:trPr>
          <w:trHeight w:val="23"/>
        </w:trPr>
        <w:tc>
          <w:tcPr>
            <w:tcW w:w="5103" w:type="dxa"/>
            <w:hideMark/>
          </w:tcPr>
          <w:p w14:paraId="7CA3D255"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Range</w:t>
            </w:r>
          </w:p>
        </w:tc>
        <w:tc>
          <w:tcPr>
            <w:tcW w:w="2214" w:type="dxa"/>
            <w:hideMark/>
          </w:tcPr>
          <w:p w14:paraId="33C8F1B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0.1–99.7</w:t>
            </w:r>
          </w:p>
        </w:tc>
        <w:tc>
          <w:tcPr>
            <w:tcW w:w="2214" w:type="dxa"/>
            <w:hideMark/>
          </w:tcPr>
          <w:p w14:paraId="3EEE474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0.1–98.7</w:t>
            </w:r>
          </w:p>
        </w:tc>
        <w:tc>
          <w:tcPr>
            <w:tcW w:w="2214" w:type="dxa"/>
            <w:hideMark/>
          </w:tcPr>
          <w:p w14:paraId="56327A4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0.1–99.7</w:t>
            </w:r>
          </w:p>
        </w:tc>
        <w:tc>
          <w:tcPr>
            <w:tcW w:w="2215" w:type="dxa"/>
            <w:hideMark/>
          </w:tcPr>
          <w:p w14:paraId="6989510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0.1–99.7</w:t>
            </w:r>
          </w:p>
        </w:tc>
      </w:tr>
      <w:tr w:rsidR="00D250E5" w:rsidRPr="00737A30" w14:paraId="46D5A3A6" w14:textId="77777777" w:rsidTr="002D2677">
        <w:trPr>
          <w:trHeight w:val="23"/>
        </w:trPr>
        <w:tc>
          <w:tcPr>
            <w:tcW w:w="5103" w:type="dxa"/>
            <w:hideMark/>
          </w:tcPr>
          <w:p w14:paraId="085A21D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PDC categories, n (%)</w:t>
            </w:r>
          </w:p>
        </w:tc>
        <w:tc>
          <w:tcPr>
            <w:tcW w:w="2214" w:type="dxa"/>
            <w:hideMark/>
          </w:tcPr>
          <w:p w14:paraId="04D1631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6FD33A5A"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1572761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63296A08"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1B8193FE" w14:textId="77777777" w:rsidTr="002D2677">
        <w:trPr>
          <w:trHeight w:val="23"/>
        </w:trPr>
        <w:tc>
          <w:tcPr>
            <w:tcW w:w="5103" w:type="dxa"/>
            <w:hideMark/>
          </w:tcPr>
          <w:p w14:paraId="0CF402FB"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0–20%</w:t>
            </w:r>
          </w:p>
        </w:tc>
        <w:tc>
          <w:tcPr>
            <w:tcW w:w="2214" w:type="dxa"/>
            <w:hideMark/>
          </w:tcPr>
          <w:p w14:paraId="08230B5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1,494 (64.1)</w:t>
            </w:r>
          </w:p>
        </w:tc>
        <w:tc>
          <w:tcPr>
            <w:tcW w:w="2214" w:type="dxa"/>
            <w:hideMark/>
          </w:tcPr>
          <w:p w14:paraId="4376A5E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167 (59.4)</w:t>
            </w:r>
          </w:p>
        </w:tc>
        <w:tc>
          <w:tcPr>
            <w:tcW w:w="2214" w:type="dxa"/>
            <w:hideMark/>
          </w:tcPr>
          <w:p w14:paraId="39C7699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663 (66.6)</w:t>
            </w:r>
          </w:p>
        </w:tc>
        <w:tc>
          <w:tcPr>
            <w:tcW w:w="2215" w:type="dxa"/>
            <w:hideMark/>
          </w:tcPr>
          <w:p w14:paraId="322A4AB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664 (63.1)</w:t>
            </w:r>
          </w:p>
        </w:tc>
      </w:tr>
      <w:tr w:rsidR="00D250E5" w:rsidRPr="00737A30" w14:paraId="688DA019" w14:textId="77777777" w:rsidTr="002D2677">
        <w:trPr>
          <w:trHeight w:val="23"/>
        </w:trPr>
        <w:tc>
          <w:tcPr>
            <w:tcW w:w="5103" w:type="dxa"/>
            <w:hideMark/>
          </w:tcPr>
          <w:p w14:paraId="5517499E"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21–40%</w:t>
            </w:r>
          </w:p>
        </w:tc>
        <w:tc>
          <w:tcPr>
            <w:tcW w:w="2214" w:type="dxa"/>
            <w:hideMark/>
          </w:tcPr>
          <w:p w14:paraId="7970242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219 (9.4)</w:t>
            </w:r>
          </w:p>
        </w:tc>
        <w:tc>
          <w:tcPr>
            <w:tcW w:w="2214" w:type="dxa"/>
            <w:hideMark/>
          </w:tcPr>
          <w:p w14:paraId="5E27489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 (9.6)</w:t>
            </w:r>
          </w:p>
        </w:tc>
        <w:tc>
          <w:tcPr>
            <w:tcW w:w="2214" w:type="dxa"/>
            <w:hideMark/>
          </w:tcPr>
          <w:p w14:paraId="241824F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86 (8.6)</w:t>
            </w:r>
          </w:p>
        </w:tc>
        <w:tc>
          <w:tcPr>
            <w:tcW w:w="2215" w:type="dxa"/>
            <w:hideMark/>
          </w:tcPr>
          <w:p w14:paraId="4D4EF15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106 (10.1)</w:t>
            </w:r>
          </w:p>
        </w:tc>
      </w:tr>
      <w:tr w:rsidR="00D250E5" w:rsidRPr="00737A30" w14:paraId="57C7059D" w14:textId="77777777" w:rsidTr="002D2677">
        <w:trPr>
          <w:trHeight w:val="23"/>
        </w:trPr>
        <w:tc>
          <w:tcPr>
            <w:tcW w:w="5103" w:type="dxa"/>
            <w:hideMark/>
          </w:tcPr>
          <w:p w14:paraId="1C43C4D6"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41–80%</w:t>
            </w:r>
          </w:p>
        </w:tc>
        <w:tc>
          <w:tcPr>
            <w:tcW w:w="2214" w:type="dxa"/>
            <w:hideMark/>
          </w:tcPr>
          <w:p w14:paraId="6EE312D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236 (10.1)</w:t>
            </w:r>
          </w:p>
        </w:tc>
        <w:tc>
          <w:tcPr>
            <w:tcW w:w="2214" w:type="dxa"/>
            <w:hideMark/>
          </w:tcPr>
          <w:p w14:paraId="1856BEC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28 (10.0)</w:t>
            </w:r>
          </w:p>
        </w:tc>
        <w:tc>
          <w:tcPr>
            <w:tcW w:w="2214" w:type="dxa"/>
            <w:hideMark/>
          </w:tcPr>
          <w:p w14:paraId="52E2087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99 (9.9)</w:t>
            </w:r>
          </w:p>
        </w:tc>
        <w:tc>
          <w:tcPr>
            <w:tcW w:w="2215" w:type="dxa"/>
            <w:hideMark/>
          </w:tcPr>
          <w:p w14:paraId="446AFF0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109 (10.4)</w:t>
            </w:r>
          </w:p>
        </w:tc>
      </w:tr>
      <w:tr w:rsidR="00D250E5" w:rsidRPr="00737A30" w14:paraId="06B166B1" w14:textId="77777777" w:rsidTr="002D2677">
        <w:trPr>
          <w:trHeight w:val="23"/>
        </w:trPr>
        <w:tc>
          <w:tcPr>
            <w:tcW w:w="5103" w:type="dxa"/>
            <w:hideMark/>
          </w:tcPr>
          <w:p w14:paraId="092F2FDB" w14:textId="77777777" w:rsidR="00D250E5" w:rsidRPr="00495D42" w:rsidRDefault="00D250E5" w:rsidP="002D2677">
            <w:pPr>
              <w:widowControl/>
              <w:spacing w:before="0" w:beforeAutospacing="0" w:after="0" w:afterAutospacing="0" w:line="276" w:lineRule="auto"/>
              <w:ind w:left="1440"/>
              <w:rPr>
                <w:rFonts w:cs="Arial"/>
                <w:sz w:val="18"/>
                <w:szCs w:val="18"/>
              </w:rPr>
            </w:pPr>
            <w:r w:rsidRPr="00495D42">
              <w:rPr>
                <w:rFonts w:cs="Arial"/>
                <w:sz w:val="18"/>
                <w:szCs w:val="18"/>
              </w:rPr>
              <w:t>&gt;80%</w:t>
            </w:r>
          </w:p>
        </w:tc>
        <w:tc>
          <w:tcPr>
            <w:tcW w:w="2214" w:type="dxa"/>
            <w:hideMark/>
          </w:tcPr>
          <w:p w14:paraId="724B938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381 (16.4)</w:t>
            </w:r>
          </w:p>
        </w:tc>
        <w:tc>
          <w:tcPr>
            <w:tcW w:w="2214" w:type="dxa"/>
            <w:hideMark/>
          </w:tcPr>
          <w:p w14:paraId="5867EAB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59 (21.0)</w:t>
            </w:r>
          </w:p>
        </w:tc>
        <w:tc>
          <w:tcPr>
            <w:tcW w:w="2214" w:type="dxa"/>
            <w:hideMark/>
          </w:tcPr>
          <w:p w14:paraId="25A3BFA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148 (14.9)</w:t>
            </w:r>
          </w:p>
        </w:tc>
        <w:tc>
          <w:tcPr>
            <w:tcW w:w="2215" w:type="dxa"/>
            <w:hideMark/>
          </w:tcPr>
          <w:p w14:paraId="15FC2F5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174 (16.5)</w:t>
            </w:r>
          </w:p>
        </w:tc>
      </w:tr>
      <w:tr w:rsidR="00D250E5" w:rsidRPr="00737A30" w14:paraId="340100A0" w14:textId="77777777" w:rsidTr="002D2677">
        <w:trPr>
          <w:trHeight w:val="23"/>
        </w:trPr>
        <w:tc>
          <w:tcPr>
            <w:tcW w:w="5103" w:type="dxa"/>
          </w:tcPr>
          <w:p w14:paraId="5EBD435B"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Duration of hospitalization due to COPD exacerbation, days/year</w:t>
            </w:r>
          </w:p>
        </w:tc>
        <w:tc>
          <w:tcPr>
            <w:tcW w:w="2214" w:type="dxa"/>
            <w:hideMark/>
          </w:tcPr>
          <w:p w14:paraId="1DCDD699"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7CAE6B9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4A619E86"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1E0B5678"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27D2F9E" w14:textId="77777777" w:rsidTr="002D2677">
        <w:trPr>
          <w:trHeight w:val="23"/>
        </w:trPr>
        <w:tc>
          <w:tcPr>
            <w:tcW w:w="5103" w:type="dxa"/>
            <w:hideMark/>
          </w:tcPr>
          <w:p w14:paraId="2581DB75"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Patients, n (%)</w:t>
            </w:r>
          </w:p>
        </w:tc>
        <w:tc>
          <w:tcPr>
            <w:tcW w:w="2214" w:type="dxa"/>
            <w:hideMark/>
          </w:tcPr>
          <w:p w14:paraId="01CCEF7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1,878 (18.2)</w:t>
            </w:r>
          </w:p>
        </w:tc>
        <w:tc>
          <w:tcPr>
            <w:tcW w:w="2214" w:type="dxa"/>
            <w:hideMark/>
          </w:tcPr>
          <w:p w14:paraId="2E0BB1E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254 (17.8)</w:t>
            </w:r>
          </w:p>
        </w:tc>
        <w:tc>
          <w:tcPr>
            <w:tcW w:w="2214" w:type="dxa"/>
            <w:hideMark/>
          </w:tcPr>
          <w:p w14:paraId="11B3ABB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861 (17.6)</w:t>
            </w:r>
          </w:p>
        </w:tc>
        <w:tc>
          <w:tcPr>
            <w:tcW w:w="2215" w:type="dxa"/>
            <w:hideMark/>
          </w:tcPr>
          <w:p w14:paraId="34CEF44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763 (19.1)</w:t>
            </w:r>
          </w:p>
        </w:tc>
      </w:tr>
      <w:tr w:rsidR="00D250E5" w:rsidRPr="00737A30" w14:paraId="7B55AC6B" w14:textId="77777777" w:rsidTr="002D2677">
        <w:trPr>
          <w:trHeight w:val="23"/>
        </w:trPr>
        <w:tc>
          <w:tcPr>
            <w:tcW w:w="5103" w:type="dxa"/>
            <w:hideMark/>
          </w:tcPr>
          <w:p w14:paraId="1798774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Mean (SD)</w:t>
            </w:r>
          </w:p>
        </w:tc>
        <w:tc>
          <w:tcPr>
            <w:tcW w:w="2214" w:type="dxa"/>
            <w:hideMark/>
          </w:tcPr>
          <w:p w14:paraId="4F23843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37.0 (49.8)</w:t>
            </w:r>
          </w:p>
        </w:tc>
        <w:tc>
          <w:tcPr>
            <w:tcW w:w="2214" w:type="dxa"/>
            <w:hideMark/>
          </w:tcPr>
          <w:p w14:paraId="20949BD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37.6 (44.3)</w:t>
            </w:r>
          </w:p>
        </w:tc>
        <w:tc>
          <w:tcPr>
            <w:tcW w:w="2214" w:type="dxa"/>
            <w:hideMark/>
          </w:tcPr>
          <w:p w14:paraId="002B106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39.3 (59.3)</w:t>
            </w:r>
          </w:p>
        </w:tc>
        <w:tc>
          <w:tcPr>
            <w:tcW w:w="2215" w:type="dxa"/>
            <w:hideMark/>
          </w:tcPr>
          <w:p w14:paraId="0F20E09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34.3 (38.3)</w:t>
            </w:r>
          </w:p>
        </w:tc>
      </w:tr>
      <w:tr w:rsidR="00D250E5" w:rsidRPr="00737A30" w14:paraId="1368C71C" w14:textId="77777777" w:rsidTr="002D2677">
        <w:trPr>
          <w:trHeight w:val="23"/>
        </w:trPr>
        <w:tc>
          <w:tcPr>
            <w:tcW w:w="5103" w:type="dxa"/>
            <w:hideMark/>
          </w:tcPr>
          <w:p w14:paraId="20C474B9"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Median (IQR)</w:t>
            </w:r>
          </w:p>
        </w:tc>
        <w:tc>
          <w:tcPr>
            <w:tcW w:w="2214" w:type="dxa"/>
            <w:hideMark/>
          </w:tcPr>
          <w:p w14:paraId="2BBE9FD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22.0 (11.0, 46.0)</w:t>
            </w:r>
          </w:p>
        </w:tc>
        <w:tc>
          <w:tcPr>
            <w:tcW w:w="2214" w:type="dxa"/>
            <w:hideMark/>
          </w:tcPr>
          <w:p w14:paraId="4B06011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25.0 (13.0, 51.0)</w:t>
            </w:r>
          </w:p>
        </w:tc>
        <w:tc>
          <w:tcPr>
            <w:tcW w:w="2214" w:type="dxa"/>
            <w:hideMark/>
          </w:tcPr>
          <w:p w14:paraId="4065E73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23.0 (12.0, 46.0)</w:t>
            </w:r>
          </w:p>
        </w:tc>
        <w:tc>
          <w:tcPr>
            <w:tcW w:w="2215" w:type="dxa"/>
            <w:hideMark/>
          </w:tcPr>
          <w:p w14:paraId="20630FF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20.0 (10.0, 44.0)</w:t>
            </w:r>
          </w:p>
        </w:tc>
      </w:tr>
      <w:tr w:rsidR="00D250E5" w:rsidRPr="00737A30" w14:paraId="208EFADB" w14:textId="77777777" w:rsidTr="002D2677">
        <w:trPr>
          <w:trHeight w:val="23"/>
        </w:trPr>
        <w:tc>
          <w:tcPr>
            <w:tcW w:w="5103" w:type="dxa"/>
            <w:hideMark/>
          </w:tcPr>
          <w:p w14:paraId="35AB361E"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Range</w:t>
            </w:r>
          </w:p>
        </w:tc>
        <w:tc>
          <w:tcPr>
            <w:tcW w:w="2214" w:type="dxa"/>
            <w:hideMark/>
          </w:tcPr>
          <w:p w14:paraId="0447F88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1.0–977.0</w:t>
            </w:r>
          </w:p>
        </w:tc>
        <w:tc>
          <w:tcPr>
            <w:tcW w:w="2214" w:type="dxa"/>
            <w:hideMark/>
          </w:tcPr>
          <w:p w14:paraId="58167F3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1.0–436.0</w:t>
            </w:r>
          </w:p>
        </w:tc>
        <w:tc>
          <w:tcPr>
            <w:tcW w:w="2214" w:type="dxa"/>
            <w:hideMark/>
          </w:tcPr>
          <w:p w14:paraId="721BBDA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1.0–977.0</w:t>
            </w:r>
          </w:p>
        </w:tc>
        <w:tc>
          <w:tcPr>
            <w:tcW w:w="2215" w:type="dxa"/>
            <w:hideMark/>
          </w:tcPr>
          <w:p w14:paraId="2D473A2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1.0–347.0</w:t>
            </w:r>
          </w:p>
        </w:tc>
      </w:tr>
      <w:tr w:rsidR="00D250E5" w:rsidRPr="00737A30" w14:paraId="35653D81" w14:textId="77777777" w:rsidTr="002D2677">
        <w:trPr>
          <w:trHeight w:val="23"/>
        </w:trPr>
        <w:tc>
          <w:tcPr>
            <w:tcW w:w="5103" w:type="dxa"/>
          </w:tcPr>
          <w:p w14:paraId="283A73BC"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Emergency room visits</w:t>
            </w:r>
          </w:p>
        </w:tc>
        <w:tc>
          <w:tcPr>
            <w:tcW w:w="2214" w:type="dxa"/>
            <w:hideMark/>
          </w:tcPr>
          <w:p w14:paraId="6576B46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15F3F411"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4AE6F46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193C3260"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08ACEB2B" w14:textId="77777777" w:rsidTr="002D2677">
        <w:trPr>
          <w:trHeight w:val="23"/>
        </w:trPr>
        <w:tc>
          <w:tcPr>
            <w:tcW w:w="5103" w:type="dxa"/>
            <w:hideMark/>
          </w:tcPr>
          <w:p w14:paraId="07F55349"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Patients, n (%)</w:t>
            </w:r>
          </w:p>
        </w:tc>
        <w:tc>
          <w:tcPr>
            <w:tcW w:w="2214" w:type="dxa"/>
            <w:hideMark/>
          </w:tcPr>
          <w:p w14:paraId="6988CDB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4,600 (44.6)</w:t>
            </w:r>
          </w:p>
        </w:tc>
        <w:tc>
          <w:tcPr>
            <w:tcW w:w="2214" w:type="dxa"/>
            <w:hideMark/>
          </w:tcPr>
          <w:p w14:paraId="4047E5A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659 (46.3)</w:t>
            </w:r>
          </w:p>
        </w:tc>
        <w:tc>
          <w:tcPr>
            <w:tcW w:w="2214" w:type="dxa"/>
            <w:hideMark/>
          </w:tcPr>
          <w:p w14:paraId="2142162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2,199 (44.9)</w:t>
            </w:r>
          </w:p>
        </w:tc>
        <w:tc>
          <w:tcPr>
            <w:tcW w:w="2215" w:type="dxa"/>
            <w:hideMark/>
          </w:tcPr>
          <w:p w14:paraId="7F58B1E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1,742 (43.5)</w:t>
            </w:r>
          </w:p>
        </w:tc>
      </w:tr>
      <w:tr w:rsidR="00D250E5" w:rsidRPr="00737A30" w14:paraId="210E01F6" w14:textId="77777777" w:rsidTr="002D2677">
        <w:trPr>
          <w:trHeight w:val="23"/>
        </w:trPr>
        <w:tc>
          <w:tcPr>
            <w:tcW w:w="5103" w:type="dxa"/>
            <w:hideMark/>
          </w:tcPr>
          <w:p w14:paraId="6CC68FC9"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Events, n</w:t>
            </w:r>
          </w:p>
        </w:tc>
        <w:tc>
          <w:tcPr>
            <w:tcW w:w="2214" w:type="dxa"/>
            <w:hideMark/>
          </w:tcPr>
          <w:p w14:paraId="1886F09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30,182</w:t>
            </w:r>
          </w:p>
        </w:tc>
        <w:tc>
          <w:tcPr>
            <w:tcW w:w="2214" w:type="dxa"/>
            <w:hideMark/>
          </w:tcPr>
          <w:p w14:paraId="0BC84099"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3,927</w:t>
            </w:r>
          </w:p>
        </w:tc>
        <w:tc>
          <w:tcPr>
            <w:tcW w:w="2214" w:type="dxa"/>
            <w:hideMark/>
          </w:tcPr>
          <w:p w14:paraId="1C62F77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13,116</w:t>
            </w:r>
          </w:p>
        </w:tc>
        <w:tc>
          <w:tcPr>
            <w:tcW w:w="2215" w:type="dxa"/>
            <w:hideMark/>
          </w:tcPr>
          <w:p w14:paraId="1BBC477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13,139</w:t>
            </w:r>
          </w:p>
        </w:tc>
      </w:tr>
      <w:tr w:rsidR="00D250E5" w:rsidRPr="00737A30" w14:paraId="39D65C69" w14:textId="77777777" w:rsidTr="002D2677">
        <w:trPr>
          <w:trHeight w:val="23"/>
        </w:trPr>
        <w:tc>
          <w:tcPr>
            <w:tcW w:w="5103" w:type="dxa"/>
            <w:hideMark/>
          </w:tcPr>
          <w:p w14:paraId="316E0585"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Total follow-up duration, years</w:t>
            </w:r>
          </w:p>
        </w:tc>
        <w:tc>
          <w:tcPr>
            <w:tcW w:w="2214" w:type="dxa"/>
            <w:hideMark/>
          </w:tcPr>
          <w:p w14:paraId="64D6A04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25,306.50</w:t>
            </w:r>
          </w:p>
        </w:tc>
        <w:tc>
          <w:tcPr>
            <w:tcW w:w="2214" w:type="dxa"/>
            <w:hideMark/>
          </w:tcPr>
          <w:p w14:paraId="18CF78E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3,402.10</w:t>
            </w:r>
          </w:p>
        </w:tc>
        <w:tc>
          <w:tcPr>
            <w:tcW w:w="2214" w:type="dxa"/>
            <w:hideMark/>
          </w:tcPr>
          <w:p w14:paraId="6A5EA0E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12,068.40</w:t>
            </w:r>
          </w:p>
        </w:tc>
        <w:tc>
          <w:tcPr>
            <w:tcW w:w="2215" w:type="dxa"/>
            <w:hideMark/>
          </w:tcPr>
          <w:p w14:paraId="4B4F3CA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9,836.10</w:t>
            </w:r>
          </w:p>
        </w:tc>
      </w:tr>
      <w:tr w:rsidR="00D250E5" w:rsidRPr="00737A30" w14:paraId="6E1D85B7" w14:textId="77777777" w:rsidTr="002D2677">
        <w:trPr>
          <w:trHeight w:val="23"/>
        </w:trPr>
        <w:tc>
          <w:tcPr>
            <w:tcW w:w="5103" w:type="dxa"/>
            <w:hideMark/>
          </w:tcPr>
          <w:p w14:paraId="6FA3F325"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Incidence rate, events/100 patient-years (95% CI)</w:t>
            </w:r>
          </w:p>
        </w:tc>
        <w:tc>
          <w:tcPr>
            <w:tcW w:w="2214" w:type="dxa"/>
            <w:hideMark/>
          </w:tcPr>
          <w:p w14:paraId="7FB3CBD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119.27 (117.92, 120.62)</w:t>
            </w:r>
          </w:p>
        </w:tc>
        <w:tc>
          <w:tcPr>
            <w:tcW w:w="2214" w:type="dxa"/>
            <w:hideMark/>
          </w:tcPr>
          <w:p w14:paraId="2F9F416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115.43 (111.85, 119.10)</w:t>
            </w:r>
          </w:p>
        </w:tc>
        <w:tc>
          <w:tcPr>
            <w:tcW w:w="2214" w:type="dxa"/>
            <w:hideMark/>
          </w:tcPr>
          <w:p w14:paraId="0B9C1D7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108.68 (106.83, 110.56)</w:t>
            </w:r>
          </w:p>
        </w:tc>
        <w:tc>
          <w:tcPr>
            <w:tcW w:w="2215" w:type="dxa"/>
            <w:hideMark/>
          </w:tcPr>
          <w:p w14:paraId="7F229E3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133.58 (131.31, 135.88)</w:t>
            </w:r>
          </w:p>
        </w:tc>
      </w:tr>
      <w:tr w:rsidR="00D250E5" w:rsidRPr="00737A30" w14:paraId="5D05661E" w14:textId="77777777" w:rsidTr="002D2677">
        <w:trPr>
          <w:trHeight w:val="23"/>
        </w:trPr>
        <w:tc>
          <w:tcPr>
            <w:tcW w:w="5103" w:type="dxa"/>
          </w:tcPr>
          <w:p w14:paraId="7D9FAB8C" w14:textId="77777777" w:rsidR="00D250E5" w:rsidRPr="00495D42" w:rsidRDefault="00D250E5" w:rsidP="002D2677">
            <w:pPr>
              <w:widowControl/>
              <w:spacing w:before="0" w:beforeAutospacing="0" w:after="0" w:afterAutospacing="0" w:line="276" w:lineRule="auto"/>
              <w:rPr>
                <w:rFonts w:cs="Arial"/>
                <w:sz w:val="18"/>
                <w:szCs w:val="18"/>
              </w:rPr>
            </w:pPr>
            <w:r w:rsidRPr="00495D42">
              <w:rPr>
                <w:rFonts w:cs="Arial"/>
                <w:sz w:val="18"/>
                <w:szCs w:val="18"/>
              </w:rPr>
              <w:t>Medication use during follow-up, n (%)</w:t>
            </w:r>
          </w:p>
        </w:tc>
        <w:tc>
          <w:tcPr>
            <w:tcW w:w="2214" w:type="dxa"/>
            <w:hideMark/>
          </w:tcPr>
          <w:p w14:paraId="7185139D"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194E74AF"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4" w:type="dxa"/>
            <w:hideMark/>
          </w:tcPr>
          <w:p w14:paraId="71DF20C8" w14:textId="77777777" w:rsidR="00D250E5" w:rsidRPr="00495D42" w:rsidRDefault="00D250E5" w:rsidP="002D2677">
            <w:pPr>
              <w:widowControl/>
              <w:spacing w:before="0" w:beforeAutospacing="0" w:after="0" w:afterAutospacing="0" w:line="276" w:lineRule="auto"/>
              <w:jc w:val="center"/>
              <w:rPr>
                <w:rFonts w:cs="Arial"/>
                <w:sz w:val="18"/>
                <w:szCs w:val="18"/>
              </w:rPr>
            </w:pPr>
          </w:p>
        </w:tc>
        <w:tc>
          <w:tcPr>
            <w:tcW w:w="2215" w:type="dxa"/>
            <w:hideMark/>
          </w:tcPr>
          <w:p w14:paraId="17F9963D" w14:textId="77777777" w:rsidR="00D250E5" w:rsidRPr="00495D42" w:rsidRDefault="00D250E5" w:rsidP="002D2677">
            <w:pPr>
              <w:widowControl/>
              <w:spacing w:before="0" w:beforeAutospacing="0" w:after="0" w:afterAutospacing="0" w:line="276" w:lineRule="auto"/>
              <w:jc w:val="center"/>
              <w:rPr>
                <w:rFonts w:cs="Arial"/>
                <w:sz w:val="18"/>
                <w:szCs w:val="18"/>
              </w:rPr>
            </w:pPr>
          </w:p>
        </w:tc>
      </w:tr>
      <w:tr w:rsidR="00D250E5" w:rsidRPr="00737A30" w14:paraId="3E70F725" w14:textId="77777777" w:rsidTr="002D2677">
        <w:trPr>
          <w:trHeight w:val="23"/>
        </w:trPr>
        <w:tc>
          <w:tcPr>
            <w:tcW w:w="5103" w:type="dxa"/>
            <w:hideMark/>
          </w:tcPr>
          <w:p w14:paraId="332B8370"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LABA monotherapy</w:t>
            </w:r>
          </w:p>
        </w:tc>
        <w:tc>
          <w:tcPr>
            <w:tcW w:w="2214" w:type="dxa"/>
            <w:hideMark/>
          </w:tcPr>
          <w:p w14:paraId="275E20C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3,187 (30.9)</w:t>
            </w:r>
          </w:p>
        </w:tc>
        <w:tc>
          <w:tcPr>
            <w:tcW w:w="2214" w:type="dxa"/>
            <w:hideMark/>
          </w:tcPr>
          <w:p w14:paraId="611D2C6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425 (29.9)</w:t>
            </w:r>
          </w:p>
        </w:tc>
        <w:tc>
          <w:tcPr>
            <w:tcW w:w="2214" w:type="dxa"/>
            <w:hideMark/>
          </w:tcPr>
          <w:p w14:paraId="373CE2F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1,582 (32.3)</w:t>
            </w:r>
          </w:p>
        </w:tc>
        <w:tc>
          <w:tcPr>
            <w:tcW w:w="2215" w:type="dxa"/>
            <w:hideMark/>
          </w:tcPr>
          <w:p w14:paraId="35DB705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1,180 (29.5)</w:t>
            </w:r>
          </w:p>
        </w:tc>
      </w:tr>
      <w:tr w:rsidR="00D250E5" w:rsidRPr="00737A30" w14:paraId="13DB4C2F" w14:textId="77777777" w:rsidTr="002D2677">
        <w:trPr>
          <w:trHeight w:val="23"/>
        </w:trPr>
        <w:tc>
          <w:tcPr>
            <w:tcW w:w="5103" w:type="dxa"/>
            <w:hideMark/>
          </w:tcPr>
          <w:p w14:paraId="0EC61BDD"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LAMA monotherapy</w:t>
            </w:r>
          </w:p>
        </w:tc>
        <w:tc>
          <w:tcPr>
            <w:tcW w:w="2214" w:type="dxa"/>
            <w:hideMark/>
          </w:tcPr>
          <w:p w14:paraId="6127A37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3,049 (29.5)</w:t>
            </w:r>
          </w:p>
        </w:tc>
        <w:tc>
          <w:tcPr>
            <w:tcW w:w="2214" w:type="dxa"/>
            <w:hideMark/>
          </w:tcPr>
          <w:p w14:paraId="48B6A5DB"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397 (27.9)</w:t>
            </w:r>
          </w:p>
        </w:tc>
        <w:tc>
          <w:tcPr>
            <w:tcW w:w="2214" w:type="dxa"/>
            <w:hideMark/>
          </w:tcPr>
          <w:p w14:paraId="2205A10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1,472 (30.1)</w:t>
            </w:r>
          </w:p>
        </w:tc>
        <w:tc>
          <w:tcPr>
            <w:tcW w:w="2215" w:type="dxa"/>
            <w:hideMark/>
          </w:tcPr>
          <w:p w14:paraId="4CFFFEB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1,180 (29.5)</w:t>
            </w:r>
          </w:p>
        </w:tc>
      </w:tr>
      <w:tr w:rsidR="00D250E5" w:rsidRPr="00737A30" w14:paraId="2F7DD80A" w14:textId="77777777" w:rsidTr="002D2677">
        <w:trPr>
          <w:trHeight w:val="23"/>
        </w:trPr>
        <w:tc>
          <w:tcPr>
            <w:tcW w:w="5103" w:type="dxa"/>
            <w:hideMark/>
          </w:tcPr>
          <w:p w14:paraId="5F06662A"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 xml:space="preserve">LAMA + </w:t>
            </w:r>
            <w:proofErr w:type="spellStart"/>
            <w:r w:rsidRPr="00495D42">
              <w:rPr>
                <w:rFonts w:cs="Arial"/>
                <w:sz w:val="18"/>
                <w:szCs w:val="18"/>
              </w:rPr>
              <w:t>LABA</w:t>
            </w:r>
            <w:r w:rsidRPr="00495D42">
              <w:rPr>
                <w:rFonts w:cs="Arial"/>
                <w:sz w:val="18"/>
                <w:szCs w:val="18"/>
                <w:vertAlign w:val="superscript"/>
              </w:rPr>
              <w:t>b</w:t>
            </w:r>
            <w:proofErr w:type="spellEnd"/>
          </w:p>
        </w:tc>
        <w:tc>
          <w:tcPr>
            <w:tcW w:w="2214" w:type="dxa"/>
            <w:hideMark/>
          </w:tcPr>
          <w:p w14:paraId="138A30D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2,558 (24.8)</w:t>
            </w:r>
          </w:p>
        </w:tc>
        <w:tc>
          <w:tcPr>
            <w:tcW w:w="2214" w:type="dxa"/>
            <w:hideMark/>
          </w:tcPr>
          <w:p w14:paraId="3780DBA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321 (22.6)</w:t>
            </w:r>
          </w:p>
        </w:tc>
        <w:tc>
          <w:tcPr>
            <w:tcW w:w="2214" w:type="dxa"/>
            <w:hideMark/>
          </w:tcPr>
          <w:p w14:paraId="6576B7C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1,250 (25.5)</w:t>
            </w:r>
          </w:p>
        </w:tc>
        <w:tc>
          <w:tcPr>
            <w:tcW w:w="2215" w:type="dxa"/>
            <w:hideMark/>
          </w:tcPr>
          <w:p w14:paraId="16755D0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987 (24.7)</w:t>
            </w:r>
          </w:p>
        </w:tc>
      </w:tr>
      <w:tr w:rsidR="00D250E5" w:rsidRPr="00737A30" w14:paraId="2CA68CE8" w14:textId="77777777" w:rsidTr="002D2677">
        <w:trPr>
          <w:trHeight w:val="23"/>
        </w:trPr>
        <w:tc>
          <w:tcPr>
            <w:tcW w:w="5103" w:type="dxa"/>
            <w:hideMark/>
          </w:tcPr>
          <w:p w14:paraId="09D5C7F6"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 xml:space="preserve">LABA + </w:t>
            </w:r>
            <w:proofErr w:type="spellStart"/>
            <w:r w:rsidRPr="00495D42">
              <w:rPr>
                <w:rFonts w:cs="Arial"/>
                <w:sz w:val="18"/>
                <w:szCs w:val="18"/>
              </w:rPr>
              <w:t>ICS</w:t>
            </w:r>
            <w:r w:rsidRPr="00495D42">
              <w:rPr>
                <w:rFonts w:cs="Arial"/>
                <w:sz w:val="18"/>
                <w:szCs w:val="18"/>
                <w:vertAlign w:val="superscript"/>
              </w:rPr>
              <w:t>c</w:t>
            </w:r>
            <w:proofErr w:type="spellEnd"/>
          </w:p>
        </w:tc>
        <w:tc>
          <w:tcPr>
            <w:tcW w:w="2214" w:type="dxa"/>
            <w:hideMark/>
          </w:tcPr>
          <w:p w14:paraId="6964D10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3,290 (31.9)</w:t>
            </w:r>
          </w:p>
        </w:tc>
        <w:tc>
          <w:tcPr>
            <w:tcW w:w="2214" w:type="dxa"/>
            <w:hideMark/>
          </w:tcPr>
          <w:p w14:paraId="5BB4D1C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390 (27.4)</w:t>
            </w:r>
          </w:p>
        </w:tc>
        <w:tc>
          <w:tcPr>
            <w:tcW w:w="2214" w:type="dxa"/>
            <w:hideMark/>
          </w:tcPr>
          <w:p w14:paraId="42E01136"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1,430 (29.2)</w:t>
            </w:r>
          </w:p>
        </w:tc>
        <w:tc>
          <w:tcPr>
            <w:tcW w:w="2215" w:type="dxa"/>
            <w:hideMark/>
          </w:tcPr>
          <w:p w14:paraId="2901299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1,470 (36.7)</w:t>
            </w:r>
          </w:p>
        </w:tc>
      </w:tr>
      <w:tr w:rsidR="00D250E5" w:rsidRPr="00737A30" w14:paraId="370D6D8C" w14:textId="77777777" w:rsidTr="002D2677">
        <w:trPr>
          <w:trHeight w:val="23"/>
        </w:trPr>
        <w:tc>
          <w:tcPr>
            <w:tcW w:w="5103" w:type="dxa"/>
            <w:hideMark/>
          </w:tcPr>
          <w:p w14:paraId="0C787973"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 xml:space="preserve">LABA + LAMA + </w:t>
            </w:r>
            <w:proofErr w:type="spellStart"/>
            <w:r w:rsidRPr="00495D42">
              <w:rPr>
                <w:rFonts w:cs="Arial"/>
                <w:sz w:val="18"/>
                <w:szCs w:val="18"/>
              </w:rPr>
              <w:t>ICS</w:t>
            </w:r>
            <w:r w:rsidRPr="00495D42">
              <w:rPr>
                <w:rFonts w:cs="Arial"/>
                <w:sz w:val="18"/>
                <w:szCs w:val="18"/>
                <w:vertAlign w:val="superscript"/>
              </w:rPr>
              <w:t>d</w:t>
            </w:r>
            <w:proofErr w:type="spellEnd"/>
          </w:p>
        </w:tc>
        <w:tc>
          <w:tcPr>
            <w:tcW w:w="2214" w:type="dxa"/>
            <w:hideMark/>
          </w:tcPr>
          <w:p w14:paraId="04D7EA1A"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545 (5.3)</w:t>
            </w:r>
          </w:p>
        </w:tc>
        <w:tc>
          <w:tcPr>
            <w:tcW w:w="2214" w:type="dxa"/>
            <w:hideMark/>
          </w:tcPr>
          <w:p w14:paraId="6A3C993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72 (5.1)</w:t>
            </w:r>
          </w:p>
        </w:tc>
        <w:tc>
          <w:tcPr>
            <w:tcW w:w="2214" w:type="dxa"/>
            <w:hideMark/>
          </w:tcPr>
          <w:p w14:paraId="31CE046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218 (4.5)</w:t>
            </w:r>
          </w:p>
        </w:tc>
        <w:tc>
          <w:tcPr>
            <w:tcW w:w="2215" w:type="dxa"/>
            <w:hideMark/>
          </w:tcPr>
          <w:p w14:paraId="478AE8A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255 (6.4)</w:t>
            </w:r>
          </w:p>
        </w:tc>
      </w:tr>
      <w:tr w:rsidR="00D250E5" w:rsidRPr="00737A30" w14:paraId="12A38EC3" w14:textId="77777777" w:rsidTr="002D2677">
        <w:trPr>
          <w:trHeight w:val="23"/>
        </w:trPr>
        <w:tc>
          <w:tcPr>
            <w:tcW w:w="5103" w:type="dxa"/>
            <w:hideMark/>
          </w:tcPr>
          <w:p w14:paraId="193063E3"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Methylxanthine</w:t>
            </w:r>
          </w:p>
        </w:tc>
        <w:tc>
          <w:tcPr>
            <w:tcW w:w="2214" w:type="dxa"/>
            <w:hideMark/>
          </w:tcPr>
          <w:p w14:paraId="7074AEA3"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1,658 (16.1)</w:t>
            </w:r>
          </w:p>
        </w:tc>
        <w:tc>
          <w:tcPr>
            <w:tcW w:w="2214" w:type="dxa"/>
            <w:hideMark/>
          </w:tcPr>
          <w:p w14:paraId="475CA5B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186 (13.1)</w:t>
            </w:r>
          </w:p>
        </w:tc>
        <w:tc>
          <w:tcPr>
            <w:tcW w:w="2214" w:type="dxa"/>
            <w:hideMark/>
          </w:tcPr>
          <w:p w14:paraId="484F2DA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785 (16.0)</w:t>
            </w:r>
          </w:p>
        </w:tc>
        <w:tc>
          <w:tcPr>
            <w:tcW w:w="2215" w:type="dxa"/>
            <w:hideMark/>
          </w:tcPr>
          <w:p w14:paraId="20986D3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687 (17.2)</w:t>
            </w:r>
          </w:p>
        </w:tc>
      </w:tr>
      <w:tr w:rsidR="00D250E5" w:rsidRPr="00737A30" w14:paraId="78923641" w14:textId="77777777" w:rsidTr="002D2677">
        <w:trPr>
          <w:trHeight w:val="23"/>
        </w:trPr>
        <w:tc>
          <w:tcPr>
            <w:tcW w:w="5103" w:type="dxa"/>
            <w:hideMark/>
          </w:tcPr>
          <w:p w14:paraId="27A87AE6"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Systemic glucocorticoids</w:t>
            </w:r>
          </w:p>
        </w:tc>
        <w:tc>
          <w:tcPr>
            <w:tcW w:w="2214" w:type="dxa"/>
            <w:hideMark/>
          </w:tcPr>
          <w:p w14:paraId="057F9BE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3,292 (31.9)</w:t>
            </w:r>
          </w:p>
        </w:tc>
        <w:tc>
          <w:tcPr>
            <w:tcW w:w="2214" w:type="dxa"/>
            <w:hideMark/>
          </w:tcPr>
          <w:p w14:paraId="0B8CB84D"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411 (28.9)</w:t>
            </w:r>
          </w:p>
        </w:tc>
        <w:tc>
          <w:tcPr>
            <w:tcW w:w="2214" w:type="dxa"/>
            <w:hideMark/>
          </w:tcPr>
          <w:p w14:paraId="30870B1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1,419 (29.0)</w:t>
            </w:r>
          </w:p>
        </w:tc>
        <w:tc>
          <w:tcPr>
            <w:tcW w:w="2215" w:type="dxa"/>
            <w:hideMark/>
          </w:tcPr>
          <w:p w14:paraId="47C2004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1,462 (36.5)</w:t>
            </w:r>
          </w:p>
        </w:tc>
      </w:tr>
      <w:tr w:rsidR="00D250E5" w:rsidRPr="00737A30" w14:paraId="3A411863" w14:textId="77777777" w:rsidTr="002D2677">
        <w:trPr>
          <w:trHeight w:val="23"/>
        </w:trPr>
        <w:tc>
          <w:tcPr>
            <w:tcW w:w="5103" w:type="dxa"/>
            <w:hideMark/>
          </w:tcPr>
          <w:p w14:paraId="1C3842DE" w14:textId="77777777" w:rsidR="00D250E5" w:rsidRPr="00495D42" w:rsidRDefault="00D250E5" w:rsidP="002D2677">
            <w:pPr>
              <w:widowControl/>
              <w:spacing w:before="0" w:beforeAutospacing="0" w:after="0" w:afterAutospacing="0" w:line="276" w:lineRule="auto"/>
              <w:ind w:left="720"/>
              <w:rPr>
                <w:rFonts w:cs="Arial"/>
                <w:sz w:val="18"/>
                <w:szCs w:val="18"/>
              </w:rPr>
            </w:pPr>
            <w:proofErr w:type="spellStart"/>
            <w:r w:rsidRPr="00495D42">
              <w:rPr>
                <w:rFonts w:cs="Arial"/>
                <w:sz w:val="18"/>
                <w:szCs w:val="18"/>
              </w:rPr>
              <w:t>Mucoactive</w:t>
            </w:r>
            <w:proofErr w:type="spellEnd"/>
            <w:r w:rsidRPr="00495D42">
              <w:rPr>
                <w:rFonts w:cs="Arial"/>
                <w:sz w:val="18"/>
                <w:szCs w:val="18"/>
              </w:rPr>
              <w:t xml:space="preserve"> drugs</w:t>
            </w:r>
          </w:p>
        </w:tc>
        <w:tc>
          <w:tcPr>
            <w:tcW w:w="2214" w:type="dxa"/>
            <w:hideMark/>
          </w:tcPr>
          <w:p w14:paraId="3569FDD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6,202 (60.1)</w:t>
            </w:r>
          </w:p>
        </w:tc>
        <w:tc>
          <w:tcPr>
            <w:tcW w:w="2214" w:type="dxa"/>
            <w:hideMark/>
          </w:tcPr>
          <w:p w14:paraId="3E3AF31F"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825 (58.0)</w:t>
            </w:r>
          </w:p>
        </w:tc>
        <w:tc>
          <w:tcPr>
            <w:tcW w:w="2214" w:type="dxa"/>
            <w:hideMark/>
          </w:tcPr>
          <w:p w14:paraId="768DCEF0"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2,976 (60.8)</w:t>
            </w:r>
          </w:p>
        </w:tc>
        <w:tc>
          <w:tcPr>
            <w:tcW w:w="2215" w:type="dxa"/>
            <w:hideMark/>
          </w:tcPr>
          <w:p w14:paraId="3948D5D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2,401 (60.0)</w:t>
            </w:r>
          </w:p>
        </w:tc>
      </w:tr>
      <w:tr w:rsidR="00D250E5" w:rsidRPr="00737A30" w14:paraId="5F82871F" w14:textId="77777777" w:rsidTr="002D2677">
        <w:trPr>
          <w:trHeight w:val="23"/>
        </w:trPr>
        <w:tc>
          <w:tcPr>
            <w:tcW w:w="5103" w:type="dxa"/>
            <w:hideMark/>
          </w:tcPr>
          <w:p w14:paraId="6E516208"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Antibiotics excluding macrolides</w:t>
            </w:r>
          </w:p>
        </w:tc>
        <w:tc>
          <w:tcPr>
            <w:tcW w:w="2214" w:type="dxa"/>
            <w:hideMark/>
          </w:tcPr>
          <w:p w14:paraId="432AC577"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6,978 (67.6)</w:t>
            </w:r>
          </w:p>
        </w:tc>
        <w:tc>
          <w:tcPr>
            <w:tcW w:w="2214" w:type="dxa"/>
            <w:hideMark/>
          </w:tcPr>
          <w:p w14:paraId="5AE64A1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949 (66.7)</w:t>
            </w:r>
          </w:p>
        </w:tc>
        <w:tc>
          <w:tcPr>
            <w:tcW w:w="2214" w:type="dxa"/>
            <w:hideMark/>
          </w:tcPr>
          <w:p w14:paraId="4FB5F2E1"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3,313 (67.7)</w:t>
            </w:r>
          </w:p>
        </w:tc>
        <w:tc>
          <w:tcPr>
            <w:tcW w:w="2215" w:type="dxa"/>
            <w:hideMark/>
          </w:tcPr>
          <w:p w14:paraId="1233925C"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2,716 (67.8)</w:t>
            </w:r>
          </w:p>
        </w:tc>
      </w:tr>
      <w:tr w:rsidR="00D250E5" w:rsidRPr="00737A30" w14:paraId="5BE9552B" w14:textId="77777777" w:rsidTr="002D2677">
        <w:trPr>
          <w:trHeight w:val="23"/>
        </w:trPr>
        <w:tc>
          <w:tcPr>
            <w:tcW w:w="5103" w:type="dxa"/>
            <w:tcBorders>
              <w:bottom w:val="single" w:sz="4" w:space="0" w:color="auto"/>
            </w:tcBorders>
            <w:hideMark/>
          </w:tcPr>
          <w:p w14:paraId="2D8696D7" w14:textId="77777777" w:rsidR="00D250E5" w:rsidRPr="00495D42" w:rsidRDefault="00D250E5" w:rsidP="002D2677">
            <w:pPr>
              <w:widowControl/>
              <w:spacing w:before="0" w:beforeAutospacing="0" w:after="0" w:afterAutospacing="0" w:line="276" w:lineRule="auto"/>
              <w:ind w:left="720"/>
              <w:rPr>
                <w:rFonts w:cs="Arial"/>
                <w:sz w:val="18"/>
                <w:szCs w:val="18"/>
              </w:rPr>
            </w:pPr>
            <w:r w:rsidRPr="00495D42">
              <w:rPr>
                <w:rFonts w:cs="Arial"/>
                <w:sz w:val="18"/>
                <w:szCs w:val="18"/>
              </w:rPr>
              <w:t>Erythromycin</w:t>
            </w:r>
          </w:p>
        </w:tc>
        <w:tc>
          <w:tcPr>
            <w:tcW w:w="2214" w:type="dxa"/>
            <w:tcBorders>
              <w:bottom w:val="single" w:sz="4" w:space="0" w:color="auto"/>
            </w:tcBorders>
            <w:hideMark/>
          </w:tcPr>
          <w:p w14:paraId="1F558322"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523 (5.1)</w:t>
            </w:r>
          </w:p>
        </w:tc>
        <w:tc>
          <w:tcPr>
            <w:tcW w:w="2214" w:type="dxa"/>
            <w:tcBorders>
              <w:bottom w:val="single" w:sz="4" w:space="0" w:color="auto"/>
            </w:tcBorders>
            <w:hideMark/>
          </w:tcPr>
          <w:p w14:paraId="2E947EB4"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78 (5.5)</w:t>
            </w:r>
          </w:p>
        </w:tc>
        <w:tc>
          <w:tcPr>
            <w:tcW w:w="2214" w:type="dxa"/>
            <w:tcBorders>
              <w:bottom w:val="single" w:sz="4" w:space="0" w:color="auto"/>
            </w:tcBorders>
            <w:hideMark/>
          </w:tcPr>
          <w:p w14:paraId="11CD8095"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244 (5.0)</w:t>
            </w:r>
          </w:p>
        </w:tc>
        <w:tc>
          <w:tcPr>
            <w:tcW w:w="2215" w:type="dxa"/>
            <w:tcBorders>
              <w:bottom w:val="single" w:sz="4" w:space="0" w:color="auto"/>
            </w:tcBorders>
            <w:hideMark/>
          </w:tcPr>
          <w:p w14:paraId="13CA88A8" w14:textId="77777777" w:rsidR="00D250E5" w:rsidRPr="00495D42" w:rsidRDefault="00D250E5" w:rsidP="002D2677">
            <w:pPr>
              <w:widowControl/>
              <w:spacing w:before="0" w:beforeAutospacing="0" w:after="0" w:afterAutospacing="0" w:line="276" w:lineRule="auto"/>
              <w:jc w:val="center"/>
              <w:rPr>
                <w:rFonts w:cs="Arial"/>
                <w:sz w:val="18"/>
                <w:szCs w:val="18"/>
              </w:rPr>
            </w:pPr>
            <w:r w:rsidRPr="00495D42">
              <w:rPr>
                <w:rFonts w:cs="Arial"/>
                <w:sz w:val="18"/>
                <w:szCs w:val="18"/>
              </w:rPr>
              <w:t>201 (5.0)</w:t>
            </w:r>
          </w:p>
        </w:tc>
      </w:tr>
    </w:tbl>
    <w:p w14:paraId="21753F0B" w14:textId="77777777" w:rsidR="00D250E5" w:rsidRPr="00737A30" w:rsidRDefault="00D250E5" w:rsidP="00D250E5">
      <w:pPr>
        <w:widowControl/>
        <w:spacing w:before="0" w:beforeAutospacing="0" w:after="0" w:afterAutospacing="0" w:line="276" w:lineRule="auto"/>
        <w:rPr>
          <w:rFonts w:cs="Arial"/>
          <w:sz w:val="18"/>
          <w:szCs w:val="18"/>
        </w:rPr>
      </w:pPr>
      <w:r w:rsidRPr="00737A30">
        <w:rPr>
          <w:rFonts w:cs="Arial"/>
          <w:sz w:val="18"/>
          <w:szCs w:val="18"/>
          <w:vertAlign w:val="superscript"/>
        </w:rPr>
        <w:t xml:space="preserve">a </w:t>
      </w:r>
      <w:r w:rsidRPr="00737A30">
        <w:rPr>
          <w:rFonts w:cs="Arial"/>
          <w:sz w:val="18"/>
          <w:szCs w:val="18"/>
        </w:rPr>
        <w:t>Calculated for patients who were prescribed glucocorticoids.</w:t>
      </w:r>
    </w:p>
    <w:p w14:paraId="2A005C78" w14:textId="77777777" w:rsidR="00D250E5" w:rsidRPr="00737A30" w:rsidRDefault="00D250E5" w:rsidP="00D250E5">
      <w:pPr>
        <w:widowControl/>
        <w:spacing w:before="0" w:beforeAutospacing="0" w:after="0" w:afterAutospacing="0" w:line="276" w:lineRule="auto"/>
        <w:rPr>
          <w:rFonts w:cs="Arial"/>
          <w:sz w:val="18"/>
          <w:szCs w:val="18"/>
        </w:rPr>
      </w:pPr>
      <w:r w:rsidRPr="00737A30">
        <w:rPr>
          <w:rFonts w:cs="Arial"/>
          <w:sz w:val="18"/>
          <w:szCs w:val="18"/>
          <w:vertAlign w:val="superscript"/>
        </w:rPr>
        <w:t xml:space="preserve">b </w:t>
      </w:r>
      <w:r w:rsidRPr="00737A30">
        <w:rPr>
          <w:rFonts w:cs="Arial"/>
          <w:sz w:val="18"/>
          <w:szCs w:val="18"/>
        </w:rPr>
        <w:t>Fixed-dose LAMA/LABA or prescription of LAMA and LABA on the same date.</w:t>
      </w:r>
    </w:p>
    <w:p w14:paraId="6AE82868" w14:textId="77777777" w:rsidR="00D250E5" w:rsidRPr="00737A30" w:rsidRDefault="00D250E5" w:rsidP="00D250E5">
      <w:pPr>
        <w:widowControl/>
        <w:spacing w:before="0" w:beforeAutospacing="0" w:after="0" w:afterAutospacing="0" w:line="276" w:lineRule="auto"/>
        <w:rPr>
          <w:rFonts w:cs="Arial"/>
          <w:sz w:val="18"/>
          <w:szCs w:val="18"/>
        </w:rPr>
      </w:pPr>
      <w:r w:rsidRPr="00737A30">
        <w:rPr>
          <w:rFonts w:cs="Arial"/>
          <w:sz w:val="18"/>
          <w:szCs w:val="18"/>
          <w:vertAlign w:val="superscript"/>
        </w:rPr>
        <w:lastRenderedPageBreak/>
        <w:t xml:space="preserve">c </w:t>
      </w:r>
      <w:r w:rsidRPr="00737A30">
        <w:rPr>
          <w:rFonts w:cs="Arial"/>
          <w:sz w:val="18"/>
          <w:szCs w:val="18"/>
        </w:rPr>
        <w:t>Fixed-dose LABA/ICS or prescription of LABA and ICS on the same date.</w:t>
      </w:r>
    </w:p>
    <w:p w14:paraId="6762FC30" w14:textId="77777777" w:rsidR="00D250E5" w:rsidRPr="00737A30" w:rsidRDefault="00D250E5" w:rsidP="00D250E5">
      <w:pPr>
        <w:widowControl/>
        <w:spacing w:before="0" w:beforeAutospacing="0" w:after="0" w:afterAutospacing="0" w:line="276" w:lineRule="auto"/>
        <w:rPr>
          <w:rFonts w:cs="Arial"/>
          <w:sz w:val="18"/>
          <w:szCs w:val="18"/>
        </w:rPr>
      </w:pPr>
      <w:r w:rsidRPr="00737A30">
        <w:rPr>
          <w:rFonts w:cs="Arial"/>
          <w:sz w:val="18"/>
          <w:szCs w:val="18"/>
          <w:vertAlign w:val="superscript"/>
        </w:rPr>
        <w:t xml:space="preserve">d </w:t>
      </w:r>
      <w:r w:rsidRPr="00737A30">
        <w:rPr>
          <w:rFonts w:cs="Arial"/>
          <w:sz w:val="18"/>
          <w:szCs w:val="18"/>
        </w:rPr>
        <w:t>Fixed-dose LAMA/LABA/ICS or prescription of LAMA, LABA, and ICS on the same date.</w:t>
      </w:r>
    </w:p>
    <w:p w14:paraId="5B71B88B" w14:textId="77777777" w:rsidR="00D250E5" w:rsidRPr="00737A30" w:rsidRDefault="00D250E5" w:rsidP="00D250E5">
      <w:pPr>
        <w:widowControl/>
        <w:spacing w:before="0" w:beforeAutospacing="0" w:after="0" w:afterAutospacing="0" w:line="276" w:lineRule="auto"/>
        <w:rPr>
          <w:rFonts w:cs="Arial"/>
          <w:sz w:val="18"/>
          <w:szCs w:val="18"/>
        </w:rPr>
      </w:pPr>
      <w:r w:rsidRPr="002D2677">
        <w:rPr>
          <w:rFonts w:cs="Arial"/>
          <w:b/>
          <w:bCs/>
          <w:sz w:val="18"/>
          <w:szCs w:val="18"/>
        </w:rPr>
        <w:t>Abbreviations:</w:t>
      </w:r>
      <w:r>
        <w:rPr>
          <w:rFonts w:cs="Arial"/>
          <w:sz w:val="18"/>
          <w:szCs w:val="18"/>
        </w:rPr>
        <w:t xml:space="preserve"> </w:t>
      </w:r>
      <w:r w:rsidRPr="00737A30">
        <w:rPr>
          <w:rFonts w:cs="Arial"/>
          <w:sz w:val="18"/>
          <w:szCs w:val="18"/>
        </w:rPr>
        <w:t>CI, confidence interval; COPD, chronic obstructive pulmonary disease; ICS, inhaled corticosteroids; IQR, interquartile range; LABA, long-acting β2-agonists; LAMA, long-acting muscarinic antagonists; PDC, proportion of days covered; SD, standard deviation.</w:t>
      </w:r>
    </w:p>
    <w:p w14:paraId="34C1970C" w14:textId="77777777" w:rsidR="00D250E5" w:rsidRPr="00737A30" w:rsidRDefault="00D250E5" w:rsidP="00D250E5">
      <w:pPr>
        <w:pStyle w:val="Heading3"/>
        <w:sectPr w:rsidR="00D250E5" w:rsidRPr="00737A30" w:rsidSect="00D250E5">
          <w:endnotePr>
            <w:numFmt w:val="decimal"/>
          </w:endnotePr>
          <w:pgSz w:w="16840" w:h="11907" w:orient="landscape" w:code="9"/>
          <w:pgMar w:top="1701" w:right="1440" w:bottom="1701" w:left="1440" w:header="567" w:footer="567" w:gutter="0"/>
          <w:cols w:space="720"/>
          <w:docGrid w:linePitch="299"/>
        </w:sectPr>
      </w:pPr>
    </w:p>
    <w:p w14:paraId="4D576024" w14:textId="5388E9CC" w:rsidR="00BF16D5" w:rsidRPr="00BF16D5" w:rsidRDefault="00BF16D5" w:rsidP="00BF16D5">
      <w:pPr>
        <w:pStyle w:val="Heading2"/>
        <w:rPr>
          <w:rFonts w:ascii="Arial" w:hAnsi="Arial" w:cs="Arial"/>
          <w:b/>
          <w:bCs/>
          <w:i/>
          <w:iCs/>
          <w:color w:val="000000" w:themeColor="text1"/>
          <w:sz w:val="28"/>
          <w:szCs w:val="28"/>
          <w:lang w:eastAsia="ja-JP"/>
        </w:rPr>
      </w:pPr>
      <w:r w:rsidRPr="00450878">
        <w:rPr>
          <w:rFonts w:ascii="Arial" w:hAnsi="Arial" w:cs="Arial"/>
          <w:b/>
          <w:bCs/>
          <w:i/>
          <w:iCs/>
          <w:color w:val="000000" w:themeColor="text1"/>
          <w:sz w:val="28"/>
          <w:szCs w:val="28"/>
        </w:rPr>
        <w:lastRenderedPageBreak/>
        <w:t xml:space="preserve">Supplementary </w:t>
      </w:r>
      <w:r>
        <w:rPr>
          <w:rFonts w:ascii="Arial" w:hAnsi="Arial" w:cs="Arial" w:hint="eastAsia"/>
          <w:b/>
          <w:bCs/>
          <w:i/>
          <w:iCs/>
          <w:color w:val="000000" w:themeColor="text1"/>
          <w:sz w:val="28"/>
          <w:szCs w:val="28"/>
          <w:lang w:eastAsia="ja-JP"/>
        </w:rPr>
        <w:t>Figures</w:t>
      </w:r>
    </w:p>
    <w:p w14:paraId="2CAA0CC4" w14:textId="77777777" w:rsidR="00B27293" w:rsidRPr="00737A30" w:rsidRDefault="00D250E5" w:rsidP="00B27293">
      <w:pPr>
        <w:widowControl/>
        <w:spacing w:before="0" w:beforeAutospacing="0" w:after="0" w:afterAutospacing="0" w:line="276" w:lineRule="auto"/>
        <w:rPr>
          <w:rFonts w:cs="Arial"/>
          <w:sz w:val="18"/>
          <w:szCs w:val="18"/>
          <w:lang w:eastAsia="ja-JP"/>
        </w:rPr>
      </w:pPr>
      <w:r w:rsidRPr="00D250E5">
        <w:rPr>
          <w:b/>
          <w:bCs/>
          <w:color w:val="000000" w:themeColor="text1"/>
          <w:szCs w:val="20"/>
        </w:rPr>
        <w:t>Supplementary Figure 1</w:t>
      </w:r>
      <w:r w:rsidRPr="006C735D">
        <w:rPr>
          <w:rFonts w:cs="Arial"/>
        </w:rPr>
        <w:t xml:space="preserve"> </w:t>
      </w:r>
      <w:bookmarkStart w:id="0" w:name="_Hlk192501944"/>
      <w:r w:rsidRPr="001D722E">
        <w:rPr>
          <w:rFonts w:cstheme="majorBidi"/>
          <w:b/>
          <w:bCs/>
          <w:color w:val="000000" w:themeColor="text1"/>
          <w:szCs w:val="20"/>
        </w:rPr>
        <w:t>Sensitivity analyses of adjusted incidence rates and rate ratios for COPD exacerbations (primary outcome) using alternative definitions of type 2 inflammation status.</w:t>
      </w:r>
      <w:bookmarkEnd w:id="0"/>
      <w:r w:rsidR="00B27293">
        <w:rPr>
          <w:b/>
          <w:bCs/>
          <w:color w:val="000000" w:themeColor="text1"/>
          <w:szCs w:val="20"/>
        </w:rPr>
        <w:br/>
      </w:r>
      <w:r w:rsidR="00B27293" w:rsidRPr="00737A30">
        <w:rPr>
          <w:rFonts w:cs="Arial"/>
          <w:sz w:val="18"/>
          <w:szCs w:val="18"/>
          <w:lang w:eastAsia="ja-JP"/>
        </w:rPr>
        <w:t>Sensitivity analysis 1: Patients with ≥2 eosinophil measurements &gt;300 cells/</w:t>
      </w:r>
      <w:proofErr w:type="spellStart"/>
      <w:r w:rsidR="00B27293" w:rsidRPr="00737A30">
        <w:rPr>
          <w:rFonts w:cs="Arial"/>
          <w:sz w:val="18"/>
          <w:szCs w:val="18"/>
          <w:lang w:eastAsia="ja-JP"/>
        </w:rPr>
        <w:t>μL</w:t>
      </w:r>
      <w:proofErr w:type="spellEnd"/>
      <w:r w:rsidR="00B27293" w:rsidRPr="00737A30">
        <w:rPr>
          <w:rFonts w:cs="Arial"/>
          <w:sz w:val="18"/>
          <w:szCs w:val="18"/>
          <w:lang w:eastAsia="ja-JP"/>
        </w:rPr>
        <w:t xml:space="preserve"> from day −365 to 1</w:t>
      </w:r>
      <w:r w:rsidR="00B27293">
        <w:rPr>
          <w:rFonts w:cs="Arial"/>
          <w:sz w:val="18"/>
          <w:szCs w:val="18"/>
          <w:lang w:eastAsia="ja-JP"/>
        </w:rPr>
        <w:t>,</w:t>
      </w:r>
      <w:r w:rsidR="00B27293" w:rsidRPr="00737A30">
        <w:rPr>
          <w:rFonts w:cs="Arial"/>
          <w:sz w:val="18"/>
          <w:szCs w:val="18"/>
          <w:lang w:eastAsia="ja-JP"/>
        </w:rPr>
        <w:t>095 were classified as type 2 inflammation-positive; others were classified as negative.</w:t>
      </w:r>
    </w:p>
    <w:p w14:paraId="12B87919" w14:textId="77777777" w:rsidR="00B27293" w:rsidRDefault="00B27293" w:rsidP="00B27293">
      <w:pPr>
        <w:widowControl/>
        <w:spacing w:before="0" w:beforeAutospacing="0" w:after="0" w:afterAutospacing="0" w:line="276" w:lineRule="auto"/>
        <w:rPr>
          <w:rFonts w:cs="Arial"/>
          <w:sz w:val="18"/>
          <w:szCs w:val="18"/>
          <w:lang w:eastAsia="ja-JP"/>
        </w:rPr>
      </w:pPr>
      <w:r w:rsidRPr="00737A30">
        <w:rPr>
          <w:rFonts w:cs="Arial"/>
          <w:sz w:val="18"/>
          <w:szCs w:val="18"/>
          <w:lang w:eastAsia="ja-JP"/>
        </w:rPr>
        <w:t>Sensitivity analysis 2: A beta distribution model applied to eosinophil counts from day −365 to 0 classified patients as having persistently high (probability that the proportion of eosinophil count</w:t>
      </w:r>
      <w:r>
        <w:rPr>
          <w:rFonts w:cs="Arial"/>
          <w:sz w:val="18"/>
          <w:szCs w:val="18"/>
          <w:lang w:eastAsia="ja-JP"/>
        </w:rPr>
        <w:t>s</w:t>
      </w:r>
      <w:r w:rsidRPr="00737A30">
        <w:rPr>
          <w:rFonts w:cs="Arial"/>
          <w:sz w:val="18"/>
          <w:szCs w:val="18"/>
          <w:lang w:eastAsia="ja-JP"/>
        </w:rPr>
        <w:t xml:space="preserve"> &gt;300 cells/</w:t>
      </w:r>
      <w:proofErr w:type="spellStart"/>
      <w:r w:rsidRPr="00737A30">
        <w:rPr>
          <w:rFonts w:cs="Arial"/>
          <w:sz w:val="18"/>
          <w:szCs w:val="18"/>
          <w:lang w:eastAsia="ja-JP"/>
        </w:rPr>
        <w:t>μL</w:t>
      </w:r>
      <w:proofErr w:type="spellEnd"/>
      <w:r w:rsidRPr="00737A30">
        <w:rPr>
          <w:rFonts w:cs="Arial"/>
          <w:sz w:val="18"/>
          <w:szCs w:val="18"/>
          <w:lang w:eastAsia="ja-JP"/>
        </w:rPr>
        <w:t xml:space="preserve"> exceed</w:t>
      </w:r>
      <w:r>
        <w:rPr>
          <w:rFonts w:cs="Arial"/>
          <w:sz w:val="18"/>
          <w:szCs w:val="18"/>
          <w:lang w:eastAsia="ja-JP"/>
        </w:rPr>
        <w:t>ing</w:t>
      </w:r>
      <w:r w:rsidRPr="00737A30">
        <w:rPr>
          <w:rFonts w:cs="Arial"/>
          <w:sz w:val="18"/>
          <w:szCs w:val="18"/>
          <w:lang w:eastAsia="ja-JP"/>
        </w:rPr>
        <w:t xml:space="preserve"> 0.75 </w:t>
      </w:r>
      <w:r>
        <w:rPr>
          <w:rFonts w:cs="Arial"/>
          <w:sz w:val="18"/>
          <w:szCs w:val="18"/>
          <w:lang w:eastAsia="ja-JP"/>
        </w:rPr>
        <w:t>wa</w:t>
      </w:r>
      <w:r w:rsidRPr="00737A30">
        <w:rPr>
          <w:rFonts w:cs="Arial"/>
          <w:sz w:val="18"/>
          <w:szCs w:val="18"/>
          <w:lang w:eastAsia="ja-JP"/>
        </w:rPr>
        <w:t>s larger than 0.7), persistently low (probability that the proportion of eosinophil count</w:t>
      </w:r>
      <w:r>
        <w:rPr>
          <w:rFonts w:cs="Arial"/>
          <w:sz w:val="18"/>
          <w:szCs w:val="18"/>
          <w:lang w:eastAsia="ja-JP"/>
        </w:rPr>
        <w:t>s</w:t>
      </w:r>
      <w:r w:rsidRPr="00737A30">
        <w:rPr>
          <w:rFonts w:cs="Arial"/>
          <w:sz w:val="18"/>
          <w:szCs w:val="18"/>
          <w:lang w:eastAsia="ja-JP"/>
        </w:rPr>
        <w:t xml:space="preserve"> ≤300 cells/</w:t>
      </w:r>
      <w:proofErr w:type="spellStart"/>
      <w:r w:rsidRPr="00737A30">
        <w:rPr>
          <w:rFonts w:cs="Arial"/>
          <w:sz w:val="18"/>
          <w:szCs w:val="18"/>
          <w:lang w:eastAsia="ja-JP"/>
        </w:rPr>
        <w:t>μL</w:t>
      </w:r>
      <w:proofErr w:type="spellEnd"/>
      <w:r w:rsidRPr="00737A30">
        <w:rPr>
          <w:rFonts w:cs="Arial"/>
          <w:sz w:val="18"/>
          <w:szCs w:val="18"/>
          <w:lang w:eastAsia="ja-JP"/>
        </w:rPr>
        <w:t xml:space="preserve"> exceed</w:t>
      </w:r>
      <w:r>
        <w:rPr>
          <w:rFonts w:cs="Arial"/>
          <w:sz w:val="18"/>
          <w:szCs w:val="18"/>
          <w:lang w:eastAsia="ja-JP"/>
        </w:rPr>
        <w:t>ing</w:t>
      </w:r>
      <w:r w:rsidRPr="00737A30">
        <w:rPr>
          <w:rFonts w:cs="Arial"/>
          <w:sz w:val="18"/>
          <w:szCs w:val="18"/>
          <w:lang w:eastAsia="ja-JP"/>
        </w:rPr>
        <w:t xml:space="preserve"> 0.75 </w:t>
      </w:r>
      <w:r>
        <w:rPr>
          <w:rFonts w:cs="Arial"/>
          <w:sz w:val="18"/>
          <w:szCs w:val="18"/>
          <w:lang w:eastAsia="ja-JP"/>
        </w:rPr>
        <w:t>wa</w:t>
      </w:r>
      <w:r w:rsidRPr="00737A30">
        <w:rPr>
          <w:rFonts w:cs="Arial"/>
          <w:sz w:val="18"/>
          <w:szCs w:val="18"/>
          <w:lang w:eastAsia="ja-JP"/>
        </w:rPr>
        <w:t>s larger than 0.7), or intermediate eosinophil levels (otherwise)</w:t>
      </w:r>
      <w:r>
        <w:rPr>
          <w:rFonts w:cs="Arial"/>
          <w:sz w:val="18"/>
          <w:szCs w:val="18"/>
          <w:lang w:eastAsia="ja-JP"/>
        </w:rPr>
        <w:t>;</w:t>
      </w:r>
      <w:r w:rsidRPr="00737A30">
        <w:rPr>
          <w:rFonts w:cs="Arial"/>
          <w:sz w:val="18"/>
          <w:szCs w:val="18"/>
          <w:lang w:eastAsia="ja-JP"/>
        </w:rPr>
        <w:t xml:space="preserve"> </w:t>
      </w:r>
      <w:proofErr w:type="spellStart"/>
      <w:r w:rsidRPr="00737A30">
        <w:rPr>
          <w:rFonts w:cs="Arial"/>
          <w:sz w:val="18"/>
          <w:szCs w:val="18"/>
          <w:lang w:eastAsia="ja-JP"/>
        </w:rPr>
        <w:t>ie</w:t>
      </w:r>
      <w:proofErr w:type="spellEnd"/>
      <w:r>
        <w:rPr>
          <w:rFonts w:cs="Arial"/>
          <w:sz w:val="18"/>
          <w:szCs w:val="18"/>
          <w:lang w:eastAsia="ja-JP"/>
        </w:rPr>
        <w:t>,</w:t>
      </w:r>
      <w:r w:rsidRPr="00737A30">
        <w:rPr>
          <w:rFonts w:cs="Arial"/>
          <w:sz w:val="18"/>
          <w:szCs w:val="18"/>
          <w:lang w:eastAsia="ja-JP"/>
        </w:rPr>
        <w:t xml:space="preserve"> to qualify as persistently high (or low), patients with 3 to 6 measurements were not allowed to have any eosinophil count ≤300 cells/</w:t>
      </w:r>
      <w:proofErr w:type="spellStart"/>
      <w:r w:rsidRPr="00737A30">
        <w:rPr>
          <w:rFonts w:cs="Arial"/>
          <w:sz w:val="18"/>
          <w:szCs w:val="18"/>
          <w:lang w:eastAsia="ja-JP"/>
        </w:rPr>
        <w:t>μL</w:t>
      </w:r>
      <w:proofErr w:type="spellEnd"/>
      <w:r w:rsidRPr="00737A30">
        <w:rPr>
          <w:rFonts w:cs="Arial"/>
          <w:sz w:val="18"/>
          <w:szCs w:val="18"/>
          <w:lang w:eastAsia="ja-JP"/>
        </w:rPr>
        <w:t xml:space="preserve"> (or &gt;300 cells/</w:t>
      </w:r>
      <w:proofErr w:type="spellStart"/>
      <w:r w:rsidRPr="00737A30">
        <w:rPr>
          <w:rFonts w:cs="Arial"/>
          <w:sz w:val="18"/>
          <w:szCs w:val="18"/>
          <w:lang w:eastAsia="ja-JP"/>
        </w:rPr>
        <w:t>μL</w:t>
      </w:r>
      <w:proofErr w:type="spellEnd"/>
      <w:r w:rsidRPr="00737A30">
        <w:rPr>
          <w:rFonts w:cs="Arial"/>
          <w:sz w:val="18"/>
          <w:szCs w:val="18"/>
          <w:lang w:eastAsia="ja-JP"/>
        </w:rPr>
        <w:t>), patients with 7 to 11 measurements were allowed to have only 1 eosinophil count ≤300 cells/</w:t>
      </w:r>
      <w:proofErr w:type="spellStart"/>
      <w:r w:rsidRPr="00737A30">
        <w:rPr>
          <w:rFonts w:cs="Arial"/>
          <w:sz w:val="18"/>
          <w:szCs w:val="18"/>
          <w:lang w:eastAsia="ja-JP"/>
        </w:rPr>
        <w:t>μL</w:t>
      </w:r>
      <w:proofErr w:type="spellEnd"/>
      <w:r w:rsidRPr="00737A30">
        <w:rPr>
          <w:rFonts w:cs="Arial"/>
          <w:sz w:val="18"/>
          <w:szCs w:val="18"/>
          <w:lang w:eastAsia="ja-JP"/>
        </w:rPr>
        <w:t xml:space="preserve"> (or &gt;300 cells/</w:t>
      </w:r>
      <w:proofErr w:type="spellStart"/>
      <w:r w:rsidRPr="00737A30">
        <w:rPr>
          <w:rFonts w:cs="Arial"/>
          <w:sz w:val="18"/>
          <w:szCs w:val="18"/>
          <w:lang w:eastAsia="ja-JP"/>
        </w:rPr>
        <w:t>μL</w:t>
      </w:r>
      <w:proofErr w:type="spellEnd"/>
      <w:r w:rsidRPr="00737A30">
        <w:rPr>
          <w:rFonts w:cs="Arial"/>
          <w:sz w:val="18"/>
          <w:szCs w:val="18"/>
          <w:lang w:eastAsia="ja-JP"/>
        </w:rPr>
        <w:t>), patients with 12 to 16 measurements were allowed to have 2 eosinophil counts ≤300 cells/</w:t>
      </w:r>
      <w:proofErr w:type="spellStart"/>
      <w:r w:rsidRPr="00737A30">
        <w:rPr>
          <w:rFonts w:cs="Arial"/>
          <w:sz w:val="18"/>
          <w:szCs w:val="18"/>
          <w:lang w:eastAsia="ja-JP"/>
        </w:rPr>
        <w:t>μL</w:t>
      </w:r>
      <w:proofErr w:type="spellEnd"/>
      <w:r w:rsidRPr="00737A30">
        <w:rPr>
          <w:rFonts w:cs="Arial"/>
          <w:sz w:val="18"/>
          <w:szCs w:val="18"/>
          <w:lang w:eastAsia="ja-JP"/>
        </w:rPr>
        <w:t xml:space="preserve"> (or &gt;300 cells/</w:t>
      </w:r>
      <w:proofErr w:type="spellStart"/>
      <w:r w:rsidRPr="00737A30">
        <w:rPr>
          <w:rFonts w:cs="Arial"/>
          <w:sz w:val="18"/>
          <w:szCs w:val="18"/>
          <w:lang w:eastAsia="ja-JP"/>
        </w:rPr>
        <w:t>μL</w:t>
      </w:r>
      <w:proofErr w:type="spellEnd"/>
      <w:r w:rsidRPr="00737A30">
        <w:rPr>
          <w:rFonts w:cs="Arial"/>
          <w:sz w:val="18"/>
          <w:szCs w:val="18"/>
          <w:lang w:eastAsia="ja-JP"/>
        </w:rPr>
        <w:t>), etc.</w:t>
      </w:r>
    </w:p>
    <w:p w14:paraId="4A0A68E8" w14:textId="77777777" w:rsidR="00B27293" w:rsidRPr="00737A30" w:rsidRDefault="00B27293" w:rsidP="00B27293">
      <w:pPr>
        <w:widowControl/>
        <w:spacing w:before="0" w:beforeAutospacing="0" w:after="0" w:afterAutospacing="0" w:line="276" w:lineRule="auto"/>
        <w:rPr>
          <w:rFonts w:cs="Arial"/>
          <w:sz w:val="18"/>
          <w:szCs w:val="18"/>
          <w:lang w:eastAsia="ja-JP"/>
        </w:rPr>
      </w:pPr>
      <w:r w:rsidRPr="00737A30">
        <w:rPr>
          <w:rFonts w:cs="Arial"/>
          <w:sz w:val="18"/>
          <w:szCs w:val="18"/>
          <w:lang w:eastAsia="ja-JP"/>
        </w:rPr>
        <w:t>Sensitivity analysis 3: Classification was based on the mean eosinophil count from day −365 to 0, using the same thresholds as the main analysis.</w:t>
      </w:r>
    </w:p>
    <w:p w14:paraId="0C67684C" w14:textId="77777777" w:rsidR="00B27293" w:rsidRDefault="00B27293" w:rsidP="00B27293">
      <w:pPr>
        <w:widowControl/>
        <w:spacing w:before="0" w:beforeAutospacing="0" w:after="0" w:afterAutospacing="0" w:line="276" w:lineRule="auto"/>
        <w:rPr>
          <w:rFonts w:cs="Arial"/>
          <w:sz w:val="18"/>
          <w:szCs w:val="18"/>
          <w:lang w:eastAsia="ja-JP"/>
        </w:rPr>
      </w:pPr>
      <w:r w:rsidRPr="00737A30">
        <w:rPr>
          <w:rFonts w:cs="Arial"/>
          <w:sz w:val="18"/>
          <w:szCs w:val="18"/>
          <w:lang w:eastAsia="ja-JP"/>
        </w:rPr>
        <w:t>Sensitivity analysis 4: Patients with a maximum eosinophil count &gt;150 cells/</w:t>
      </w:r>
      <w:proofErr w:type="spellStart"/>
      <w:r w:rsidRPr="00737A30">
        <w:rPr>
          <w:rFonts w:cs="Arial"/>
          <w:sz w:val="18"/>
          <w:szCs w:val="18"/>
          <w:lang w:eastAsia="ja-JP"/>
        </w:rPr>
        <w:t>μL</w:t>
      </w:r>
      <w:proofErr w:type="spellEnd"/>
      <w:r w:rsidRPr="00737A30">
        <w:rPr>
          <w:rFonts w:cs="Arial"/>
          <w:sz w:val="18"/>
          <w:szCs w:val="18"/>
          <w:lang w:eastAsia="ja-JP"/>
        </w:rPr>
        <w:t xml:space="preserve"> from day −365 to 0 were classified as type 2 inflammation-positive; others as negative.</w:t>
      </w:r>
    </w:p>
    <w:p w14:paraId="7618E12E" w14:textId="77777777" w:rsidR="00B27293" w:rsidRPr="00737A30" w:rsidRDefault="00B27293" w:rsidP="00B27293">
      <w:pPr>
        <w:widowControl/>
        <w:spacing w:before="0" w:beforeAutospacing="0" w:after="0" w:afterAutospacing="0" w:line="276" w:lineRule="auto"/>
        <w:rPr>
          <w:rFonts w:cs="Arial"/>
          <w:sz w:val="18"/>
          <w:szCs w:val="18"/>
        </w:rPr>
      </w:pPr>
      <w:r w:rsidRPr="002D2677">
        <w:rPr>
          <w:rFonts w:cs="Arial"/>
          <w:b/>
          <w:bCs/>
          <w:sz w:val="18"/>
          <w:szCs w:val="18"/>
        </w:rPr>
        <w:t>Abbreviations:</w:t>
      </w:r>
      <w:r>
        <w:rPr>
          <w:rFonts w:cs="Arial"/>
          <w:sz w:val="18"/>
          <w:szCs w:val="18"/>
        </w:rPr>
        <w:t xml:space="preserve"> </w:t>
      </w:r>
      <w:r w:rsidRPr="00737A30">
        <w:rPr>
          <w:rFonts w:cs="Arial"/>
          <w:sz w:val="18"/>
          <w:szCs w:val="18"/>
        </w:rPr>
        <w:t>CI, confidence interval; COPD, chronic obstructive pulmonary disease.</w:t>
      </w:r>
    </w:p>
    <w:p w14:paraId="0293B34C" w14:textId="77777777" w:rsidR="00D250E5" w:rsidRDefault="00D250E5" w:rsidP="00D250E5">
      <w:pPr>
        <w:spacing w:line="276" w:lineRule="auto"/>
        <w:rPr>
          <w:rFonts w:cs="Arial"/>
          <w:sz w:val="18"/>
          <w:szCs w:val="18"/>
          <w:lang w:eastAsia="ja-JP"/>
        </w:rPr>
      </w:pPr>
      <w:r>
        <w:rPr>
          <w:rFonts w:cs="Arial"/>
          <w:noProof/>
        </w:rPr>
        <w:lastRenderedPageBreak/>
        <w:drawing>
          <wp:inline distT="0" distB="0" distL="0" distR="0" wp14:anchorId="71881635" wp14:editId="6ADE765F">
            <wp:extent cx="6384921" cy="5707556"/>
            <wp:effectExtent l="0" t="0" r="0" b="0"/>
            <wp:docPr id="1574708771" name="Picture 2" descr="A black screen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708771" name="Picture 2" descr="A black screen with white line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4229" cy="5724816"/>
                    </a:xfrm>
                    <a:prstGeom prst="rect">
                      <a:avLst/>
                    </a:prstGeom>
                    <a:noFill/>
                  </pic:spPr>
                </pic:pic>
              </a:graphicData>
            </a:graphic>
          </wp:inline>
        </w:drawing>
      </w:r>
    </w:p>
    <w:p w14:paraId="2ECD43B6" w14:textId="77777777" w:rsidR="00D250E5" w:rsidRPr="00737A30" w:rsidRDefault="00D250E5" w:rsidP="00D250E5">
      <w:pPr>
        <w:widowControl/>
        <w:spacing w:before="0" w:beforeAutospacing="0" w:after="0" w:afterAutospacing="0" w:line="276" w:lineRule="auto"/>
        <w:rPr>
          <w:rFonts w:cs="Arial"/>
          <w:sz w:val="18"/>
          <w:szCs w:val="18"/>
          <w:lang w:eastAsia="ja-JP"/>
        </w:rPr>
      </w:pPr>
    </w:p>
    <w:p w14:paraId="4C4C0E5F" w14:textId="77777777" w:rsidR="00B27293" w:rsidRDefault="00D250E5" w:rsidP="00B27293">
      <w:pPr>
        <w:pStyle w:val="Heading3"/>
        <w:rPr>
          <w:rFonts w:eastAsiaTheme="minorEastAsia" w:cs="Arial"/>
          <w:color w:val="auto"/>
          <w:sz w:val="18"/>
          <w:szCs w:val="18"/>
          <w:lang w:eastAsia="ja-JP"/>
        </w:rPr>
      </w:pPr>
      <w:r w:rsidRPr="00D250E5">
        <w:rPr>
          <w:b/>
          <w:bCs/>
          <w:color w:val="000000" w:themeColor="text1"/>
          <w:sz w:val="20"/>
          <w:szCs w:val="20"/>
        </w:rPr>
        <w:t>Supplementary Figure 2</w:t>
      </w:r>
      <w:r w:rsidRPr="006C735D">
        <w:rPr>
          <w:rFonts w:cs="Arial"/>
        </w:rPr>
        <w:t xml:space="preserve"> </w:t>
      </w:r>
      <w:r w:rsidRPr="00B27293">
        <w:rPr>
          <w:b/>
          <w:bCs/>
          <w:color w:val="000000" w:themeColor="text1"/>
          <w:sz w:val="20"/>
          <w:szCs w:val="20"/>
        </w:rPr>
        <w:t>Sensitivity analyses of adjusted incidence rates and rate ratios for MACE (secondary outcome) using alternative definitions of type 2 inflammation status</w:t>
      </w:r>
      <w:r w:rsidRPr="00B27293">
        <w:rPr>
          <w:rFonts w:eastAsiaTheme="minorEastAsia" w:cs="Arial"/>
          <w:color w:val="auto"/>
          <w:sz w:val="18"/>
          <w:szCs w:val="18"/>
          <w:lang w:eastAsia="ja-JP"/>
        </w:rPr>
        <w:t>.</w:t>
      </w:r>
    </w:p>
    <w:p w14:paraId="1CD03D36" w14:textId="77777777" w:rsidR="00B27293" w:rsidRPr="00B27293" w:rsidRDefault="00B27293" w:rsidP="00B27293">
      <w:pPr>
        <w:pStyle w:val="Heading3"/>
        <w:rPr>
          <w:rFonts w:eastAsiaTheme="minorEastAsia" w:cs="Arial"/>
          <w:color w:val="auto"/>
          <w:sz w:val="18"/>
          <w:szCs w:val="18"/>
          <w:lang w:eastAsia="ja-JP"/>
        </w:rPr>
      </w:pPr>
      <w:r w:rsidRPr="00B27293">
        <w:rPr>
          <w:rFonts w:eastAsiaTheme="minorEastAsia" w:cs="Arial"/>
          <w:color w:val="auto"/>
          <w:sz w:val="18"/>
          <w:szCs w:val="18"/>
          <w:lang w:eastAsia="ja-JP"/>
        </w:rPr>
        <w:t>Sensitivity analysis 1: Patients with ≥2 eosinophil measurements &gt;300 cells/</w:t>
      </w:r>
      <w:proofErr w:type="spellStart"/>
      <w:r w:rsidRPr="00B27293">
        <w:rPr>
          <w:rFonts w:eastAsiaTheme="minorEastAsia" w:cs="Arial"/>
          <w:color w:val="auto"/>
          <w:sz w:val="18"/>
          <w:szCs w:val="18"/>
          <w:lang w:eastAsia="ja-JP"/>
        </w:rPr>
        <w:t>μL</w:t>
      </w:r>
      <w:proofErr w:type="spellEnd"/>
      <w:r w:rsidRPr="00B27293">
        <w:rPr>
          <w:rFonts w:eastAsiaTheme="minorEastAsia" w:cs="Arial"/>
          <w:color w:val="auto"/>
          <w:sz w:val="18"/>
          <w:szCs w:val="18"/>
          <w:lang w:eastAsia="ja-JP"/>
        </w:rPr>
        <w:t xml:space="preserve"> from day −365 to 1,095 were classified as type 2 inflammation-positive; others were classified as negative.</w:t>
      </w:r>
      <w:r>
        <w:rPr>
          <w:rFonts w:eastAsiaTheme="minorEastAsia" w:cs="Arial"/>
          <w:color w:val="auto"/>
          <w:sz w:val="18"/>
          <w:szCs w:val="18"/>
          <w:lang w:eastAsia="ja-JP"/>
        </w:rPr>
        <w:t xml:space="preserve"> </w:t>
      </w:r>
      <w:r>
        <w:rPr>
          <w:rFonts w:eastAsiaTheme="minorEastAsia" w:cs="Arial"/>
          <w:color w:val="auto"/>
          <w:sz w:val="18"/>
          <w:szCs w:val="18"/>
          <w:lang w:eastAsia="ja-JP"/>
        </w:rPr>
        <w:br/>
      </w:r>
      <w:r w:rsidRPr="00B27293">
        <w:rPr>
          <w:rFonts w:eastAsiaTheme="minorEastAsia" w:cs="Arial"/>
          <w:color w:val="auto"/>
          <w:sz w:val="18"/>
          <w:szCs w:val="18"/>
          <w:lang w:eastAsia="ja-JP"/>
        </w:rPr>
        <w:t>Sensitivity analysis 2: A beta distribution model applied to eosinophil counts from day −365 to 0 classified patients as having persistently high (probability that the proportion of eosinophil counts &gt;300 cells/</w:t>
      </w:r>
      <w:proofErr w:type="spellStart"/>
      <w:r w:rsidRPr="00B27293">
        <w:rPr>
          <w:rFonts w:eastAsiaTheme="minorEastAsia" w:cs="Arial"/>
          <w:color w:val="auto"/>
          <w:sz w:val="18"/>
          <w:szCs w:val="18"/>
          <w:lang w:eastAsia="ja-JP"/>
        </w:rPr>
        <w:t>μL</w:t>
      </w:r>
      <w:proofErr w:type="spellEnd"/>
      <w:r w:rsidRPr="00B27293">
        <w:rPr>
          <w:rFonts w:eastAsiaTheme="minorEastAsia" w:cs="Arial"/>
          <w:color w:val="auto"/>
          <w:sz w:val="18"/>
          <w:szCs w:val="18"/>
          <w:lang w:eastAsia="ja-JP"/>
        </w:rPr>
        <w:t xml:space="preserve"> exceeding 0.75 was larger than 0.7), persistently low (probability that the proportion of eosinophil counts ≤300 cells/</w:t>
      </w:r>
      <w:proofErr w:type="spellStart"/>
      <w:r w:rsidRPr="00B27293">
        <w:rPr>
          <w:rFonts w:eastAsiaTheme="minorEastAsia" w:cs="Arial"/>
          <w:color w:val="auto"/>
          <w:sz w:val="18"/>
          <w:szCs w:val="18"/>
          <w:lang w:eastAsia="ja-JP"/>
        </w:rPr>
        <w:t>μL</w:t>
      </w:r>
      <w:proofErr w:type="spellEnd"/>
      <w:r w:rsidRPr="00B27293">
        <w:rPr>
          <w:rFonts w:eastAsiaTheme="minorEastAsia" w:cs="Arial"/>
          <w:color w:val="auto"/>
          <w:sz w:val="18"/>
          <w:szCs w:val="18"/>
          <w:lang w:eastAsia="ja-JP"/>
        </w:rPr>
        <w:t xml:space="preserve"> exceeding 0.75 was larger than 0.7), or intermediate eosinophil levels (otherwise); </w:t>
      </w:r>
      <w:proofErr w:type="spellStart"/>
      <w:r w:rsidRPr="00B27293">
        <w:rPr>
          <w:rFonts w:eastAsiaTheme="minorEastAsia" w:cs="Arial"/>
          <w:color w:val="auto"/>
          <w:sz w:val="18"/>
          <w:szCs w:val="18"/>
          <w:lang w:eastAsia="ja-JP"/>
        </w:rPr>
        <w:t>ie</w:t>
      </w:r>
      <w:proofErr w:type="spellEnd"/>
      <w:r w:rsidRPr="00B27293">
        <w:rPr>
          <w:rFonts w:eastAsiaTheme="minorEastAsia" w:cs="Arial"/>
          <w:color w:val="auto"/>
          <w:sz w:val="18"/>
          <w:szCs w:val="18"/>
          <w:lang w:eastAsia="ja-JP"/>
        </w:rPr>
        <w:t>, to qualify as persistently high (or low), patients with 3 to 6 measurements were not allowed to have any eosinophil count ≤300 cells/</w:t>
      </w:r>
      <w:proofErr w:type="spellStart"/>
      <w:r w:rsidRPr="00B27293">
        <w:rPr>
          <w:rFonts w:eastAsiaTheme="minorEastAsia" w:cs="Arial"/>
          <w:color w:val="auto"/>
          <w:sz w:val="18"/>
          <w:szCs w:val="18"/>
          <w:lang w:eastAsia="ja-JP"/>
        </w:rPr>
        <w:t>μL</w:t>
      </w:r>
      <w:proofErr w:type="spellEnd"/>
      <w:r w:rsidRPr="00B27293">
        <w:rPr>
          <w:rFonts w:eastAsiaTheme="minorEastAsia" w:cs="Arial"/>
          <w:color w:val="auto"/>
          <w:sz w:val="18"/>
          <w:szCs w:val="18"/>
          <w:lang w:eastAsia="ja-JP"/>
        </w:rPr>
        <w:t xml:space="preserve"> (or &gt;300 cells/</w:t>
      </w:r>
      <w:proofErr w:type="spellStart"/>
      <w:r w:rsidRPr="00B27293">
        <w:rPr>
          <w:rFonts w:eastAsiaTheme="minorEastAsia" w:cs="Arial"/>
          <w:color w:val="auto"/>
          <w:sz w:val="18"/>
          <w:szCs w:val="18"/>
          <w:lang w:eastAsia="ja-JP"/>
        </w:rPr>
        <w:t>μL</w:t>
      </w:r>
      <w:proofErr w:type="spellEnd"/>
      <w:r w:rsidRPr="00B27293">
        <w:rPr>
          <w:rFonts w:eastAsiaTheme="minorEastAsia" w:cs="Arial"/>
          <w:color w:val="auto"/>
          <w:sz w:val="18"/>
          <w:szCs w:val="18"/>
          <w:lang w:eastAsia="ja-JP"/>
        </w:rPr>
        <w:t>), patients with 7 to 11 measurements were allowed to have only 1 eosinophil count ≤300 cells/</w:t>
      </w:r>
      <w:proofErr w:type="spellStart"/>
      <w:r w:rsidRPr="00B27293">
        <w:rPr>
          <w:rFonts w:eastAsiaTheme="minorEastAsia" w:cs="Arial"/>
          <w:color w:val="auto"/>
          <w:sz w:val="18"/>
          <w:szCs w:val="18"/>
          <w:lang w:eastAsia="ja-JP"/>
        </w:rPr>
        <w:t>μL</w:t>
      </w:r>
      <w:proofErr w:type="spellEnd"/>
      <w:r w:rsidRPr="00B27293">
        <w:rPr>
          <w:rFonts w:eastAsiaTheme="minorEastAsia" w:cs="Arial"/>
          <w:color w:val="auto"/>
          <w:sz w:val="18"/>
          <w:szCs w:val="18"/>
          <w:lang w:eastAsia="ja-JP"/>
        </w:rPr>
        <w:t xml:space="preserve"> (or &gt;300 cells/</w:t>
      </w:r>
      <w:proofErr w:type="spellStart"/>
      <w:r w:rsidRPr="00B27293">
        <w:rPr>
          <w:rFonts w:eastAsiaTheme="minorEastAsia" w:cs="Arial"/>
          <w:color w:val="auto"/>
          <w:sz w:val="18"/>
          <w:szCs w:val="18"/>
          <w:lang w:eastAsia="ja-JP"/>
        </w:rPr>
        <w:t>μL</w:t>
      </w:r>
      <w:proofErr w:type="spellEnd"/>
      <w:r w:rsidRPr="00B27293">
        <w:rPr>
          <w:rFonts w:eastAsiaTheme="minorEastAsia" w:cs="Arial"/>
          <w:color w:val="auto"/>
          <w:sz w:val="18"/>
          <w:szCs w:val="18"/>
          <w:lang w:eastAsia="ja-JP"/>
        </w:rPr>
        <w:t>), patients with 12 to 16 measurements were allowed to have 2 eosinophil counts ≤300 cells/</w:t>
      </w:r>
      <w:proofErr w:type="spellStart"/>
      <w:r w:rsidRPr="00B27293">
        <w:rPr>
          <w:rFonts w:eastAsiaTheme="minorEastAsia" w:cs="Arial"/>
          <w:color w:val="auto"/>
          <w:sz w:val="18"/>
          <w:szCs w:val="18"/>
          <w:lang w:eastAsia="ja-JP"/>
        </w:rPr>
        <w:t>μL</w:t>
      </w:r>
      <w:proofErr w:type="spellEnd"/>
      <w:r w:rsidRPr="00B27293">
        <w:rPr>
          <w:rFonts w:eastAsiaTheme="minorEastAsia" w:cs="Arial"/>
          <w:color w:val="auto"/>
          <w:sz w:val="18"/>
          <w:szCs w:val="18"/>
          <w:lang w:eastAsia="ja-JP"/>
        </w:rPr>
        <w:t xml:space="preserve"> (or &gt;300 cells/</w:t>
      </w:r>
      <w:proofErr w:type="spellStart"/>
      <w:r w:rsidRPr="00B27293">
        <w:rPr>
          <w:rFonts w:eastAsiaTheme="minorEastAsia" w:cs="Arial"/>
          <w:color w:val="auto"/>
          <w:sz w:val="18"/>
          <w:szCs w:val="18"/>
          <w:lang w:eastAsia="ja-JP"/>
        </w:rPr>
        <w:t>μL</w:t>
      </w:r>
      <w:proofErr w:type="spellEnd"/>
      <w:r w:rsidRPr="00B27293">
        <w:rPr>
          <w:rFonts w:eastAsiaTheme="minorEastAsia" w:cs="Arial"/>
          <w:color w:val="auto"/>
          <w:sz w:val="18"/>
          <w:szCs w:val="18"/>
          <w:lang w:eastAsia="ja-JP"/>
        </w:rPr>
        <w:t>), etc.</w:t>
      </w:r>
    </w:p>
    <w:p w14:paraId="7BC90D44" w14:textId="77777777" w:rsidR="00B27293" w:rsidRPr="00737A30" w:rsidRDefault="00B27293" w:rsidP="00B27293">
      <w:pPr>
        <w:widowControl/>
        <w:spacing w:before="0" w:beforeAutospacing="0" w:after="0" w:afterAutospacing="0" w:line="276" w:lineRule="auto"/>
        <w:rPr>
          <w:rFonts w:cs="Arial"/>
          <w:sz w:val="18"/>
          <w:szCs w:val="18"/>
          <w:lang w:eastAsia="ja-JP"/>
        </w:rPr>
      </w:pPr>
      <w:r w:rsidRPr="00737A30">
        <w:rPr>
          <w:rFonts w:cs="Arial"/>
          <w:sz w:val="18"/>
          <w:szCs w:val="18"/>
          <w:lang w:eastAsia="ja-JP"/>
        </w:rPr>
        <w:t>Sensitivity analysis 3: Classification was based on the mean eosinophil count from day −365 to 0, using the same thresholds as the main analysis.</w:t>
      </w:r>
    </w:p>
    <w:p w14:paraId="6B0EE2EF" w14:textId="77777777" w:rsidR="00B27293" w:rsidRDefault="00B27293" w:rsidP="00B27293">
      <w:pPr>
        <w:widowControl/>
        <w:spacing w:before="0" w:beforeAutospacing="0" w:after="0" w:afterAutospacing="0" w:line="276" w:lineRule="auto"/>
        <w:rPr>
          <w:rFonts w:cs="Arial"/>
          <w:sz w:val="18"/>
          <w:szCs w:val="18"/>
          <w:lang w:eastAsia="ja-JP"/>
        </w:rPr>
      </w:pPr>
      <w:r w:rsidRPr="00737A30">
        <w:rPr>
          <w:rFonts w:cs="Arial"/>
          <w:sz w:val="18"/>
          <w:szCs w:val="18"/>
          <w:lang w:eastAsia="ja-JP"/>
        </w:rPr>
        <w:t>Sensitivity analysis 4: Patients with a maximum eosinophil count &gt;150 cells/</w:t>
      </w:r>
      <w:proofErr w:type="spellStart"/>
      <w:r w:rsidRPr="00737A30">
        <w:rPr>
          <w:rFonts w:cs="Arial"/>
          <w:sz w:val="18"/>
          <w:szCs w:val="18"/>
          <w:lang w:eastAsia="ja-JP"/>
        </w:rPr>
        <w:t>μL</w:t>
      </w:r>
      <w:proofErr w:type="spellEnd"/>
      <w:r w:rsidRPr="00737A30">
        <w:rPr>
          <w:rFonts w:cs="Arial"/>
          <w:sz w:val="18"/>
          <w:szCs w:val="18"/>
          <w:lang w:eastAsia="ja-JP"/>
        </w:rPr>
        <w:t xml:space="preserve"> from day −365 to 0 were classified as type 2 inflammation-positive; others as negative.</w:t>
      </w:r>
    </w:p>
    <w:p w14:paraId="3524E722" w14:textId="77777777" w:rsidR="00B27293" w:rsidRPr="00737A30" w:rsidRDefault="00B27293" w:rsidP="00B27293">
      <w:pPr>
        <w:widowControl/>
        <w:spacing w:before="0" w:beforeAutospacing="0" w:after="0" w:afterAutospacing="0" w:line="276" w:lineRule="auto"/>
        <w:rPr>
          <w:rFonts w:cs="Arial"/>
          <w:sz w:val="18"/>
          <w:szCs w:val="18"/>
          <w:lang w:eastAsia="ja-JP"/>
        </w:rPr>
      </w:pPr>
      <w:r w:rsidRPr="00B27293">
        <w:rPr>
          <w:rFonts w:cs="Arial"/>
          <w:sz w:val="18"/>
          <w:szCs w:val="18"/>
          <w:lang w:eastAsia="ja-JP"/>
        </w:rPr>
        <w:t>Abbreviations:</w:t>
      </w:r>
      <w:r>
        <w:rPr>
          <w:rFonts w:cs="Arial"/>
          <w:sz w:val="18"/>
          <w:szCs w:val="18"/>
          <w:lang w:eastAsia="ja-JP"/>
        </w:rPr>
        <w:t xml:space="preserve"> </w:t>
      </w:r>
      <w:r w:rsidRPr="00737A30">
        <w:rPr>
          <w:rFonts w:cs="Arial"/>
          <w:sz w:val="18"/>
          <w:szCs w:val="18"/>
          <w:lang w:eastAsia="ja-JP"/>
        </w:rPr>
        <w:t>CI, confidence interval; MACE, major adverse cardiovascular event.</w:t>
      </w:r>
      <w:r w:rsidRPr="00737A30">
        <w:rPr>
          <w:rFonts w:cs="Arial"/>
          <w:sz w:val="18"/>
          <w:szCs w:val="18"/>
          <w:lang w:eastAsia="ja-JP"/>
        </w:rPr>
        <w:fldChar w:fldCharType="begin"/>
      </w:r>
      <w:r w:rsidRPr="00737A30">
        <w:rPr>
          <w:rFonts w:cs="Arial"/>
          <w:sz w:val="18"/>
          <w:szCs w:val="18"/>
          <w:lang w:eastAsia="ja-JP"/>
        </w:rPr>
        <w:instrText xml:space="preserve"> ADDIN </w:instrText>
      </w:r>
      <w:r w:rsidRPr="00737A30">
        <w:rPr>
          <w:rFonts w:cs="Arial"/>
          <w:sz w:val="18"/>
          <w:szCs w:val="18"/>
          <w:lang w:eastAsia="ja-JP"/>
        </w:rPr>
        <w:fldChar w:fldCharType="end"/>
      </w:r>
    </w:p>
    <w:p w14:paraId="6319D833" w14:textId="561705F3" w:rsidR="00D250E5" w:rsidRPr="00737A30" w:rsidRDefault="00B27293" w:rsidP="00B27293">
      <w:pPr>
        <w:pStyle w:val="Heading3"/>
        <w:rPr>
          <w:rFonts w:cs="Arial"/>
          <w:sz w:val="18"/>
          <w:szCs w:val="18"/>
          <w:lang w:eastAsia="ja-JP"/>
        </w:rPr>
      </w:pPr>
      <w:r>
        <w:rPr>
          <w:rFonts w:eastAsiaTheme="minorEastAsia" w:cs="Arial"/>
          <w:color w:val="auto"/>
          <w:sz w:val="18"/>
          <w:szCs w:val="18"/>
          <w:lang w:eastAsia="ja-JP"/>
        </w:rPr>
        <w:lastRenderedPageBreak/>
        <w:br/>
      </w:r>
      <w:r w:rsidR="00D250E5" w:rsidRPr="00B27293">
        <w:rPr>
          <w:rFonts w:eastAsiaTheme="minorEastAsia" w:cs="Arial"/>
          <w:noProof/>
          <w:color w:val="auto"/>
          <w:sz w:val="18"/>
          <w:szCs w:val="18"/>
          <w:lang w:eastAsia="ja-JP"/>
        </w:rPr>
        <w:drawing>
          <wp:inline distT="0" distB="0" distL="0" distR="0" wp14:anchorId="13802E4A" wp14:editId="73701C6F">
            <wp:extent cx="8863330" cy="2914650"/>
            <wp:effectExtent l="0" t="0" r="0" b="0"/>
            <wp:docPr id="1041335230" name="Picture 1" descr="A close-up of a receip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35230" name="Picture 1" descr="A close-up of a receipt&#10;&#10;AI-generated content may be incorrect."/>
                    <pic:cNvPicPr/>
                  </pic:nvPicPr>
                  <pic:blipFill>
                    <a:blip r:embed="rId14"/>
                    <a:stretch>
                      <a:fillRect/>
                    </a:stretch>
                  </pic:blipFill>
                  <pic:spPr>
                    <a:xfrm>
                      <a:off x="0" y="0"/>
                      <a:ext cx="8863330" cy="2914650"/>
                    </a:xfrm>
                    <a:prstGeom prst="rect">
                      <a:avLst/>
                    </a:prstGeom>
                  </pic:spPr>
                </pic:pic>
              </a:graphicData>
            </a:graphic>
          </wp:inline>
        </w:drawing>
      </w:r>
      <w:r w:rsidRPr="00737A30">
        <w:rPr>
          <w:rFonts w:cs="Arial"/>
          <w:sz w:val="18"/>
          <w:szCs w:val="18"/>
          <w:lang w:eastAsia="ja-JP"/>
        </w:rPr>
        <w:t xml:space="preserve"> </w:t>
      </w:r>
    </w:p>
    <w:sectPr w:rsidR="00D250E5" w:rsidRPr="00737A30" w:rsidSect="00D250E5">
      <w:endnotePr>
        <w:numFmt w:val="decimal"/>
      </w:endnotePr>
      <w:pgSz w:w="16838" w:h="11906" w:orient="landscape" w:code="9"/>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7768" w14:textId="77777777" w:rsidR="00A86821" w:rsidRDefault="00A86821" w:rsidP="009B3F85">
      <w:pPr>
        <w:spacing w:before="0" w:after="0" w:line="240" w:lineRule="auto"/>
      </w:pPr>
      <w:r>
        <w:separator/>
      </w:r>
    </w:p>
  </w:endnote>
  <w:endnote w:type="continuationSeparator" w:id="0">
    <w:p w14:paraId="7582AAE8" w14:textId="77777777" w:rsidR="00A86821" w:rsidRDefault="00A86821" w:rsidP="009B3F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5002EFF" w:usb1="C200ACF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4E82" w14:textId="5E5A20FD" w:rsidR="005C6D88" w:rsidRDefault="005C6D88">
    <w:pPr>
      <w:pStyle w:val="Footer"/>
    </w:pPr>
    <w:r>
      <w:rPr>
        <w:noProof/>
        <w14:ligatures w14:val="standardContextual"/>
      </w:rPr>
      <mc:AlternateContent>
        <mc:Choice Requires="wps">
          <w:drawing>
            <wp:anchor distT="0" distB="0" distL="0" distR="0" simplePos="0" relativeHeight="251659264" behindDoc="0" locked="0" layoutInCell="1" allowOverlap="1" wp14:anchorId="42B07BA7" wp14:editId="4B4999D3">
              <wp:simplePos x="635" y="635"/>
              <wp:positionH relativeFrom="page">
                <wp:align>left</wp:align>
              </wp:positionH>
              <wp:positionV relativeFrom="page">
                <wp:align>bottom</wp:align>
              </wp:positionV>
              <wp:extent cx="2085975" cy="636905"/>
              <wp:effectExtent l="0" t="0" r="9525" b="0"/>
              <wp:wrapNone/>
              <wp:docPr id="119398872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636905"/>
                      </a:xfrm>
                      <a:prstGeom prst="rect">
                        <a:avLst/>
                      </a:prstGeom>
                      <a:noFill/>
                      <a:ln>
                        <a:noFill/>
                      </a:ln>
                    </wps:spPr>
                    <wps:txbx>
                      <w:txbxContent>
                        <w:p w14:paraId="44E51F08" w14:textId="24E45D29" w:rsidR="005C6D88" w:rsidRPr="005C6D88" w:rsidRDefault="005C6D88" w:rsidP="005C6D88">
                          <w:pPr>
                            <w:spacing w:after="0"/>
                            <w:rPr>
                              <w:rFonts w:ascii="Rockwell" w:eastAsia="Rockwell" w:hAnsi="Rockwell" w:cs="Rockwell"/>
                              <w:noProof/>
                              <w:color w:val="0078D7"/>
                              <w:sz w:val="18"/>
                              <w:szCs w:val="18"/>
                            </w:rPr>
                          </w:pPr>
                          <w:r w:rsidRPr="005C6D8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B07BA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50.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" filled="f" stroked="f">
              <v:textbox style="mso-fit-shape-to-text:t" inset="20pt,0,0,15pt">
                <w:txbxContent>
                  <w:p w14:paraId="44E51F08" w14:textId="24E45D29" w:rsidR="005C6D88" w:rsidRPr="005C6D88" w:rsidRDefault="005C6D88" w:rsidP="005C6D88">
                    <w:pPr>
                      <w:spacing w:after="0"/>
                      <w:rPr>
                        <w:rFonts w:ascii="Rockwell" w:eastAsia="Rockwell" w:hAnsi="Rockwell" w:cs="Rockwell"/>
                        <w:noProof/>
                        <w:color w:val="0078D7"/>
                        <w:sz w:val="18"/>
                        <w:szCs w:val="18"/>
                      </w:rPr>
                    </w:pPr>
                    <w:r w:rsidRPr="005C6D8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C028" w14:textId="2C15009F" w:rsidR="005C6D88" w:rsidRDefault="005C6D88">
    <w:pPr>
      <w:pStyle w:val="Footer"/>
    </w:pPr>
    <w:r>
      <w:rPr>
        <w:noProof/>
        <w14:ligatures w14:val="standardContextual"/>
      </w:rPr>
      <mc:AlternateContent>
        <mc:Choice Requires="wps">
          <w:drawing>
            <wp:anchor distT="0" distB="0" distL="0" distR="0" simplePos="0" relativeHeight="251660288" behindDoc="0" locked="0" layoutInCell="1" allowOverlap="1" wp14:anchorId="3CC5A3DC" wp14:editId="2EDD7A34">
              <wp:simplePos x="914400" y="6878472"/>
              <wp:positionH relativeFrom="page">
                <wp:align>left</wp:align>
              </wp:positionH>
              <wp:positionV relativeFrom="page">
                <wp:align>bottom</wp:align>
              </wp:positionV>
              <wp:extent cx="2085975" cy="636905"/>
              <wp:effectExtent l="0" t="0" r="9525" b="0"/>
              <wp:wrapNone/>
              <wp:docPr id="75145944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636905"/>
                      </a:xfrm>
                      <a:prstGeom prst="rect">
                        <a:avLst/>
                      </a:prstGeom>
                      <a:noFill/>
                      <a:ln>
                        <a:noFill/>
                      </a:ln>
                    </wps:spPr>
                    <wps:txbx>
                      <w:txbxContent>
                        <w:p w14:paraId="16D73540" w14:textId="5922A174" w:rsidR="005C6D88" w:rsidRPr="005C6D88" w:rsidRDefault="005C6D88" w:rsidP="005C6D88">
                          <w:pPr>
                            <w:spacing w:after="0"/>
                            <w:rPr>
                              <w:rFonts w:ascii="Rockwell" w:eastAsia="Rockwell" w:hAnsi="Rockwell" w:cs="Rockwell"/>
                              <w:noProof/>
                              <w:color w:val="0078D7"/>
                              <w:sz w:val="18"/>
                              <w:szCs w:val="18"/>
                            </w:rPr>
                          </w:pPr>
                          <w:r w:rsidRPr="005C6D8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C5A3D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50.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" filled="f" stroked="f">
              <v:textbox style="mso-fit-shape-to-text:t" inset="20pt,0,0,15pt">
                <w:txbxContent>
                  <w:p w14:paraId="16D73540" w14:textId="5922A174" w:rsidR="005C6D88" w:rsidRPr="005C6D88" w:rsidRDefault="005C6D88" w:rsidP="005C6D88">
                    <w:pPr>
                      <w:spacing w:after="0"/>
                      <w:rPr>
                        <w:rFonts w:ascii="Rockwell" w:eastAsia="Rockwell" w:hAnsi="Rockwell" w:cs="Rockwell"/>
                        <w:noProof/>
                        <w:color w:val="0078D7"/>
                        <w:sz w:val="18"/>
                        <w:szCs w:val="18"/>
                      </w:rPr>
                    </w:pPr>
                    <w:r w:rsidRPr="005C6D8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A912" w14:textId="693422EA" w:rsidR="005C6D88" w:rsidRDefault="005C6D88">
    <w:pPr>
      <w:pStyle w:val="Footer"/>
    </w:pPr>
    <w:r>
      <w:rPr>
        <w:noProof/>
        <w14:ligatures w14:val="standardContextual"/>
      </w:rPr>
      <mc:AlternateContent>
        <mc:Choice Requires="wps">
          <w:drawing>
            <wp:anchor distT="0" distB="0" distL="0" distR="0" simplePos="0" relativeHeight="251658240" behindDoc="0" locked="0" layoutInCell="1" allowOverlap="1" wp14:anchorId="102C5629" wp14:editId="69F3AAA0">
              <wp:simplePos x="635" y="635"/>
              <wp:positionH relativeFrom="page">
                <wp:align>left</wp:align>
              </wp:positionH>
              <wp:positionV relativeFrom="page">
                <wp:align>bottom</wp:align>
              </wp:positionV>
              <wp:extent cx="2085975" cy="636905"/>
              <wp:effectExtent l="0" t="0" r="9525" b="0"/>
              <wp:wrapNone/>
              <wp:docPr id="73700386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636905"/>
                      </a:xfrm>
                      <a:prstGeom prst="rect">
                        <a:avLst/>
                      </a:prstGeom>
                      <a:noFill/>
                      <a:ln>
                        <a:noFill/>
                      </a:ln>
                    </wps:spPr>
                    <wps:txbx>
                      <w:txbxContent>
                        <w:p w14:paraId="218B7AAE" w14:textId="7EEE2918" w:rsidR="005C6D88" w:rsidRPr="005C6D88" w:rsidRDefault="005C6D88" w:rsidP="005C6D88">
                          <w:pPr>
                            <w:spacing w:after="0"/>
                            <w:rPr>
                              <w:rFonts w:ascii="Rockwell" w:eastAsia="Rockwell" w:hAnsi="Rockwell" w:cs="Rockwell"/>
                              <w:noProof/>
                              <w:color w:val="0078D7"/>
                              <w:sz w:val="18"/>
                              <w:szCs w:val="18"/>
                            </w:rPr>
                          </w:pPr>
                          <w:r w:rsidRPr="005C6D8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2C562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50.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" filled="f" stroked="f">
              <v:textbox style="mso-fit-shape-to-text:t" inset="20pt,0,0,15pt">
                <w:txbxContent>
                  <w:p w14:paraId="218B7AAE" w14:textId="7EEE2918" w:rsidR="005C6D88" w:rsidRPr="005C6D88" w:rsidRDefault="005C6D88" w:rsidP="005C6D88">
                    <w:pPr>
                      <w:spacing w:after="0"/>
                      <w:rPr>
                        <w:rFonts w:ascii="Rockwell" w:eastAsia="Rockwell" w:hAnsi="Rockwell" w:cs="Rockwell"/>
                        <w:noProof/>
                        <w:color w:val="0078D7"/>
                        <w:sz w:val="18"/>
                        <w:szCs w:val="18"/>
                      </w:rPr>
                    </w:pPr>
                    <w:r w:rsidRPr="005C6D8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4C4C" w14:textId="77777777" w:rsidR="00A86821" w:rsidRDefault="00A86821" w:rsidP="009B3F85">
      <w:pPr>
        <w:spacing w:before="0" w:after="0" w:line="240" w:lineRule="auto"/>
      </w:pPr>
      <w:r>
        <w:separator/>
      </w:r>
    </w:p>
  </w:footnote>
  <w:footnote w:type="continuationSeparator" w:id="0">
    <w:p w14:paraId="4B427D05" w14:textId="77777777" w:rsidR="00A86821" w:rsidRDefault="00A86821" w:rsidP="009B3F8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2CADDBC"/>
    <w:lvl w:ilvl="0">
      <w:numFmt w:val="bullet"/>
      <w:lvlText w:val="*"/>
      <w:lvlJc w:val="left"/>
    </w:lvl>
  </w:abstractNum>
  <w:abstractNum w:abstractNumId="1" w15:restartNumberingAfterBreak="0">
    <w:nsid w:val="02E54C6F"/>
    <w:multiLevelType w:val="hybridMultilevel"/>
    <w:tmpl w:val="14B4B2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303F9E"/>
    <w:multiLevelType w:val="hybridMultilevel"/>
    <w:tmpl w:val="14B4B2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334409"/>
    <w:multiLevelType w:val="hybridMultilevel"/>
    <w:tmpl w:val="4C107B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C6022"/>
    <w:multiLevelType w:val="hybridMultilevel"/>
    <w:tmpl w:val="D8385466"/>
    <w:lvl w:ilvl="0" w:tplc="527A8E68">
      <w:start w:val="3"/>
      <w:numFmt w:val="bullet"/>
      <w:lvlText w:val="-"/>
      <w:lvlJc w:val="left"/>
      <w:pPr>
        <w:ind w:left="720" w:hanging="360"/>
      </w:pPr>
      <w:rPr>
        <w:rFonts w:ascii="Arial" w:eastAsiaTheme="min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4685626"/>
    <w:multiLevelType w:val="hybridMultilevel"/>
    <w:tmpl w:val="B4D28476"/>
    <w:lvl w:ilvl="0" w:tplc="1BB44998">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4D0698D"/>
    <w:multiLevelType w:val="hybridMultilevel"/>
    <w:tmpl w:val="14B4B25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7EF5974"/>
    <w:multiLevelType w:val="hybridMultilevel"/>
    <w:tmpl w:val="3B72044C"/>
    <w:lvl w:ilvl="0" w:tplc="0D221B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97A7E83"/>
    <w:multiLevelType w:val="multilevel"/>
    <w:tmpl w:val="7DFA6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786A18"/>
    <w:multiLevelType w:val="hybridMultilevel"/>
    <w:tmpl w:val="E348D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112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73311887">
    <w:abstractNumId w:val="5"/>
  </w:num>
  <w:num w:numId="3" w16cid:durableId="1482043338">
    <w:abstractNumId w:val="9"/>
  </w:num>
  <w:num w:numId="4" w16cid:durableId="22368714">
    <w:abstractNumId w:val="7"/>
  </w:num>
  <w:num w:numId="5" w16cid:durableId="1091000823">
    <w:abstractNumId w:val="4"/>
  </w:num>
  <w:num w:numId="6" w16cid:durableId="787815315">
    <w:abstractNumId w:val="6"/>
  </w:num>
  <w:num w:numId="7" w16cid:durableId="1264925017">
    <w:abstractNumId w:val="8"/>
  </w:num>
  <w:num w:numId="8" w16cid:durableId="180827168">
    <w:abstractNumId w:val="1"/>
  </w:num>
  <w:num w:numId="9" w16cid:durableId="1136222551">
    <w:abstractNumId w:val="2"/>
  </w:num>
  <w:num w:numId="10" w16cid:durableId="334184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E5"/>
    <w:rsid w:val="0006653C"/>
    <w:rsid w:val="00170065"/>
    <w:rsid w:val="001D722E"/>
    <w:rsid w:val="00256D68"/>
    <w:rsid w:val="0028003A"/>
    <w:rsid w:val="00283EEC"/>
    <w:rsid w:val="002E51C3"/>
    <w:rsid w:val="00333832"/>
    <w:rsid w:val="003747DC"/>
    <w:rsid w:val="003F7B82"/>
    <w:rsid w:val="00422035"/>
    <w:rsid w:val="00437CA3"/>
    <w:rsid w:val="00442C99"/>
    <w:rsid w:val="00450878"/>
    <w:rsid w:val="00495D42"/>
    <w:rsid w:val="00497680"/>
    <w:rsid w:val="004A1721"/>
    <w:rsid w:val="00537F4D"/>
    <w:rsid w:val="005553D7"/>
    <w:rsid w:val="005C6D88"/>
    <w:rsid w:val="0062328C"/>
    <w:rsid w:val="00685413"/>
    <w:rsid w:val="00727002"/>
    <w:rsid w:val="0077259F"/>
    <w:rsid w:val="007A442E"/>
    <w:rsid w:val="007E737F"/>
    <w:rsid w:val="007F0251"/>
    <w:rsid w:val="007F1A48"/>
    <w:rsid w:val="00895784"/>
    <w:rsid w:val="00965602"/>
    <w:rsid w:val="00973990"/>
    <w:rsid w:val="00997A53"/>
    <w:rsid w:val="009B3F85"/>
    <w:rsid w:val="00A054F7"/>
    <w:rsid w:val="00A86821"/>
    <w:rsid w:val="00AF7D2F"/>
    <w:rsid w:val="00B27293"/>
    <w:rsid w:val="00B307FD"/>
    <w:rsid w:val="00B42E19"/>
    <w:rsid w:val="00B53DBB"/>
    <w:rsid w:val="00B765D9"/>
    <w:rsid w:val="00BF16D5"/>
    <w:rsid w:val="00C35227"/>
    <w:rsid w:val="00D0530F"/>
    <w:rsid w:val="00D250E5"/>
    <w:rsid w:val="00D403A1"/>
    <w:rsid w:val="00DA25C6"/>
    <w:rsid w:val="00DD1727"/>
    <w:rsid w:val="00E044F7"/>
    <w:rsid w:val="00E610A8"/>
    <w:rsid w:val="00E709C2"/>
    <w:rsid w:val="00E70A5E"/>
    <w:rsid w:val="00EE6DDD"/>
    <w:rsid w:val="00EE75E2"/>
    <w:rsid w:val="00EF7EAB"/>
    <w:rsid w:val="00F01839"/>
    <w:rsid w:val="00F03EC3"/>
    <w:rsid w:val="00F079B6"/>
    <w:rsid w:val="00F4737C"/>
    <w:rsid w:val="00F928E8"/>
    <w:rsid w:val="00FF507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41252"/>
  <w15:chartTrackingRefBased/>
  <w15:docId w15:val="{0FDC44C7-A3F4-401E-AB25-A9618D94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0E5"/>
    <w:pPr>
      <w:widowControl w:val="0"/>
      <w:spacing w:before="100" w:beforeAutospacing="1" w:after="100" w:afterAutospacing="1" w:line="480" w:lineRule="auto"/>
    </w:pPr>
    <w:rPr>
      <w:rFonts w:ascii="Arial" w:hAnsi="Arial" w:cs="Vrinda"/>
      <w:kern w:val="0"/>
      <w:sz w:val="20"/>
      <w:lang w:val="en-US" w:eastAsia="ko-KR"/>
      <w14:ligatures w14:val="none"/>
    </w:rPr>
  </w:style>
  <w:style w:type="paragraph" w:styleId="Heading1">
    <w:name w:val="heading 1"/>
    <w:basedOn w:val="Normal"/>
    <w:next w:val="Normal"/>
    <w:link w:val="Heading1Char"/>
    <w:qFormat/>
    <w:rsid w:val="00D25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25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25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25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0E5"/>
    <w:rPr>
      <w:rFonts w:asciiTheme="majorHAnsi" w:eastAsiaTheme="majorEastAsia" w:hAnsiTheme="majorHAnsi" w:cstheme="majorBidi"/>
      <w:noProof/>
      <w:color w:val="0F4761" w:themeColor="accent1" w:themeShade="BF"/>
      <w:sz w:val="40"/>
      <w:szCs w:val="40"/>
      <w:lang w:val="en-GB"/>
    </w:rPr>
  </w:style>
  <w:style w:type="character" w:customStyle="1" w:styleId="Heading2Char">
    <w:name w:val="Heading 2 Char"/>
    <w:basedOn w:val="DefaultParagraphFont"/>
    <w:link w:val="Heading2"/>
    <w:rsid w:val="00D250E5"/>
    <w:rPr>
      <w:rFonts w:asciiTheme="majorHAnsi" w:eastAsiaTheme="majorEastAsia" w:hAnsiTheme="majorHAnsi" w:cstheme="majorBidi"/>
      <w:noProof/>
      <w:color w:val="0F4761" w:themeColor="accent1" w:themeShade="BF"/>
      <w:sz w:val="32"/>
      <w:szCs w:val="32"/>
      <w:lang w:val="en-GB"/>
    </w:rPr>
  </w:style>
  <w:style w:type="character" w:customStyle="1" w:styleId="Heading3Char">
    <w:name w:val="Heading 3 Char"/>
    <w:basedOn w:val="DefaultParagraphFont"/>
    <w:link w:val="Heading3"/>
    <w:rsid w:val="00D250E5"/>
    <w:rPr>
      <w:rFonts w:eastAsiaTheme="majorEastAsia" w:cstheme="majorBidi"/>
      <w:noProof/>
      <w:color w:val="0F4761" w:themeColor="accent1" w:themeShade="BF"/>
      <w:sz w:val="28"/>
      <w:szCs w:val="28"/>
      <w:lang w:val="en-GB"/>
    </w:rPr>
  </w:style>
  <w:style w:type="character" w:customStyle="1" w:styleId="Heading4Char">
    <w:name w:val="Heading 4 Char"/>
    <w:basedOn w:val="DefaultParagraphFont"/>
    <w:link w:val="Heading4"/>
    <w:rsid w:val="00D250E5"/>
    <w:rPr>
      <w:rFonts w:eastAsiaTheme="majorEastAsia" w:cstheme="majorBidi"/>
      <w:i/>
      <w:iCs/>
      <w:noProof/>
      <w:color w:val="0F4761" w:themeColor="accent1" w:themeShade="BF"/>
      <w:lang w:val="en-GB"/>
    </w:rPr>
  </w:style>
  <w:style w:type="character" w:customStyle="1" w:styleId="Heading5Char">
    <w:name w:val="Heading 5 Char"/>
    <w:basedOn w:val="DefaultParagraphFont"/>
    <w:link w:val="Heading5"/>
    <w:uiPriority w:val="9"/>
    <w:semiHidden/>
    <w:rsid w:val="00D250E5"/>
    <w:rPr>
      <w:rFonts w:eastAsiaTheme="majorEastAsia" w:cstheme="majorBidi"/>
      <w:noProof/>
      <w:color w:val="0F4761" w:themeColor="accent1" w:themeShade="BF"/>
      <w:lang w:val="en-GB"/>
    </w:rPr>
  </w:style>
  <w:style w:type="character" w:customStyle="1" w:styleId="Heading6Char">
    <w:name w:val="Heading 6 Char"/>
    <w:basedOn w:val="DefaultParagraphFont"/>
    <w:link w:val="Heading6"/>
    <w:uiPriority w:val="9"/>
    <w:semiHidden/>
    <w:rsid w:val="00D250E5"/>
    <w:rPr>
      <w:rFonts w:eastAsiaTheme="majorEastAsia" w:cstheme="majorBidi"/>
      <w:i/>
      <w:iCs/>
      <w:noProof/>
      <w:color w:val="595959" w:themeColor="text1" w:themeTint="A6"/>
      <w:lang w:val="en-GB"/>
    </w:rPr>
  </w:style>
  <w:style w:type="character" w:customStyle="1" w:styleId="Heading7Char">
    <w:name w:val="Heading 7 Char"/>
    <w:basedOn w:val="DefaultParagraphFont"/>
    <w:link w:val="Heading7"/>
    <w:uiPriority w:val="9"/>
    <w:semiHidden/>
    <w:rsid w:val="00D250E5"/>
    <w:rPr>
      <w:rFonts w:eastAsiaTheme="majorEastAsia" w:cstheme="majorBidi"/>
      <w:noProof/>
      <w:color w:val="595959" w:themeColor="text1" w:themeTint="A6"/>
      <w:lang w:val="en-GB"/>
    </w:rPr>
  </w:style>
  <w:style w:type="character" w:customStyle="1" w:styleId="Heading8Char">
    <w:name w:val="Heading 8 Char"/>
    <w:basedOn w:val="DefaultParagraphFont"/>
    <w:link w:val="Heading8"/>
    <w:uiPriority w:val="9"/>
    <w:semiHidden/>
    <w:rsid w:val="00D250E5"/>
    <w:rPr>
      <w:rFonts w:eastAsiaTheme="majorEastAsia" w:cstheme="majorBidi"/>
      <w:i/>
      <w:iCs/>
      <w:noProof/>
      <w:color w:val="272727" w:themeColor="text1" w:themeTint="D8"/>
      <w:lang w:val="en-GB"/>
    </w:rPr>
  </w:style>
  <w:style w:type="character" w:customStyle="1" w:styleId="Heading9Char">
    <w:name w:val="Heading 9 Char"/>
    <w:basedOn w:val="DefaultParagraphFont"/>
    <w:link w:val="Heading9"/>
    <w:uiPriority w:val="9"/>
    <w:semiHidden/>
    <w:rsid w:val="00D250E5"/>
    <w:rPr>
      <w:rFonts w:eastAsiaTheme="majorEastAsia" w:cstheme="majorBidi"/>
      <w:noProof/>
      <w:color w:val="272727" w:themeColor="text1" w:themeTint="D8"/>
      <w:lang w:val="en-GB"/>
    </w:rPr>
  </w:style>
  <w:style w:type="paragraph" w:styleId="Title">
    <w:name w:val="Title"/>
    <w:basedOn w:val="Normal"/>
    <w:next w:val="Normal"/>
    <w:link w:val="TitleChar"/>
    <w:qFormat/>
    <w:rsid w:val="00D25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250E5"/>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11"/>
    <w:qFormat/>
    <w:rsid w:val="00D25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0E5"/>
    <w:rPr>
      <w:rFonts w:eastAsiaTheme="majorEastAsia" w:cstheme="majorBidi"/>
      <w:noProof/>
      <w:color w:val="595959" w:themeColor="text1" w:themeTint="A6"/>
      <w:spacing w:val="15"/>
      <w:sz w:val="28"/>
      <w:szCs w:val="28"/>
      <w:lang w:val="en-GB"/>
    </w:rPr>
  </w:style>
  <w:style w:type="paragraph" w:styleId="Quote">
    <w:name w:val="Quote"/>
    <w:basedOn w:val="Normal"/>
    <w:next w:val="Normal"/>
    <w:link w:val="QuoteChar"/>
    <w:uiPriority w:val="29"/>
    <w:qFormat/>
    <w:rsid w:val="00D250E5"/>
    <w:pPr>
      <w:spacing w:before="160"/>
      <w:jc w:val="center"/>
    </w:pPr>
    <w:rPr>
      <w:i/>
      <w:iCs/>
      <w:color w:val="404040" w:themeColor="text1" w:themeTint="BF"/>
    </w:rPr>
  </w:style>
  <w:style w:type="character" w:customStyle="1" w:styleId="QuoteChar">
    <w:name w:val="Quote Char"/>
    <w:basedOn w:val="DefaultParagraphFont"/>
    <w:link w:val="Quote"/>
    <w:uiPriority w:val="29"/>
    <w:rsid w:val="00D250E5"/>
    <w:rPr>
      <w:i/>
      <w:iCs/>
      <w:noProof/>
      <w:color w:val="404040" w:themeColor="text1" w:themeTint="BF"/>
      <w:lang w:val="en-GB"/>
    </w:rPr>
  </w:style>
  <w:style w:type="paragraph" w:styleId="ListParagraph">
    <w:name w:val="List Paragraph"/>
    <w:basedOn w:val="Normal"/>
    <w:link w:val="ListParagraphChar"/>
    <w:uiPriority w:val="34"/>
    <w:qFormat/>
    <w:rsid w:val="00D250E5"/>
    <w:pPr>
      <w:ind w:left="720"/>
      <w:contextualSpacing/>
    </w:pPr>
  </w:style>
  <w:style w:type="character" w:styleId="IntenseEmphasis">
    <w:name w:val="Intense Emphasis"/>
    <w:basedOn w:val="DefaultParagraphFont"/>
    <w:uiPriority w:val="21"/>
    <w:qFormat/>
    <w:rsid w:val="00D250E5"/>
    <w:rPr>
      <w:i/>
      <w:iCs/>
      <w:color w:val="0F4761" w:themeColor="accent1" w:themeShade="BF"/>
    </w:rPr>
  </w:style>
  <w:style w:type="paragraph" w:styleId="IntenseQuote">
    <w:name w:val="Intense Quote"/>
    <w:basedOn w:val="Normal"/>
    <w:next w:val="Normal"/>
    <w:link w:val="IntenseQuoteChar"/>
    <w:uiPriority w:val="30"/>
    <w:qFormat/>
    <w:rsid w:val="00D25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0E5"/>
    <w:rPr>
      <w:i/>
      <w:iCs/>
      <w:noProof/>
      <w:color w:val="0F4761" w:themeColor="accent1" w:themeShade="BF"/>
      <w:lang w:val="en-GB"/>
    </w:rPr>
  </w:style>
  <w:style w:type="character" w:styleId="IntenseReference">
    <w:name w:val="Intense Reference"/>
    <w:basedOn w:val="DefaultParagraphFont"/>
    <w:uiPriority w:val="32"/>
    <w:qFormat/>
    <w:rsid w:val="00D250E5"/>
    <w:rPr>
      <w:b/>
      <w:bCs/>
      <w:smallCaps/>
      <w:color w:val="0F4761" w:themeColor="accent1" w:themeShade="BF"/>
      <w:spacing w:val="5"/>
    </w:rPr>
  </w:style>
  <w:style w:type="paragraph" w:styleId="NormalIndent">
    <w:name w:val="Normal Indent"/>
    <w:basedOn w:val="Normal"/>
    <w:rsid w:val="00D250E5"/>
    <w:pPr>
      <w:ind w:left="720"/>
    </w:pPr>
  </w:style>
  <w:style w:type="paragraph" w:customStyle="1" w:styleId="Tabletext">
    <w:name w:val="Table text"/>
    <w:basedOn w:val="Normal"/>
    <w:rsid w:val="00D250E5"/>
    <w:rPr>
      <w:szCs w:val="22"/>
    </w:rPr>
  </w:style>
  <w:style w:type="paragraph" w:customStyle="1" w:styleId="Tablelegend">
    <w:name w:val="Table legend"/>
    <w:basedOn w:val="Normal"/>
    <w:next w:val="Tabletext"/>
    <w:rsid w:val="00D250E5"/>
    <w:pPr>
      <w:spacing w:before="240" w:after="120"/>
    </w:pPr>
  </w:style>
  <w:style w:type="paragraph" w:customStyle="1" w:styleId="Figurelegend">
    <w:name w:val="Figure legend"/>
    <w:basedOn w:val="Normal"/>
    <w:next w:val="Normal"/>
    <w:rsid w:val="00D250E5"/>
    <w:pPr>
      <w:spacing w:before="240" w:after="120"/>
    </w:pPr>
  </w:style>
  <w:style w:type="paragraph" w:customStyle="1" w:styleId="Callout">
    <w:name w:val="Callout"/>
    <w:basedOn w:val="Normal"/>
    <w:next w:val="Normal"/>
    <w:rsid w:val="00D250E5"/>
    <w:pPr>
      <w:spacing w:before="240" w:after="120"/>
    </w:pPr>
    <w:rPr>
      <w:b/>
      <w:bCs/>
      <w:i/>
      <w:iCs/>
      <w:szCs w:val="22"/>
    </w:rPr>
  </w:style>
  <w:style w:type="character" w:styleId="PageNumber">
    <w:name w:val="page number"/>
    <w:basedOn w:val="DefaultParagraphFont"/>
    <w:rsid w:val="00D250E5"/>
  </w:style>
  <w:style w:type="paragraph" w:styleId="Header">
    <w:name w:val="header"/>
    <w:basedOn w:val="Normal"/>
    <w:link w:val="HeaderChar"/>
    <w:rsid w:val="00D250E5"/>
    <w:pPr>
      <w:tabs>
        <w:tab w:val="center" w:pos="4320"/>
        <w:tab w:val="right" w:pos="8640"/>
      </w:tabs>
      <w:spacing w:after="0" w:line="240" w:lineRule="auto"/>
    </w:pPr>
    <w:rPr>
      <w:szCs w:val="20"/>
    </w:rPr>
  </w:style>
  <w:style w:type="character" w:customStyle="1" w:styleId="HeaderChar">
    <w:name w:val="Header Char"/>
    <w:basedOn w:val="DefaultParagraphFont"/>
    <w:link w:val="Header"/>
    <w:rsid w:val="00D250E5"/>
    <w:rPr>
      <w:rFonts w:ascii="Arial" w:hAnsi="Arial" w:cs="Vrinda"/>
      <w:kern w:val="0"/>
      <w:sz w:val="20"/>
      <w:szCs w:val="20"/>
      <w:lang w:val="en-US" w:eastAsia="ko-KR"/>
      <w14:ligatures w14:val="none"/>
    </w:rPr>
  </w:style>
  <w:style w:type="paragraph" w:styleId="Footer">
    <w:name w:val="footer"/>
    <w:basedOn w:val="Normal"/>
    <w:link w:val="FooterChar"/>
    <w:uiPriority w:val="99"/>
    <w:rsid w:val="00D250E5"/>
    <w:pPr>
      <w:tabs>
        <w:tab w:val="center" w:pos="4320"/>
        <w:tab w:val="right" w:pos="8640"/>
      </w:tabs>
      <w:spacing w:after="0" w:line="240" w:lineRule="auto"/>
    </w:pPr>
    <w:rPr>
      <w:szCs w:val="20"/>
    </w:rPr>
  </w:style>
  <w:style w:type="character" w:customStyle="1" w:styleId="FooterChar">
    <w:name w:val="Footer Char"/>
    <w:basedOn w:val="DefaultParagraphFont"/>
    <w:link w:val="Footer"/>
    <w:uiPriority w:val="99"/>
    <w:rsid w:val="00D250E5"/>
    <w:rPr>
      <w:rFonts w:ascii="Arial" w:hAnsi="Arial" w:cs="Vrinda"/>
      <w:kern w:val="0"/>
      <w:sz w:val="20"/>
      <w:szCs w:val="20"/>
      <w:lang w:val="en-US" w:eastAsia="ko-KR"/>
      <w14:ligatures w14:val="none"/>
    </w:rPr>
  </w:style>
  <w:style w:type="character" w:styleId="LineNumber">
    <w:name w:val="line number"/>
    <w:basedOn w:val="DefaultParagraphFont"/>
    <w:rsid w:val="00D250E5"/>
  </w:style>
  <w:style w:type="paragraph" w:customStyle="1" w:styleId="Reference">
    <w:name w:val="Reference"/>
    <w:basedOn w:val="Normal"/>
    <w:rsid w:val="00D250E5"/>
    <w:pPr>
      <w:keepLines/>
      <w:spacing w:after="360"/>
    </w:pPr>
  </w:style>
  <w:style w:type="paragraph" w:styleId="BodyTextIndent">
    <w:name w:val="Body Text Indent"/>
    <w:basedOn w:val="Normal"/>
    <w:link w:val="BodyTextIndentChar"/>
    <w:rsid w:val="00D250E5"/>
    <w:pPr>
      <w:spacing w:after="120"/>
      <w:ind w:left="284"/>
    </w:pPr>
  </w:style>
  <w:style w:type="character" w:customStyle="1" w:styleId="BodyTextIndentChar">
    <w:name w:val="Body Text Indent Char"/>
    <w:basedOn w:val="DefaultParagraphFont"/>
    <w:link w:val="BodyTextIndent"/>
    <w:rsid w:val="00D250E5"/>
    <w:rPr>
      <w:rFonts w:ascii="Arial" w:hAnsi="Arial" w:cs="Vrinda"/>
      <w:kern w:val="0"/>
      <w:sz w:val="20"/>
      <w:lang w:val="en-US" w:eastAsia="ko-KR"/>
      <w14:ligatures w14:val="none"/>
    </w:rPr>
  </w:style>
  <w:style w:type="paragraph" w:styleId="BodyText">
    <w:name w:val="Body Text"/>
    <w:basedOn w:val="Normal"/>
    <w:link w:val="BodyTextChar"/>
    <w:rsid w:val="00D250E5"/>
    <w:pPr>
      <w:spacing w:after="120"/>
    </w:pPr>
  </w:style>
  <w:style w:type="character" w:customStyle="1" w:styleId="BodyTextChar">
    <w:name w:val="Body Text Char"/>
    <w:basedOn w:val="DefaultParagraphFont"/>
    <w:link w:val="BodyText"/>
    <w:rsid w:val="00D250E5"/>
    <w:rPr>
      <w:rFonts w:ascii="Arial" w:hAnsi="Arial" w:cs="Vrinda"/>
      <w:kern w:val="0"/>
      <w:sz w:val="20"/>
      <w:lang w:val="en-US" w:eastAsia="ko-KR"/>
      <w14:ligatures w14:val="none"/>
    </w:rPr>
  </w:style>
  <w:style w:type="paragraph" w:styleId="BodyTextFirstIndent">
    <w:name w:val="Body Text First Indent"/>
    <w:basedOn w:val="BodyText"/>
    <w:link w:val="BodyTextFirstIndentChar"/>
    <w:rsid w:val="00D250E5"/>
    <w:pPr>
      <w:ind w:firstLine="210"/>
    </w:pPr>
  </w:style>
  <w:style w:type="character" w:customStyle="1" w:styleId="BodyTextFirstIndentChar">
    <w:name w:val="Body Text First Indent Char"/>
    <w:basedOn w:val="BodyTextChar"/>
    <w:link w:val="BodyTextFirstIndent"/>
    <w:rsid w:val="00D250E5"/>
    <w:rPr>
      <w:rFonts w:ascii="Arial" w:hAnsi="Arial" w:cs="Vrinda"/>
      <w:kern w:val="0"/>
      <w:sz w:val="20"/>
      <w:lang w:val="en-US" w:eastAsia="ko-KR"/>
      <w14:ligatures w14:val="none"/>
    </w:rPr>
  </w:style>
  <w:style w:type="table" w:styleId="TableGrid">
    <w:name w:val="Table Grid"/>
    <w:basedOn w:val="TableNormal"/>
    <w:uiPriority w:val="59"/>
    <w:rsid w:val="00D250E5"/>
    <w:pPr>
      <w:widowControl w:val="0"/>
      <w:spacing w:after="240" w:line="240" w:lineRule="auto"/>
    </w:pPr>
    <w:rPr>
      <w:rFonts w:ascii="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250E5"/>
    <w:pPr>
      <w:spacing w:after="0"/>
    </w:pPr>
    <w:rPr>
      <w:rFonts w:ascii="Tahoma" w:hAnsi="Tahoma" w:cs="Tahoma"/>
      <w:sz w:val="16"/>
      <w:szCs w:val="20"/>
    </w:rPr>
  </w:style>
  <w:style w:type="character" w:customStyle="1" w:styleId="BalloonTextChar">
    <w:name w:val="Balloon Text Char"/>
    <w:basedOn w:val="DefaultParagraphFont"/>
    <w:link w:val="BalloonText"/>
    <w:rsid w:val="00D250E5"/>
    <w:rPr>
      <w:rFonts w:ascii="Tahoma" w:hAnsi="Tahoma" w:cs="Tahoma"/>
      <w:kern w:val="0"/>
      <w:sz w:val="16"/>
      <w:szCs w:val="20"/>
      <w:lang w:val="en-US" w:eastAsia="ko-KR"/>
      <w14:ligatures w14:val="none"/>
    </w:rPr>
  </w:style>
  <w:style w:type="character" w:styleId="CommentReference">
    <w:name w:val="annotation reference"/>
    <w:basedOn w:val="DefaultParagraphFont"/>
    <w:rsid w:val="00D250E5"/>
    <w:rPr>
      <w:sz w:val="16"/>
      <w:szCs w:val="16"/>
    </w:rPr>
  </w:style>
  <w:style w:type="paragraph" w:styleId="CommentText">
    <w:name w:val="annotation text"/>
    <w:basedOn w:val="Normal"/>
    <w:link w:val="CommentTextChar"/>
    <w:rsid w:val="00D250E5"/>
    <w:pPr>
      <w:spacing w:line="240" w:lineRule="auto"/>
    </w:pPr>
    <w:rPr>
      <w:szCs w:val="20"/>
    </w:rPr>
  </w:style>
  <w:style w:type="character" w:customStyle="1" w:styleId="CommentTextChar">
    <w:name w:val="Comment Text Char"/>
    <w:basedOn w:val="DefaultParagraphFont"/>
    <w:link w:val="CommentText"/>
    <w:rsid w:val="00D250E5"/>
    <w:rPr>
      <w:rFonts w:ascii="Arial" w:hAnsi="Arial" w:cs="Vrinda"/>
      <w:kern w:val="0"/>
      <w:sz w:val="20"/>
      <w:szCs w:val="20"/>
      <w:lang w:val="en-US" w:eastAsia="ko-KR"/>
      <w14:ligatures w14:val="none"/>
    </w:rPr>
  </w:style>
  <w:style w:type="paragraph" w:styleId="CommentSubject">
    <w:name w:val="annotation subject"/>
    <w:basedOn w:val="CommentText"/>
    <w:next w:val="CommentText"/>
    <w:link w:val="CommentSubjectChar"/>
    <w:rsid w:val="00D250E5"/>
    <w:rPr>
      <w:b/>
      <w:bCs/>
    </w:rPr>
  </w:style>
  <w:style w:type="character" w:customStyle="1" w:styleId="CommentSubjectChar">
    <w:name w:val="Comment Subject Char"/>
    <w:basedOn w:val="CommentTextChar"/>
    <w:link w:val="CommentSubject"/>
    <w:rsid w:val="00D250E5"/>
    <w:rPr>
      <w:rFonts w:ascii="Arial" w:hAnsi="Arial" w:cs="Vrinda"/>
      <w:b/>
      <w:bCs/>
      <w:kern w:val="0"/>
      <w:sz w:val="20"/>
      <w:szCs w:val="20"/>
      <w:lang w:val="en-US" w:eastAsia="ko-KR"/>
      <w14:ligatures w14:val="none"/>
    </w:rPr>
  </w:style>
  <w:style w:type="paragraph" w:styleId="NormalWeb">
    <w:name w:val="Normal (Web)"/>
    <w:basedOn w:val="Normal"/>
    <w:uiPriority w:val="99"/>
    <w:unhideWhenUsed/>
    <w:rsid w:val="00D250E5"/>
    <w:pPr>
      <w:widowControl/>
      <w:spacing w:line="240" w:lineRule="auto"/>
    </w:pPr>
    <w:rPr>
      <w:rFonts w:ascii="Times New Roman" w:hAnsi="Times New Roman" w:cs="Times New Roman"/>
      <w:sz w:val="24"/>
      <w:lang w:val="en-NZ" w:eastAsia="en-NZ"/>
    </w:rPr>
  </w:style>
  <w:style w:type="character" w:styleId="Hyperlink">
    <w:name w:val="Hyperlink"/>
    <w:basedOn w:val="DefaultParagraphFont"/>
    <w:uiPriority w:val="99"/>
    <w:unhideWhenUsed/>
    <w:rsid w:val="00D250E5"/>
    <w:rPr>
      <w:color w:val="0563C1"/>
      <w:u w:val="single"/>
    </w:rPr>
  </w:style>
  <w:style w:type="character" w:styleId="FollowedHyperlink">
    <w:name w:val="FollowedHyperlink"/>
    <w:basedOn w:val="DefaultParagraphFont"/>
    <w:uiPriority w:val="99"/>
    <w:unhideWhenUsed/>
    <w:rsid w:val="00D250E5"/>
    <w:rPr>
      <w:color w:val="954F72"/>
      <w:u w:val="single"/>
    </w:rPr>
  </w:style>
  <w:style w:type="paragraph" w:customStyle="1" w:styleId="msonormal0">
    <w:name w:val="msonormal"/>
    <w:basedOn w:val="Normal"/>
    <w:rsid w:val="00D250E5"/>
    <w:pPr>
      <w:widowControl/>
      <w:spacing w:line="240" w:lineRule="auto"/>
    </w:pPr>
    <w:rPr>
      <w:rFonts w:ascii="Times New Roman" w:hAnsi="Times New Roman" w:cs="Times New Roman"/>
      <w:sz w:val="24"/>
      <w:lang w:eastAsia="en-US"/>
    </w:rPr>
  </w:style>
  <w:style w:type="paragraph" w:customStyle="1" w:styleId="font5">
    <w:name w:val="font5"/>
    <w:basedOn w:val="Normal"/>
    <w:rsid w:val="00D250E5"/>
    <w:pPr>
      <w:widowControl/>
      <w:spacing w:line="240" w:lineRule="auto"/>
    </w:pPr>
    <w:rPr>
      <w:rFonts w:ascii="Times New Roman" w:hAnsi="Times New Roman" w:cs="Times New Roman"/>
      <w:color w:val="000000"/>
      <w:szCs w:val="22"/>
      <w:lang w:eastAsia="en-US"/>
    </w:rPr>
  </w:style>
  <w:style w:type="paragraph" w:customStyle="1" w:styleId="font6">
    <w:name w:val="font6"/>
    <w:basedOn w:val="Normal"/>
    <w:rsid w:val="00D250E5"/>
    <w:pPr>
      <w:widowControl/>
      <w:spacing w:line="240" w:lineRule="auto"/>
    </w:pPr>
    <w:rPr>
      <w:rFonts w:ascii="Times New Roman" w:hAnsi="Times New Roman" w:cs="Times New Roman"/>
      <w:color w:val="000000"/>
      <w:szCs w:val="22"/>
      <w:lang w:eastAsia="en-US"/>
    </w:rPr>
  </w:style>
  <w:style w:type="paragraph" w:customStyle="1" w:styleId="font7">
    <w:name w:val="font7"/>
    <w:basedOn w:val="Normal"/>
    <w:rsid w:val="00D250E5"/>
    <w:pPr>
      <w:widowControl/>
      <w:spacing w:line="240" w:lineRule="auto"/>
    </w:pPr>
    <w:rPr>
      <w:rFonts w:ascii="Yu Gothic" w:eastAsia="Yu Gothic" w:hAnsi="Yu Gothic" w:cs="Times New Roman"/>
      <w:color w:val="000000"/>
      <w:szCs w:val="22"/>
      <w:lang w:eastAsia="en-US"/>
    </w:rPr>
  </w:style>
  <w:style w:type="paragraph" w:customStyle="1" w:styleId="xl69">
    <w:name w:val="xl69"/>
    <w:basedOn w:val="Normal"/>
    <w:rsid w:val="00D250E5"/>
    <w:pPr>
      <w:widowControl/>
      <w:pBdr>
        <w:bottom w:val="single" w:sz="4" w:space="0" w:color="auto"/>
      </w:pBdr>
      <w:spacing w:line="240" w:lineRule="auto"/>
    </w:pPr>
    <w:rPr>
      <w:rFonts w:ascii="Times New Roman" w:hAnsi="Times New Roman" w:cs="Times New Roman"/>
      <w:sz w:val="24"/>
      <w:lang w:eastAsia="en-US"/>
    </w:rPr>
  </w:style>
  <w:style w:type="paragraph" w:customStyle="1" w:styleId="xl70">
    <w:name w:val="xl70"/>
    <w:basedOn w:val="Normal"/>
    <w:rsid w:val="00D250E5"/>
    <w:pPr>
      <w:widowControl/>
      <w:spacing w:line="240" w:lineRule="auto"/>
    </w:pPr>
    <w:rPr>
      <w:rFonts w:ascii="Times New Roman" w:hAnsi="Times New Roman" w:cs="Times New Roman"/>
      <w:b/>
      <w:bCs/>
      <w:sz w:val="24"/>
      <w:lang w:eastAsia="en-US"/>
    </w:rPr>
  </w:style>
  <w:style w:type="paragraph" w:customStyle="1" w:styleId="xl71">
    <w:name w:val="xl71"/>
    <w:basedOn w:val="Normal"/>
    <w:rsid w:val="00D250E5"/>
    <w:pPr>
      <w:widowControl/>
      <w:spacing w:line="240" w:lineRule="auto"/>
    </w:pPr>
    <w:rPr>
      <w:rFonts w:ascii="Times New Roman" w:hAnsi="Times New Roman" w:cs="Times New Roman"/>
      <w:sz w:val="24"/>
      <w:lang w:eastAsia="en-US"/>
    </w:rPr>
  </w:style>
  <w:style w:type="paragraph" w:customStyle="1" w:styleId="xl72">
    <w:name w:val="xl72"/>
    <w:basedOn w:val="Normal"/>
    <w:rsid w:val="00D250E5"/>
    <w:pPr>
      <w:widowControl/>
      <w:spacing w:line="240" w:lineRule="auto"/>
    </w:pPr>
    <w:rPr>
      <w:rFonts w:ascii="Times New Roman" w:hAnsi="Times New Roman" w:cs="Times New Roman"/>
      <w:sz w:val="24"/>
      <w:lang w:eastAsia="en-US"/>
    </w:rPr>
  </w:style>
  <w:style w:type="paragraph" w:customStyle="1" w:styleId="xl73">
    <w:name w:val="xl73"/>
    <w:basedOn w:val="Normal"/>
    <w:rsid w:val="00D250E5"/>
    <w:pPr>
      <w:widowControl/>
      <w:pBdr>
        <w:bottom w:val="single" w:sz="4" w:space="0" w:color="auto"/>
      </w:pBdr>
      <w:spacing w:line="240" w:lineRule="auto"/>
    </w:pPr>
    <w:rPr>
      <w:rFonts w:ascii="Times New Roman" w:hAnsi="Times New Roman" w:cs="Times New Roman"/>
      <w:b/>
      <w:bCs/>
      <w:sz w:val="24"/>
      <w:lang w:eastAsia="en-US"/>
    </w:rPr>
  </w:style>
  <w:style w:type="paragraph" w:customStyle="1" w:styleId="xl74">
    <w:name w:val="xl74"/>
    <w:basedOn w:val="Normal"/>
    <w:rsid w:val="00D250E5"/>
    <w:pPr>
      <w:widowControl/>
      <w:spacing w:line="240" w:lineRule="auto"/>
      <w:jc w:val="center"/>
    </w:pPr>
    <w:rPr>
      <w:rFonts w:ascii="Times New Roman" w:hAnsi="Times New Roman" w:cs="Times New Roman"/>
      <w:sz w:val="24"/>
      <w:lang w:eastAsia="en-US"/>
    </w:rPr>
  </w:style>
  <w:style w:type="paragraph" w:customStyle="1" w:styleId="xl75">
    <w:name w:val="xl75"/>
    <w:basedOn w:val="Normal"/>
    <w:rsid w:val="00D250E5"/>
    <w:pPr>
      <w:widowControl/>
      <w:pBdr>
        <w:bottom w:val="single" w:sz="4" w:space="0" w:color="auto"/>
      </w:pBdr>
      <w:spacing w:line="240" w:lineRule="auto"/>
      <w:jc w:val="center"/>
    </w:pPr>
    <w:rPr>
      <w:rFonts w:ascii="Times New Roman" w:hAnsi="Times New Roman" w:cs="Times New Roman"/>
      <w:sz w:val="24"/>
      <w:lang w:eastAsia="en-US"/>
    </w:rPr>
  </w:style>
  <w:style w:type="paragraph" w:customStyle="1" w:styleId="xl76">
    <w:name w:val="xl76"/>
    <w:basedOn w:val="Normal"/>
    <w:rsid w:val="00D250E5"/>
    <w:pPr>
      <w:widowControl/>
      <w:spacing w:line="240" w:lineRule="auto"/>
      <w:jc w:val="center"/>
    </w:pPr>
    <w:rPr>
      <w:rFonts w:ascii="Times New Roman" w:hAnsi="Times New Roman" w:cs="Times New Roman"/>
      <w:sz w:val="24"/>
      <w:lang w:eastAsia="en-US"/>
    </w:rPr>
  </w:style>
  <w:style w:type="paragraph" w:customStyle="1" w:styleId="xl77">
    <w:name w:val="xl77"/>
    <w:basedOn w:val="Normal"/>
    <w:rsid w:val="00D250E5"/>
    <w:pPr>
      <w:widowControl/>
      <w:spacing w:line="240" w:lineRule="auto"/>
      <w:jc w:val="center"/>
    </w:pPr>
    <w:rPr>
      <w:rFonts w:ascii="Times New Roman" w:hAnsi="Times New Roman" w:cs="Times New Roman"/>
      <w:b/>
      <w:bCs/>
      <w:sz w:val="24"/>
      <w:lang w:eastAsia="en-US"/>
    </w:rPr>
  </w:style>
  <w:style w:type="paragraph" w:customStyle="1" w:styleId="xl78">
    <w:name w:val="xl78"/>
    <w:basedOn w:val="Normal"/>
    <w:rsid w:val="00D250E5"/>
    <w:pPr>
      <w:widowControl/>
      <w:pBdr>
        <w:top w:val="single" w:sz="4" w:space="0" w:color="auto"/>
      </w:pBdr>
      <w:spacing w:line="240" w:lineRule="auto"/>
    </w:pPr>
    <w:rPr>
      <w:rFonts w:ascii="Times New Roman" w:hAnsi="Times New Roman" w:cs="Times New Roman"/>
      <w:b/>
      <w:bCs/>
      <w:sz w:val="24"/>
      <w:lang w:eastAsia="en-US"/>
    </w:rPr>
  </w:style>
  <w:style w:type="paragraph" w:customStyle="1" w:styleId="xl79">
    <w:name w:val="xl79"/>
    <w:basedOn w:val="Normal"/>
    <w:rsid w:val="00D250E5"/>
    <w:pPr>
      <w:widowControl/>
      <w:pBdr>
        <w:top w:val="single" w:sz="4" w:space="0" w:color="auto"/>
      </w:pBdr>
      <w:spacing w:line="240" w:lineRule="auto"/>
      <w:jc w:val="center"/>
    </w:pPr>
    <w:rPr>
      <w:rFonts w:ascii="Times New Roman" w:hAnsi="Times New Roman" w:cs="Times New Roman"/>
      <w:sz w:val="24"/>
      <w:lang w:eastAsia="en-US"/>
    </w:rPr>
  </w:style>
  <w:style w:type="paragraph" w:customStyle="1" w:styleId="xl80">
    <w:name w:val="xl80"/>
    <w:basedOn w:val="Normal"/>
    <w:rsid w:val="00D250E5"/>
    <w:pPr>
      <w:widowControl/>
      <w:pBdr>
        <w:bottom w:val="single" w:sz="4" w:space="0" w:color="auto"/>
      </w:pBdr>
      <w:spacing w:line="240" w:lineRule="auto"/>
      <w:jc w:val="center"/>
    </w:pPr>
    <w:rPr>
      <w:rFonts w:ascii="Times New Roman" w:hAnsi="Times New Roman" w:cs="Times New Roman"/>
      <w:b/>
      <w:bCs/>
      <w:sz w:val="24"/>
      <w:lang w:eastAsia="en-US"/>
    </w:rPr>
  </w:style>
  <w:style w:type="paragraph" w:customStyle="1" w:styleId="xl81">
    <w:name w:val="xl81"/>
    <w:basedOn w:val="Normal"/>
    <w:rsid w:val="00D250E5"/>
    <w:pPr>
      <w:widowControl/>
      <w:pBdr>
        <w:bottom w:val="single" w:sz="4" w:space="0" w:color="auto"/>
      </w:pBdr>
      <w:spacing w:line="240" w:lineRule="auto"/>
      <w:jc w:val="center"/>
    </w:pPr>
    <w:rPr>
      <w:rFonts w:ascii="Times New Roman" w:hAnsi="Times New Roman" w:cs="Times New Roman"/>
      <w:b/>
      <w:bCs/>
      <w:sz w:val="24"/>
      <w:lang w:eastAsia="en-US"/>
    </w:rPr>
  </w:style>
  <w:style w:type="paragraph" w:customStyle="1" w:styleId="xl82">
    <w:name w:val="xl82"/>
    <w:basedOn w:val="Normal"/>
    <w:rsid w:val="00D250E5"/>
    <w:pPr>
      <w:widowControl/>
      <w:spacing w:line="240" w:lineRule="auto"/>
      <w:jc w:val="center"/>
      <w:textAlignment w:val="center"/>
    </w:pPr>
    <w:rPr>
      <w:rFonts w:ascii="Times New Roman" w:hAnsi="Times New Roman" w:cs="Times New Roman"/>
      <w:sz w:val="24"/>
      <w:lang w:eastAsia="en-US"/>
    </w:rPr>
  </w:style>
  <w:style w:type="paragraph" w:customStyle="1" w:styleId="xl83">
    <w:name w:val="xl83"/>
    <w:basedOn w:val="Normal"/>
    <w:rsid w:val="00D250E5"/>
    <w:pPr>
      <w:widowControl/>
      <w:spacing w:line="240" w:lineRule="auto"/>
    </w:pPr>
    <w:rPr>
      <w:rFonts w:ascii="Times New Roman" w:hAnsi="Times New Roman" w:cs="Times New Roman"/>
      <w:sz w:val="24"/>
      <w:lang w:eastAsia="en-US"/>
    </w:rPr>
  </w:style>
  <w:style w:type="paragraph" w:customStyle="1" w:styleId="xl84">
    <w:name w:val="xl84"/>
    <w:basedOn w:val="Normal"/>
    <w:rsid w:val="00D250E5"/>
    <w:pPr>
      <w:widowControl/>
      <w:spacing w:line="240" w:lineRule="auto"/>
      <w:textAlignment w:val="top"/>
    </w:pPr>
    <w:rPr>
      <w:rFonts w:ascii="Times New Roman" w:hAnsi="Times New Roman" w:cs="Times New Roman"/>
      <w:sz w:val="24"/>
      <w:lang w:eastAsia="en-US"/>
    </w:rPr>
  </w:style>
  <w:style w:type="paragraph" w:customStyle="1" w:styleId="xl85">
    <w:name w:val="xl85"/>
    <w:basedOn w:val="Normal"/>
    <w:rsid w:val="00D250E5"/>
    <w:pPr>
      <w:widowControl/>
      <w:pBdr>
        <w:top w:val="single" w:sz="4" w:space="0" w:color="auto"/>
      </w:pBdr>
      <w:spacing w:line="240" w:lineRule="auto"/>
      <w:jc w:val="center"/>
    </w:pPr>
    <w:rPr>
      <w:rFonts w:ascii="Times New Roman" w:hAnsi="Times New Roman" w:cs="Times New Roman"/>
      <w:b/>
      <w:bCs/>
      <w:sz w:val="24"/>
      <w:lang w:eastAsia="en-US"/>
    </w:rPr>
  </w:style>
  <w:style w:type="paragraph" w:customStyle="1" w:styleId="xl86">
    <w:name w:val="xl86"/>
    <w:basedOn w:val="Normal"/>
    <w:rsid w:val="00D250E5"/>
    <w:pPr>
      <w:widowControl/>
      <w:pBdr>
        <w:bottom w:val="single" w:sz="4" w:space="0" w:color="auto"/>
      </w:pBdr>
      <w:spacing w:line="240" w:lineRule="auto"/>
      <w:jc w:val="center"/>
    </w:pPr>
    <w:rPr>
      <w:rFonts w:ascii="Times New Roman" w:hAnsi="Times New Roman" w:cs="Times New Roman"/>
      <w:sz w:val="24"/>
      <w:lang w:eastAsia="en-US"/>
    </w:rPr>
  </w:style>
  <w:style w:type="paragraph" w:customStyle="1" w:styleId="xl87">
    <w:name w:val="xl87"/>
    <w:basedOn w:val="Normal"/>
    <w:rsid w:val="00D250E5"/>
    <w:pPr>
      <w:widowControl/>
      <w:spacing w:line="240" w:lineRule="auto"/>
    </w:pPr>
    <w:rPr>
      <w:rFonts w:ascii="Times New Roman" w:hAnsi="Times New Roman" w:cs="Times New Roman"/>
      <w:sz w:val="24"/>
      <w:lang w:eastAsia="en-US"/>
    </w:rPr>
  </w:style>
  <w:style w:type="paragraph" w:customStyle="1" w:styleId="xl88">
    <w:name w:val="xl88"/>
    <w:basedOn w:val="Normal"/>
    <w:rsid w:val="00D250E5"/>
    <w:pPr>
      <w:widowControl/>
      <w:spacing w:line="240" w:lineRule="auto"/>
      <w:jc w:val="center"/>
    </w:pPr>
    <w:rPr>
      <w:rFonts w:ascii="Times New Roman" w:hAnsi="Times New Roman" w:cs="Times New Roman"/>
      <w:b/>
      <w:bCs/>
      <w:sz w:val="24"/>
      <w:lang w:eastAsia="en-US"/>
    </w:rPr>
  </w:style>
  <w:style w:type="paragraph" w:customStyle="1" w:styleId="xl89">
    <w:name w:val="xl89"/>
    <w:basedOn w:val="Normal"/>
    <w:rsid w:val="00D250E5"/>
    <w:pPr>
      <w:widowControl/>
      <w:spacing w:line="240" w:lineRule="auto"/>
      <w:jc w:val="center"/>
    </w:pPr>
    <w:rPr>
      <w:rFonts w:ascii="Times New Roman" w:hAnsi="Times New Roman" w:cs="Times New Roman"/>
      <w:sz w:val="24"/>
      <w:lang w:eastAsia="en-US"/>
    </w:rPr>
  </w:style>
  <w:style w:type="paragraph" w:customStyle="1" w:styleId="xl90">
    <w:name w:val="xl90"/>
    <w:basedOn w:val="Normal"/>
    <w:rsid w:val="00D250E5"/>
    <w:pPr>
      <w:widowControl/>
      <w:pBdr>
        <w:top w:val="single" w:sz="4" w:space="0" w:color="auto"/>
        <w:bottom w:val="single" w:sz="4" w:space="0" w:color="auto"/>
      </w:pBdr>
      <w:spacing w:line="240" w:lineRule="auto"/>
      <w:jc w:val="center"/>
    </w:pPr>
    <w:rPr>
      <w:rFonts w:ascii="Times New Roman" w:hAnsi="Times New Roman" w:cs="Times New Roman"/>
      <w:b/>
      <w:bCs/>
      <w:sz w:val="24"/>
      <w:lang w:eastAsia="en-US"/>
    </w:rPr>
  </w:style>
  <w:style w:type="paragraph" w:customStyle="1" w:styleId="EndNoteBibliographyTitle">
    <w:name w:val="EndNote Bibliography Title"/>
    <w:basedOn w:val="Normal"/>
    <w:link w:val="EndNoteBibliographyTitleChar"/>
    <w:rsid w:val="00D250E5"/>
    <w:pPr>
      <w:spacing w:after="0"/>
      <w:jc w:val="center"/>
    </w:pPr>
    <w:rPr>
      <w:rFonts w:cs="Arial"/>
      <w:noProof/>
      <w:lang w:val="en-GB" w:eastAsia="ja-JP"/>
    </w:rPr>
  </w:style>
  <w:style w:type="character" w:customStyle="1" w:styleId="ListParagraphChar">
    <w:name w:val="List Paragraph Char"/>
    <w:basedOn w:val="DefaultParagraphFont"/>
    <w:link w:val="ListParagraph"/>
    <w:uiPriority w:val="34"/>
    <w:rsid w:val="00D250E5"/>
    <w:rPr>
      <w:noProof/>
      <w:lang w:val="en-GB"/>
    </w:rPr>
  </w:style>
  <w:style w:type="character" w:customStyle="1" w:styleId="EndNoteBibliographyTitleChar">
    <w:name w:val="EndNote Bibliography Title Char"/>
    <w:basedOn w:val="ListParagraphChar"/>
    <w:link w:val="EndNoteBibliographyTitle"/>
    <w:rsid w:val="00D250E5"/>
    <w:rPr>
      <w:rFonts w:ascii="Arial" w:hAnsi="Arial" w:cs="Arial"/>
      <w:noProof/>
      <w:kern w:val="0"/>
      <w:sz w:val="20"/>
      <w:lang w:val="en-GB"/>
      <w14:ligatures w14:val="none"/>
    </w:rPr>
  </w:style>
  <w:style w:type="paragraph" w:customStyle="1" w:styleId="EndNoteBibliography">
    <w:name w:val="EndNote Bibliography"/>
    <w:basedOn w:val="Normal"/>
    <w:link w:val="EndNoteBibliographyChar"/>
    <w:rsid w:val="00D250E5"/>
    <w:rPr>
      <w:rFonts w:cs="Arial"/>
      <w:noProof/>
    </w:rPr>
  </w:style>
  <w:style w:type="character" w:customStyle="1" w:styleId="EndNoteBibliographyChar">
    <w:name w:val="EndNote Bibliography Char"/>
    <w:basedOn w:val="ListParagraphChar"/>
    <w:link w:val="EndNoteBibliography"/>
    <w:rsid w:val="00D250E5"/>
    <w:rPr>
      <w:rFonts w:ascii="Arial" w:hAnsi="Arial" w:cs="Arial"/>
      <w:noProof/>
      <w:kern w:val="0"/>
      <w:sz w:val="20"/>
      <w:lang w:val="en-US" w:eastAsia="ko-KR"/>
      <w14:ligatures w14:val="none"/>
    </w:rPr>
  </w:style>
  <w:style w:type="character" w:styleId="UnresolvedMention">
    <w:name w:val="Unresolved Mention"/>
    <w:basedOn w:val="DefaultParagraphFont"/>
    <w:uiPriority w:val="99"/>
    <w:semiHidden/>
    <w:unhideWhenUsed/>
    <w:rsid w:val="00D250E5"/>
    <w:rPr>
      <w:color w:val="605E5C"/>
      <w:shd w:val="clear" w:color="auto" w:fill="E1DFDD"/>
    </w:rPr>
  </w:style>
  <w:style w:type="paragraph" w:styleId="Revision">
    <w:name w:val="Revision"/>
    <w:hidden/>
    <w:uiPriority w:val="99"/>
    <w:semiHidden/>
    <w:rsid w:val="00D250E5"/>
    <w:pPr>
      <w:spacing w:after="0" w:line="240" w:lineRule="auto"/>
    </w:pPr>
    <w:rPr>
      <w:rFonts w:ascii="Calibri" w:hAnsi="Calibri" w:cs="Vrinda"/>
      <w:kern w:val="0"/>
      <w:sz w:val="22"/>
      <w:lang w:val="en-US" w:eastAsia="ko-KR"/>
      <w14:ligatures w14:val="none"/>
    </w:rPr>
  </w:style>
  <w:style w:type="character" w:styleId="Mention">
    <w:name w:val="Mention"/>
    <w:basedOn w:val="DefaultParagraphFont"/>
    <w:uiPriority w:val="99"/>
    <w:unhideWhenUsed/>
    <w:rsid w:val="00D250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BA6EBAA3523EE4EB973734A0FBC1593" ma:contentTypeVersion="15" ma:contentTypeDescription="新しいドキュメントを作成します。" ma:contentTypeScope="" ma:versionID="fba4b07a765bb0927f0817b0c212cc92">
  <xsd:schema xmlns:xsd="http://www.w3.org/2001/XMLSchema" xmlns:xs="http://www.w3.org/2001/XMLSchema" xmlns:p="http://schemas.microsoft.com/office/2006/metadata/properties" xmlns:ns2="cc552212-8955-4162-b9ac-4e0eed2e472c" xmlns:ns3="d743b863-bd27-49ec-acc5-a080b37abde3" targetNamespace="http://schemas.microsoft.com/office/2006/metadata/properties" ma:root="true" ma:fieldsID="ea08b67cf9a05dbe15cc17dbb68b9d74" ns2:_="" ns3:_="">
    <xsd:import namespace="cc552212-8955-4162-b9ac-4e0eed2e472c"/>
    <xsd:import namespace="d743b863-bd27-49ec-acc5-a080b37abd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52212-8955-4162-b9ac-4e0eed2e4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3b863-bd27-49ec-acc5-a080b37abde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301c288-df94-4354-904e-f7d8d91962dc}" ma:internalName="TaxCatchAll" ma:showField="CatchAllData" ma:web="d743b863-bd27-49ec-acc5-a080b37abd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43b863-bd27-49ec-acc5-a080b37abde3" xsi:nil="true"/>
    <lcf76f155ced4ddcb4097134ff3c332f xmlns="cc552212-8955-4162-b9ac-4e0eed2e472c">
      <Terms xmlns="http://schemas.microsoft.com/office/infopath/2007/PartnerControls"/>
    </lcf76f155ced4ddcb4097134ff3c332f>
    <_Flow_SignoffStatus xmlns="cc552212-8955-4162-b9ac-4e0eed2e472c" xsi:nil="true"/>
  </documentManagement>
</p:properties>
</file>

<file path=customXml/itemProps1.xml><?xml version="1.0" encoding="utf-8"?>
<ds:datastoreItem xmlns:ds="http://schemas.openxmlformats.org/officeDocument/2006/customXml" ds:itemID="{1CB305AB-BAC3-45DF-B2FF-C84907707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52212-8955-4162-b9ac-4e0eed2e472c"/>
    <ds:schemaRef ds:uri="d743b863-bd27-49ec-acc5-a080b37ab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D680D-7976-4F3A-8609-B2083FA1BC1B}">
  <ds:schemaRefs>
    <ds:schemaRef ds:uri="http://schemas.microsoft.com/sharepoint/v3/contenttype/forms"/>
  </ds:schemaRefs>
</ds:datastoreItem>
</file>

<file path=customXml/itemProps3.xml><?xml version="1.0" encoding="utf-8"?>
<ds:datastoreItem xmlns:ds="http://schemas.openxmlformats.org/officeDocument/2006/customXml" ds:itemID="{18C818AE-D4BE-4BB6-AFD0-5331ECD6AF79}">
  <ds:schemaRefs>
    <ds:schemaRef ds:uri="http://schemas.microsoft.com/office/2006/metadata/properties"/>
    <ds:schemaRef ds:uri="http://schemas.microsoft.com/office/infopath/2007/PartnerControls"/>
    <ds:schemaRef ds:uri="d743b863-bd27-49ec-acc5-a080b37abde3"/>
    <ds:schemaRef ds:uri="cc552212-8955-4162-b9ac-4e0eed2e472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6548</Words>
  <Characters>37327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Writer (CI)</dc:creator>
  <cp:keywords/>
  <dc:description/>
  <cp:lastModifiedBy>Shaw, Grace</cp:lastModifiedBy>
  <cp:revision>2</cp:revision>
  <dcterms:created xsi:type="dcterms:W3CDTF">2026-05-03T23:55:00Z</dcterms:created>
  <dcterms:modified xsi:type="dcterms:W3CDTF">2026-05-03T23:55:00Z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0x010100BBA6EBAA3523EE4EB973734A0FBC1593</vt:lpwstr>
  </property>
  <property fmtid="{D5CDD505-2E9C-101B-9397-08002B2CF9AE}" pid="3" name="MediaServiceImageTags">
    <vt:lpwstr/>
  </property>
  <property fmtid="{D5CDD505-2E9C-101B-9397-08002B2CF9AE}" pid="4" name="ClassificationContentMarkingFooterShapeIds">
    <vt:lpwstr>2bedc95b,472ad272,2cca5c78</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2026-04-29T20:39:42Z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b2a371b9-2b97-4e8f-ae8f-20a9e97ef9b3</vt:lpwstr>
  </property>
  <property fmtid="{D5CDD505-2E9C-101B-9397-08002B2CF9AE}" pid="13" name="MSIP_Label_2bbab825-a111-45e4-86a1-18cee0005896_ContentBits">
    <vt:lpwstr>2</vt:lpwstr>
  </property>
  <property fmtid="{D5CDD505-2E9C-101B-9397-08002B2CF9AE}" pid="14" name="MSIP_Label_2bbab825-a111-45e4-86a1-18cee0005896_Tag">
    <vt:lpwstr>10, 3, 0, 1</vt:lpwstr>
  </property>
</Properties>
</file>