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B1EB5" w14:textId="41921180" w:rsidR="000716C4" w:rsidRPr="000716C4" w:rsidRDefault="000716C4" w:rsidP="000716C4">
      <w:pPr>
        <w:rPr>
          <w:b/>
          <w:bCs/>
          <w:sz w:val="22"/>
          <w:szCs w:val="22"/>
        </w:rPr>
      </w:pPr>
      <w:r w:rsidRPr="000716C4">
        <w:rPr>
          <w:b/>
          <w:bCs/>
          <w:sz w:val="22"/>
          <w:szCs w:val="22"/>
        </w:rPr>
        <w:t xml:space="preserve">Supplementary </w:t>
      </w:r>
      <w:r w:rsidR="005A69D2">
        <w:rPr>
          <w:b/>
          <w:bCs/>
          <w:sz w:val="22"/>
          <w:szCs w:val="22"/>
        </w:rPr>
        <w:t>Table</w:t>
      </w:r>
      <w:r w:rsidRPr="000716C4">
        <w:rPr>
          <w:b/>
          <w:bCs/>
          <w:sz w:val="22"/>
          <w:szCs w:val="22"/>
        </w:rPr>
        <w:t xml:space="preserve"> 1. Detailed Search Strategy</w:t>
      </w:r>
    </w:p>
    <w:tbl>
      <w:tblPr>
        <w:tblStyle w:val="TableGrid"/>
        <w:tblW w:w="0" w:type="auto"/>
        <w:tblLook w:val="04A0" w:firstRow="1" w:lastRow="0" w:firstColumn="1" w:lastColumn="0" w:noHBand="0" w:noVBand="1"/>
      </w:tblPr>
      <w:tblGrid>
        <w:gridCol w:w="1585"/>
        <w:gridCol w:w="5625"/>
        <w:gridCol w:w="2140"/>
      </w:tblGrid>
      <w:tr w:rsidR="005A69D2" w:rsidRPr="005A69D2" w14:paraId="6194EF40" w14:textId="77777777" w:rsidTr="005A69D2">
        <w:tc>
          <w:tcPr>
            <w:tcW w:w="0" w:type="auto"/>
            <w:vAlign w:val="center"/>
            <w:hideMark/>
          </w:tcPr>
          <w:p w14:paraId="6A3D80EC" w14:textId="77777777" w:rsidR="005A69D2" w:rsidRPr="005A69D2" w:rsidRDefault="005A69D2" w:rsidP="005A69D2">
            <w:pPr>
              <w:spacing w:after="160" w:line="278" w:lineRule="auto"/>
              <w:rPr>
                <w:b/>
                <w:bCs/>
                <w:sz w:val="22"/>
                <w:szCs w:val="22"/>
                <w:lang w:val="en-IN"/>
              </w:rPr>
            </w:pPr>
            <w:r w:rsidRPr="005A69D2">
              <w:rPr>
                <w:b/>
                <w:bCs/>
                <w:sz w:val="22"/>
                <w:szCs w:val="22"/>
                <w:lang w:val="en-IN"/>
              </w:rPr>
              <w:t>Database</w:t>
            </w:r>
          </w:p>
        </w:tc>
        <w:tc>
          <w:tcPr>
            <w:tcW w:w="0" w:type="auto"/>
            <w:vAlign w:val="center"/>
            <w:hideMark/>
          </w:tcPr>
          <w:p w14:paraId="5487C8BB" w14:textId="77777777" w:rsidR="005A69D2" w:rsidRPr="005A69D2" w:rsidRDefault="005A69D2" w:rsidP="005A69D2">
            <w:pPr>
              <w:spacing w:after="160" w:line="278" w:lineRule="auto"/>
              <w:rPr>
                <w:b/>
                <w:bCs/>
                <w:sz w:val="22"/>
                <w:szCs w:val="22"/>
                <w:lang w:val="en-IN"/>
              </w:rPr>
            </w:pPr>
            <w:r w:rsidRPr="005A69D2">
              <w:rPr>
                <w:b/>
                <w:bCs/>
                <w:sz w:val="22"/>
                <w:szCs w:val="22"/>
                <w:lang w:val="en-IN"/>
              </w:rPr>
              <w:t>Search Strategy</w:t>
            </w:r>
          </w:p>
        </w:tc>
        <w:tc>
          <w:tcPr>
            <w:tcW w:w="0" w:type="auto"/>
            <w:vAlign w:val="center"/>
            <w:hideMark/>
          </w:tcPr>
          <w:p w14:paraId="782C9675" w14:textId="77777777" w:rsidR="005A69D2" w:rsidRPr="005A69D2" w:rsidRDefault="005A69D2" w:rsidP="005A69D2">
            <w:pPr>
              <w:spacing w:after="160" w:line="278" w:lineRule="auto"/>
              <w:rPr>
                <w:b/>
                <w:bCs/>
                <w:sz w:val="22"/>
                <w:szCs w:val="22"/>
                <w:lang w:val="en-IN"/>
              </w:rPr>
            </w:pPr>
            <w:r w:rsidRPr="005A69D2">
              <w:rPr>
                <w:b/>
                <w:bCs/>
                <w:sz w:val="22"/>
                <w:szCs w:val="22"/>
                <w:lang w:val="en-IN"/>
              </w:rPr>
              <w:t>Limits / Filters</w:t>
            </w:r>
          </w:p>
        </w:tc>
      </w:tr>
      <w:tr w:rsidR="005A69D2" w:rsidRPr="005A69D2" w14:paraId="55C2E960" w14:textId="77777777" w:rsidTr="005A69D2">
        <w:tc>
          <w:tcPr>
            <w:tcW w:w="0" w:type="auto"/>
            <w:vAlign w:val="center"/>
            <w:hideMark/>
          </w:tcPr>
          <w:p w14:paraId="29AB680E" w14:textId="77777777" w:rsidR="005A69D2" w:rsidRPr="005A69D2" w:rsidRDefault="005A69D2" w:rsidP="005A69D2">
            <w:pPr>
              <w:spacing w:after="160" w:line="278" w:lineRule="auto"/>
              <w:rPr>
                <w:sz w:val="22"/>
                <w:szCs w:val="22"/>
                <w:lang w:val="en-IN"/>
              </w:rPr>
            </w:pPr>
            <w:r w:rsidRPr="005A69D2">
              <w:rPr>
                <w:b/>
                <w:bCs/>
                <w:sz w:val="22"/>
                <w:szCs w:val="22"/>
                <w:lang w:val="en-IN"/>
              </w:rPr>
              <w:t>PubMed (MEDLINE)</w:t>
            </w:r>
          </w:p>
        </w:tc>
        <w:tc>
          <w:tcPr>
            <w:tcW w:w="0" w:type="auto"/>
            <w:vAlign w:val="center"/>
            <w:hideMark/>
          </w:tcPr>
          <w:p w14:paraId="2FC3B9F4" w14:textId="77777777" w:rsidR="005A69D2" w:rsidRPr="005A69D2" w:rsidRDefault="005A69D2" w:rsidP="005A69D2">
            <w:pPr>
              <w:spacing w:after="160" w:line="278" w:lineRule="auto"/>
              <w:rPr>
                <w:sz w:val="22"/>
                <w:szCs w:val="22"/>
                <w:lang w:val="en-IN"/>
              </w:rPr>
            </w:pPr>
            <w:r w:rsidRPr="005A69D2">
              <w:rPr>
                <w:sz w:val="22"/>
                <w:szCs w:val="22"/>
                <w:lang w:val="en-IN"/>
              </w:rPr>
              <w:t>("nurse-led triage"[Title/Abstract] OR "nursing triage"[Title/Abstract] OR "nurse supervised triage"[Title/Abstract] OR "standardized triage"[Title/Abstract] OR "structured triage"[Title/Abstract]) AND ("road traffic injury"[Title/Abstract] OR "traffic accident"[Title/Abstract] OR "road accident"[Title/Abstract] OR "injury"[Title/Abstract] OR "trauma"[Title/Abstract]) AND ("low-income countries"[</w:t>
            </w:r>
            <w:proofErr w:type="spellStart"/>
            <w:r w:rsidRPr="005A69D2">
              <w:rPr>
                <w:sz w:val="22"/>
                <w:szCs w:val="22"/>
                <w:lang w:val="en-IN"/>
              </w:rPr>
              <w:t>MeSH</w:t>
            </w:r>
            <w:proofErr w:type="spellEnd"/>
            <w:r w:rsidRPr="005A69D2">
              <w:rPr>
                <w:sz w:val="22"/>
                <w:szCs w:val="22"/>
                <w:lang w:val="en-IN"/>
              </w:rPr>
              <w:t xml:space="preserve"> Terms] OR "middle-income countries"[</w:t>
            </w:r>
            <w:proofErr w:type="spellStart"/>
            <w:r w:rsidRPr="005A69D2">
              <w:rPr>
                <w:sz w:val="22"/>
                <w:szCs w:val="22"/>
                <w:lang w:val="en-IN"/>
              </w:rPr>
              <w:t>MeSH</w:t>
            </w:r>
            <w:proofErr w:type="spellEnd"/>
            <w:r w:rsidRPr="005A69D2">
              <w:rPr>
                <w:sz w:val="22"/>
                <w:szCs w:val="22"/>
                <w:lang w:val="en-IN"/>
              </w:rPr>
              <w:t xml:space="preserve"> Terms] OR "developing countries"[</w:t>
            </w:r>
            <w:proofErr w:type="spellStart"/>
            <w:r w:rsidRPr="005A69D2">
              <w:rPr>
                <w:sz w:val="22"/>
                <w:szCs w:val="22"/>
                <w:lang w:val="en-IN"/>
              </w:rPr>
              <w:t>MeSH</w:t>
            </w:r>
            <w:proofErr w:type="spellEnd"/>
            <w:r w:rsidRPr="005A69D2">
              <w:rPr>
                <w:sz w:val="22"/>
                <w:szCs w:val="22"/>
                <w:lang w:val="en-IN"/>
              </w:rPr>
              <w:t xml:space="preserve"> Terms] OR "resource-limited settings"[Title/Abstract])</w:t>
            </w:r>
          </w:p>
        </w:tc>
        <w:tc>
          <w:tcPr>
            <w:tcW w:w="0" w:type="auto"/>
            <w:vAlign w:val="center"/>
            <w:hideMark/>
          </w:tcPr>
          <w:p w14:paraId="02C18974" w14:textId="77777777" w:rsidR="005A69D2" w:rsidRPr="005A69D2" w:rsidRDefault="005A69D2" w:rsidP="005A69D2">
            <w:pPr>
              <w:spacing w:after="160" w:line="278" w:lineRule="auto"/>
              <w:rPr>
                <w:sz w:val="22"/>
                <w:szCs w:val="22"/>
                <w:lang w:val="en-IN"/>
              </w:rPr>
            </w:pPr>
            <w:r w:rsidRPr="005A69D2">
              <w:rPr>
                <w:sz w:val="22"/>
                <w:szCs w:val="22"/>
                <w:lang w:val="en-IN"/>
              </w:rPr>
              <w:t>English; Humans; Publication date: 1 January 2010–31 October 2025</w:t>
            </w:r>
          </w:p>
        </w:tc>
      </w:tr>
      <w:tr w:rsidR="005A69D2" w:rsidRPr="005A69D2" w14:paraId="555513D1" w14:textId="77777777" w:rsidTr="005A69D2">
        <w:tc>
          <w:tcPr>
            <w:tcW w:w="0" w:type="auto"/>
            <w:vAlign w:val="center"/>
            <w:hideMark/>
          </w:tcPr>
          <w:p w14:paraId="317FF799" w14:textId="77777777" w:rsidR="005A69D2" w:rsidRPr="005A69D2" w:rsidRDefault="005A69D2" w:rsidP="005A69D2">
            <w:pPr>
              <w:spacing w:after="160" w:line="278" w:lineRule="auto"/>
              <w:rPr>
                <w:sz w:val="22"/>
                <w:szCs w:val="22"/>
                <w:lang w:val="en-IN"/>
              </w:rPr>
            </w:pPr>
            <w:r w:rsidRPr="005A69D2">
              <w:rPr>
                <w:b/>
                <w:bCs/>
                <w:sz w:val="22"/>
                <w:szCs w:val="22"/>
                <w:lang w:val="en-IN"/>
              </w:rPr>
              <w:t>Scopus</w:t>
            </w:r>
          </w:p>
        </w:tc>
        <w:tc>
          <w:tcPr>
            <w:tcW w:w="0" w:type="auto"/>
            <w:vAlign w:val="center"/>
            <w:hideMark/>
          </w:tcPr>
          <w:p w14:paraId="154A6C65" w14:textId="77777777" w:rsidR="005A69D2" w:rsidRPr="005A69D2" w:rsidRDefault="005A69D2" w:rsidP="005A69D2">
            <w:pPr>
              <w:spacing w:after="160" w:line="278" w:lineRule="auto"/>
              <w:rPr>
                <w:sz w:val="22"/>
                <w:szCs w:val="22"/>
                <w:lang w:val="en-IN"/>
              </w:rPr>
            </w:pPr>
            <w:r w:rsidRPr="005A69D2">
              <w:rPr>
                <w:sz w:val="22"/>
                <w:szCs w:val="22"/>
                <w:lang w:val="en-IN"/>
              </w:rPr>
              <w:t>TITLE-ABS-</w:t>
            </w:r>
            <w:proofErr w:type="gramStart"/>
            <w:r w:rsidRPr="005A69D2">
              <w:rPr>
                <w:sz w:val="22"/>
                <w:szCs w:val="22"/>
                <w:lang w:val="en-IN"/>
              </w:rPr>
              <w:t>KEY(</w:t>
            </w:r>
            <w:proofErr w:type="gramEnd"/>
            <w:r w:rsidRPr="005A69D2">
              <w:rPr>
                <w:sz w:val="22"/>
                <w:szCs w:val="22"/>
                <w:lang w:val="en-IN"/>
              </w:rPr>
              <w:t xml:space="preserve">("nurse-led triage" OR "nursing triage" OR "nurse supervised triage" OR "standardized triage" OR "structured triage") AND ("road traffic injury" OR "traffic accident" OR "road accident" OR "trauma" OR "injury") AND ("low-income </w:t>
            </w:r>
            <w:proofErr w:type="spellStart"/>
            <w:r w:rsidRPr="005A69D2">
              <w:rPr>
                <w:sz w:val="22"/>
                <w:szCs w:val="22"/>
                <w:lang w:val="en-IN"/>
              </w:rPr>
              <w:t>countr</w:t>
            </w:r>
            <w:proofErr w:type="spellEnd"/>
            <w:r w:rsidRPr="005A69D2">
              <w:rPr>
                <w:sz w:val="22"/>
                <w:szCs w:val="22"/>
                <w:lang w:val="en-IN"/>
              </w:rPr>
              <w:t xml:space="preserve">*" OR "middle-income </w:t>
            </w:r>
            <w:proofErr w:type="spellStart"/>
            <w:r w:rsidRPr="005A69D2">
              <w:rPr>
                <w:sz w:val="22"/>
                <w:szCs w:val="22"/>
                <w:lang w:val="en-IN"/>
              </w:rPr>
              <w:t>countr</w:t>
            </w:r>
            <w:proofErr w:type="spellEnd"/>
            <w:r w:rsidRPr="005A69D2">
              <w:rPr>
                <w:sz w:val="22"/>
                <w:szCs w:val="22"/>
                <w:lang w:val="en-IN"/>
              </w:rPr>
              <w:t xml:space="preserve">*" OR "developing </w:t>
            </w:r>
            <w:proofErr w:type="spellStart"/>
            <w:r w:rsidRPr="005A69D2">
              <w:rPr>
                <w:sz w:val="22"/>
                <w:szCs w:val="22"/>
                <w:lang w:val="en-IN"/>
              </w:rPr>
              <w:t>countr</w:t>
            </w:r>
            <w:proofErr w:type="spellEnd"/>
            <w:r w:rsidRPr="005A69D2">
              <w:rPr>
                <w:sz w:val="22"/>
                <w:szCs w:val="22"/>
                <w:lang w:val="en-IN"/>
              </w:rPr>
              <w:t>*" OR "resource-limited setting*" OR "LMIC"))</w:t>
            </w:r>
          </w:p>
        </w:tc>
        <w:tc>
          <w:tcPr>
            <w:tcW w:w="0" w:type="auto"/>
            <w:vAlign w:val="center"/>
            <w:hideMark/>
          </w:tcPr>
          <w:p w14:paraId="632D20ED" w14:textId="77777777" w:rsidR="005A69D2" w:rsidRPr="005A69D2" w:rsidRDefault="005A69D2" w:rsidP="005A69D2">
            <w:pPr>
              <w:spacing w:after="160" w:line="278" w:lineRule="auto"/>
              <w:rPr>
                <w:sz w:val="22"/>
                <w:szCs w:val="22"/>
                <w:lang w:val="en-IN"/>
              </w:rPr>
            </w:pPr>
            <w:r w:rsidRPr="005A69D2">
              <w:rPr>
                <w:sz w:val="22"/>
                <w:szCs w:val="22"/>
                <w:lang w:val="en-IN"/>
              </w:rPr>
              <w:t>English language; Publication year 2010–2025</w:t>
            </w:r>
          </w:p>
        </w:tc>
      </w:tr>
      <w:tr w:rsidR="005A69D2" w:rsidRPr="005A69D2" w14:paraId="4258D762" w14:textId="77777777" w:rsidTr="005A69D2">
        <w:tc>
          <w:tcPr>
            <w:tcW w:w="0" w:type="auto"/>
            <w:vAlign w:val="center"/>
            <w:hideMark/>
          </w:tcPr>
          <w:p w14:paraId="3BE60C19" w14:textId="77777777" w:rsidR="005A69D2" w:rsidRPr="005A69D2" w:rsidRDefault="005A69D2" w:rsidP="005A69D2">
            <w:pPr>
              <w:spacing w:after="160" w:line="278" w:lineRule="auto"/>
              <w:rPr>
                <w:sz w:val="22"/>
                <w:szCs w:val="22"/>
                <w:lang w:val="en-IN"/>
              </w:rPr>
            </w:pPr>
            <w:r w:rsidRPr="005A69D2">
              <w:rPr>
                <w:b/>
                <w:bCs/>
                <w:sz w:val="22"/>
                <w:szCs w:val="22"/>
                <w:lang w:val="en-IN"/>
              </w:rPr>
              <w:t>CINAHL (EBSCOhost)</w:t>
            </w:r>
          </w:p>
        </w:tc>
        <w:tc>
          <w:tcPr>
            <w:tcW w:w="0" w:type="auto"/>
            <w:vAlign w:val="center"/>
            <w:hideMark/>
          </w:tcPr>
          <w:p w14:paraId="036AE664" w14:textId="77777777" w:rsidR="005A69D2" w:rsidRPr="005A69D2" w:rsidRDefault="005A69D2" w:rsidP="005A69D2">
            <w:pPr>
              <w:spacing w:after="160" w:line="278" w:lineRule="auto"/>
              <w:rPr>
                <w:sz w:val="22"/>
                <w:szCs w:val="22"/>
                <w:lang w:val="en-IN"/>
              </w:rPr>
            </w:pPr>
            <w:r w:rsidRPr="005A69D2">
              <w:rPr>
                <w:sz w:val="22"/>
                <w:szCs w:val="22"/>
                <w:lang w:val="en-IN"/>
              </w:rPr>
              <w:t xml:space="preserve">(MH "Triage" OR "nurse-led triage" OR "nursing triage" OR "standardized triage" OR "structured triage") AND (MH "Accidents, Traffic" OR "road traffic injury" OR "traffic accident" OR "trauma" OR "injury") AND (MH "Developing Countries" OR "low-income </w:t>
            </w:r>
            <w:proofErr w:type="spellStart"/>
            <w:r w:rsidRPr="005A69D2">
              <w:rPr>
                <w:sz w:val="22"/>
                <w:szCs w:val="22"/>
                <w:lang w:val="en-IN"/>
              </w:rPr>
              <w:t>countr</w:t>
            </w:r>
            <w:proofErr w:type="spellEnd"/>
            <w:r w:rsidRPr="005A69D2">
              <w:rPr>
                <w:sz w:val="22"/>
                <w:szCs w:val="22"/>
                <w:lang w:val="en-IN"/>
              </w:rPr>
              <w:t xml:space="preserve">*" OR "middle-income </w:t>
            </w:r>
            <w:proofErr w:type="spellStart"/>
            <w:r w:rsidRPr="005A69D2">
              <w:rPr>
                <w:sz w:val="22"/>
                <w:szCs w:val="22"/>
                <w:lang w:val="en-IN"/>
              </w:rPr>
              <w:t>countr</w:t>
            </w:r>
            <w:proofErr w:type="spellEnd"/>
            <w:r w:rsidRPr="005A69D2">
              <w:rPr>
                <w:sz w:val="22"/>
                <w:szCs w:val="22"/>
                <w:lang w:val="en-IN"/>
              </w:rPr>
              <w:t>*" OR "resource-limited setting*" OR "LMIC")</w:t>
            </w:r>
          </w:p>
        </w:tc>
        <w:tc>
          <w:tcPr>
            <w:tcW w:w="0" w:type="auto"/>
            <w:vAlign w:val="center"/>
            <w:hideMark/>
          </w:tcPr>
          <w:p w14:paraId="37152C7F" w14:textId="77777777" w:rsidR="005A69D2" w:rsidRPr="005A69D2" w:rsidRDefault="005A69D2" w:rsidP="005A69D2">
            <w:pPr>
              <w:spacing w:after="160" w:line="278" w:lineRule="auto"/>
              <w:rPr>
                <w:sz w:val="22"/>
                <w:szCs w:val="22"/>
                <w:lang w:val="en-IN"/>
              </w:rPr>
            </w:pPr>
            <w:r w:rsidRPr="005A69D2">
              <w:rPr>
                <w:sz w:val="22"/>
                <w:szCs w:val="22"/>
                <w:lang w:val="en-IN"/>
              </w:rPr>
              <w:t>English; Human; Publication date 2010–2025</w:t>
            </w:r>
          </w:p>
        </w:tc>
      </w:tr>
      <w:tr w:rsidR="005A69D2" w:rsidRPr="005A69D2" w14:paraId="71271553" w14:textId="77777777" w:rsidTr="005A69D2">
        <w:tc>
          <w:tcPr>
            <w:tcW w:w="0" w:type="auto"/>
            <w:vAlign w:val="center"/>
            <w:hideMark/>
          </w:tcPr>
          <w:p w14:paraId="654B9CDF" w14:textId="77777777" w:rsidR="005A69D2" w:rsidRPr="005A69D2" w:rsidRDefault="005A69D2" w:rsidP="005A69D2">
            <w:pPr>
              <w:spacing w:after="160" w:line="278" w:lineRule="auto"/>
              <w:rPr>
                <w:sz w:val="22"/>
                <w:szCs w:val="22"/>
                <w:lang w:val="en-IN"/>
              </w:rPr>
            </w:pPr>
            <w:r w:rsidRPr="005A69D2">
              <w:rPr>
                <w:b/>
                <w:bCs/>
                <w:sz w:val="22"/>
                <w:szCs w:val="22"/>
                <w:lang w:val="en-IN"/>
              </w:rPr>
              <w:t>Embase (Ovid)</w:t>
            </w:r>
          </w:p>
        </w:tc>
        <w:tc>
          <w:tcPr>
            <w:tcW w:w="0" w:type="auto"/>
            <w:vAlign w:val="center"/>
            <w:hideMark/>
          </w:tcPr>
          <w:p w14:paraId="20CE01C9" w14:textId="77777777" w:rsidR="005A69D2" w:rsidRPr="005A69D2" w:rsidRDefault="005A69D2" w:rsidP="005A69D2">
            <w:pPr>
              <w:spacing w:after="160" w:line="278" w:lineRule="auto"/>
              <w:rPr>
                <w:sz w:val="22"/>
                <w:szCs w:val="22"/>
                <w:lang w:val="en-IN"/>
              </w:rPr>
            </w:pPr>
            <w:r w:rsidRPr="005A69D2">
              <w:rPr>
                <w:sz w:val="22"/>
                <w:szCs w:val="22"/>
                <w:lang w:val="en-IN"/>
              </w:rPr>
              <w:t>('nurse led triage'/exp OR 'nurse-led triage' OR 'nursing triage' OR 'standardized triage' OR 'structured triage') AND ('road traffic accident'/exp OR 'road traffic injury' OR 'traffic accident' OR 'trauma' OR 'injury') AND ('developing country'/exp OR '</w:t>
            </w:r>
            <w:proofErr w:type="gramStart"/>
            <w:r w:rsidRPr="005A69D2">
              <w:rPr>
                <w:sz w:val="22"/>
                <w:szCs w:val="22"/>
                <w:lang w:val="en-IN"/>
              </w:rPr>
              <w:t>low income</w:t>
            </w:r>
            <w:proofErr w:type="gramEnd"/>
            <w:r w:rsidRPr="005A69D2">
              <w:rPr>
                <w:sz w:val="22"/>
                <w:szCs w:val="22"/>
                <w:lang w:val="en-IN"/>
              </w:rPr>
              <w:t xml:space="preserve"> country' OR 'middle income country' OR 'resource limited setting' OR 'LMIC')</w:t>
            </w:r>
          </w:p>
        </w:tc>
        <w:tc>
          <w:tcPr>
            <w:tcW w:w="0" w:type="auto"/>
            <w:vAlign w:val="center"/>
            <w:hideMark/>
          </w:tcPr>
          <w:p w14:paraId="1A274FA4" w14:textId="77777777" w:rsidR="005A69D2" w:rsidRPr="005A69D2" w:rsidRDefault="005A69D2" w:rsidP="005A69D2">
            <w:pPr>
              <w:spacing w:after="160" w:line="278" w:lineRule="auto"/>
              <w:rPr>
                <w:sz w:val="22"/>
                <w:szCs w:val="22"/>
                <w:lang w:val="en-IN"/>
              </w:rPr>
            </w:pPr>
            <w:r w:rsidRPr="005A69D2">
              <w:rPr>
                <w:sz w:val="22"/>
                <w:szCs w:val="22"/>
                <w:lang w:val="en-IN"/>
              </w:rPr>
              <w:t>English; Humans; Years 2010–2025</w:t>
            </w:r>
          </w:p>
        </w:tc>
      </w:tr>
      <w:tr w:rsidR="005A69D2" w:rsidRPr="005A69D2" w14:paraId="11C1243A" w14:textId="77777777" w:rsidTr="005A69D2">
        <w:tc>
          <w:tcPr>
            <w:tcW w:w="0" w:type="auto"/>
            <w:vAlign w:val="center"/>
            <w:hideMark/>
          </w:tcPr>
          <w:p w14:paraId="036A0DB0" w14:textId="77777777" w:rsidR="005A69D2" w:rsidRPr="005A69D2" w:rsidRDefault="005A69D2" w:rsidP="005A69D2">
            <w:pPr>
              <w:spacing w:after="160" w:line="278" w:lineRule="auto"/>
              <w:rPr>
                <w:sz w:val="22"/>
                <w:szCs w:val="22"/>
                <w:lang w:val="en-IN"/>
              </w:rPr>
            </w:pPr>
            <w:r w:rsidRPr="005A69D2">
              <w:rPr>
                <w:b/>
                <w:bCs/>
                <w:sz w:val="22"/>
                <w:szCs w:val="22"/>
                <w:lang w:val="en-IN"/>
              </w:rPr>
              <w:t>Web of Science</w:t>
            </w:r>
          </w:p>
        </w:tc>
        <w:tc>
          <w:tcPr>
            <w:tcW w:w="0" w:type="auto"/>
            <w:vAlign w:val="center"/>
            <w:hideMark/>
          </w:tcPr>
          <w:p w14:paraId="169BC838" w14:textId="77777777" w:rsidR="005A69D2" w:rsidRPr="005A69D2" w:rsidRDefault="005A69D2" w:rsidP="005A69D2">
            <w:pPr>
              <w:spacing w:after="160" w:line="278" w:lineRule="auto"/>
              <w:rPr>
                <w:sz w:val="22"/>
                <w:szCs w:val="22"/>
                <w:lang w:val="en-IN"/>
              </w:rPr>
            </w:pPr>
            <w:r w:rsidRPr="005A69D2">
              <w:rPr>
                <w:sz w:val="22"/>
                <w:szCs w:val="22"/>
                <w:lang w:val="en-IN"/>
              </w:rPr>
              <w:t>TS</w:t>
            </w:r>
            <w:proofErr w:type="gramStart"/>
            <w:r w:rsidRPr="005A69D2">
              <w:rPr>
                <w:sz w:val="22"/>
                <w:szCs w:val="22"/>
                <w:lang w:val="en-IN"/>
              </w:rPr>
              <w:t>=(</w:t>
            </w:r>
            <w:proofErr w:type="gramEnd"/>
            <w:r w:rsidRPr="005A69D2">
              <w:rPr>
                <w:sz w:val="22"/>
                <w:szCs w:val="22"/>
                <w:lang w:val="en-IN"/>
              </w:rPr>
              <w:t>"nurse-led triage" OR "nursing triage" OR "nurse supervised triage" OR "standardized triage" OR "structured triage") AND TS</w:t>
            </w:r>
            <w:proofErr w:type="gramStart"/>
            <w:r w:rsidRPr="005A69D2">
              <w:rPr>
                <w:sz w:val="22"/>
                <w:szCs w:val="22"/>
                <w:lang w:val="en-IN"/>
              </w:rPr>
              <w:t>=(</w:t>
            </w:r>
            <w:proofErr w:type="gramEnd"/>
            <w:r w:rsidRPr="005A69D2">
              <w:rPr>
                <w:sz w:val="22"/>
                <w:szCs w:val="22"/>
                <w:lang w:val="en-IN"/>
              </w:rPr>
              <w:t xml:space="preserve">"road traffic injury" OR "traffic accident" OR "road accident" OR "trauma" OR </w:t>
            </w:r>
            <w:r w:rsidRPr="005A69D2">
              <w:rPr>
                <w:sz w:val="22"/>
                <w:szCs w:val="22"/>
                <w:lang w:val="en-IN"/>
              </w:rPr>
              <w:lastRenderedPageBreak/>
              <w:t>"injury") AND TS</w:t>
            </w:r>
            <w:proofErr w:type="gramStart"/>
            <w:r w:rsidRPr="005A69D2">
              <w:rPr>
                <w:sz w:val="22"/>
                <w:szCs w:val="22"/>
                <w:lang w:val="en-IN"/>
              </w:rPr>
              <w:t>=(</w:t>
            </w:r>
            <w:proofErr w:type="gramEnd"/>
            <w:r w:rsidRPr="005A69D2">
              <w:rPr>
                <w:sz w:val="22"/>
                <w:szCs w:val="22"/>
                <w:lang w:val="en-IN"/>
              </w:rPr>
              <w:t xml:space="preserve">"low-income </w:t>
            </w:r>
            <w:proofErr w:type="spellStart"/>
            <w:r w:rsidRPr="005A69D2">
              <w:rPr>
                <w:sz w:val="22"/>
                <w:szCs w:val="22"/>
                <w:lang w:val="en-IN"/>
              </w:rPr>
              <w:t>countr</w:t>
            </w:r>
            <w:proofErr w:type="spellEnd"/>
            <w:r w:rsidRPr="005A69D2">
              <w:rPr>
                <w:sz w:val="22"/>
                <w:szCs w:val="22"/>
                <w:lang w:val="en-IN"/>
              </w:rPr>
              <w:t xml:space="preserve">*" OR "middle-income </w:t>
            </w:r>
            <w:proofErr w:type="spellStart"/>
            <w:r w:rsidRPr="005A69D2">
              <w:rPr>
                <w:sz w:val="22"/>
                <w:szCs w:val="22"/>
                <w:lang w:val="en-IN"/>
              </w:rPr>
              <w:t>countr</w:t>
            </w:r>
            <w:proofErr w:type="spellEnd"/>
            <w:r w:rsidRPr="005A69D2">
              <w:rPr>
                <w:sz w:val="22"/>
                <w:szCs w:val="22"/>
                <w:lang w:val="en-IN"/>
              </w:rPr>
              <w:t xml:space="preserve">*" OR "developing </w:t>
            </w:r>
            <w:proofErr w:type="spellStart"/>
            <w:r w:rsidRPr="005A69D2">
              <w:rPr>
                <w:sz w:val="22"/>
                <w:szCs w:val="22"/>
                <w:lang w:val="en-IN"/>
              </w:rPr>
              <w:t>countr</w:t>
            </w:r>
            <w:proofErr w:type="spellEnd"/>
            <w:r w:rsidRPr="005A69D2">
              <w:rPr>
                <w:sz w:val="22"/>
                <w:szCs w:val="22"/>
                <w:lang w:val="en-IN"/>
              </w:rPr>
              <w:t>*" OR "resource-limited setting*" OR "LMIC")</w:t>
            </w:r>
          </w:p>
        </w:tc>
        <w:tc>
          <w:tcPr>
            <w:tcW w:w="0" w:type="auto"/>
            <w:vAlign w:val="center"/>
            <w:hideMark/>
          </w:tcPr>
          <w:p w14:paraId="715CD76B" w14:textId="77777777" w:rsidR="005A69D2" w:rsidRPr="005A69D2" w:rsidRDefault="005A69D2" w:rsidP="005A69D2">
            <w:pPr>
              <w:spacing w:after="160" w:line="278" w:lineRule="auto"/>
              <w:rPr>
                <w:sz w:val="22"/>
                <w:szCs w:val="22"/>
                <w:lang w:val="en-IN"/>
              </w:rPr>
            </w:pPr>
            <w:r w:rsidRPr="005A69D2">
              <w:rPr>
                <w:sz w:val="22"/>
                <w:szCs w:val="22"/>
                <w:lang w:val="en-IN"/>
              </w:rPr>
              <w:lastRenderedPageBreak/>
              <w:t>English; Document type: Article; Timespan 2010–2025; Indexes: SCI-</w:t>
            </w:r>
            <w:r w:rsidRPr="005A69D2">
              <w:rPr>
                <w:sz w:val="22"/>
                <w:szCs w:val="22"/>
                <w:lang w:val="en-IN"/>
              </w:rPr>
              <w:lastRenderedPageBreak/>
              <w:t>EXPANDED, SSCI, ESCI</w:t>
            </w:r>
          </w:p>
        </w:tc>
      </w:tr>
    </w:tbl>
    <w:p w14:paraId="47B781B0" w14:textId="35030E2A" w:rsidR="000716C4" w:rsidRPr="005A69D2" w:rsidRDefault="001652E1" w:rsidP="001652E1">
      <w:pPr>
        <w:rPr>
          <w:sz w:val="22"/>
          <w:szCs w:val="22"/>
          <w:lang w:val="en-IN"/>
        </w:rPr>
      </w:pPr>
      <w:r w:rsidRPr="001652E1">
        <w:rPr>
          <w:sz w:val="22"/>
          <w:szCs w:val="22"/>
          <w:lang w:val="en-IN"/>
        </w:rPr>
        <w:lastRenderedPageBreak/>
        <w:t>Note:</w:t>
      </w:r>
      <w:r>
        <w:rPr>
          <w:sz w:val="22"/>
          <w:szCs w:val="22"/>
          <w:lang w:val="en-IN"/>
        </w:rPr>
        <w:t xml:space="preserve"> </w:t>
      </w:r>
      <w:r w:rsidRPr="001652E1">
        <w:rPr>
          <w:sz w:val="22"/>
          <w:szCs w:val="22"/>
          <w:lang w:val="en-IN"/>
        </w:rPr>
        <w:t xml:space="preserve">Equivalent syntax was adapted for each </w:t>
      </w:r>
      <w:proofErr w:type="gramStart"/>
      <w:r w:rsidRPr="001652E1">
        <w:rPr>
          <w:sz w:val="22"/>
          <w:szCs w:val="22"/>
          <w:lang w:val="en-IN"/>
        </w:rPr>
        <w:t>database’s controlled</w:t>
      </w:r>
      <w:proofErr w:type="gramEnd"/>
      <w:r w:rsidRPr="001652E1">
        <w:rPr>
          <w:sz w:val="22"/>
          <w:szCs w:val="22"/>
          <w:lang w:val="en-IN"/>
        </w:rPr>
        <w:t xml:space="preserve"> vocabulary and field-search options. Truncation symbols (*) and proximity operators were applied as appropriate to broaden search coverage. Search results from each database were exported to EndNote X9, where duplicates were removed prior to screening. Manual backward and forward citation searches were conducted to ensure comprehensive retrieval. The number of records retrieved per database and search dates are reported in the PRISMA flow diagram.</w:t>
      </w:r>
    </w:p>
    <w:p w14:paraId="65F725AF" w14:textId="16C67EF7" w:rsidR="009F6EB9" w:rsidRDefault="009F6EB9">
      <w:pPr>
        <w:rPr>
          <w:sz w:val="22"/>
          <w:szCs w:val="22"/>
        </w:rPr>
      </w:pPr>
      <w:r>
        <w:rPr>
          <w:sz w:val="22"/>
          <w:szCs w:val="22"/>
        </w:rPr>
        <w:br w:type="page"/>
      </w:r>
    </w:p>
    <w:p w14:paraId="2637AD53" w14:textId="77777777" w:rsidR="009F6EB9" w:rsidRDefault="009F6EB9" w:rsidP="009F6EB9">
      <w:pPr>
        <w:rPr>
          <w:rFonts w:ascii="Times New Roman" w:hAnsi="Times New Roman" w:cs="Times New Roman"/>
          <w:b/>
          <w:bCs/>
          <w:sz w:val="22"/>
          <w:szCs w:val="22"/>
        </w:rPr>
        <w:sectPr w:rsidR="009F6EB9">
          <w:pgSz w:w="12240" w:h="15840"/>
          <w:pgMar w:top="1440" w:right="1440" w:bottom="1440" w:left="1440" w:header="720" w:footer="720" w:gutter="0"/>
          <w:cols w:space="720"/>
          <w:docGrid w:linePitch="360"/>
        </w:sectPr>
      </w:pPr>
    </w:p>
    <w:p w14:paraId="50F81335" w14:textId="77777777" w:rsidR="009F6EB9" w:rsidRPr="008F33BB" w:rsidRDefault="009F6EB9" w:rsidP="009F6EB9">
      <w:pPr>
        <w:rPr>
          <w:rFonts w:ascii="Times New Roman" w:hAnsi="Times New Roman" w:cs="Times New Roman"/>
          <w:b/>
          <w:bCs/>
          <w:sz w:val="22"/>
          <w:szCs w:val="22"/>
        </w:rPr>
      </w:pPr>
      <w:r w:rsidRPr="008F33BB">
        <w:rPr>
          <w:rFonts w:ascii="Times New Roman" w:hAnsi="Times New Roman" w:cs="Times New Roman"/>
          <w:b/>
          <w:bCs/>
          <w:sz w:val="22"/>
          <w:szCs w:val="22"/>
        </w:rPr>
        <w:lastRenderedPageBreak/>
        <w:t>Supplementary Table 2. Summary of Quality Appraisal and Risk of Bias Across Included Studies</w:t>
      </w:r>
    </w:p>
    <w:tbl>
      <w:tblPr>
        <w:tblStyle w:val="PlainTable2"/>
        <w:tblW w:w="13320" w:type="dxa"/>
        <w:tblLook w:val="04A0" w:firstRow="1" w:lastRow="0" w:firstColumn="1" w:lastColumn="0" w:noHBand="0" w:noVBand="1"/>
      </w:tblPr>
      <w:tblGrid>
        <w:gridCol w:w="2072"/>
        <w:gridCol w:w="2008"/>
        <w:gridCol w:w="1419"/>
        <w:gridCol w:w="2181"/>
        <w:gridCol w:w="1313"/>
        <w:gridCol w:w="1412"/>
        <w:gridCol w:w="2915"/>
      </w:tblGrid>
      <w:tr w:rsidR="009F6EB9" w:rsidRPr="008F33BB" w14:paraId="4AE9225C" w14:textId="77777777" w:rsidTr="002927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05B9A9" w14:textId="77777777" w:rsidR="009F6EB9" w:rsidRPr="00C161DD" w:rsidRDefault="009F6EB9" w:rsidP="002927E6">
            <w:pPr>
              <w:spacing w:after="160" w:line="278" w:lineRule="auto"/>
              <w:rPr>
                <w:rFonts w:ascii="Times New Roman" w:hAnsi="Times New Roman" w:cs="Times New Roman"/>
                <w:sz w:val="22"/>
                <w:szCs w:val="22"/>
              </w:rPr>
            </w:pPr>
            <w:r w:rsidRPr="00C161DD">
              <w:rPr>
                <w:rFonts w:ascii="Times New Roman" w:hAnsi="Times New Roman" w:cs="Times New Roman"/>
                <w:sz w:val="22"/>
                <w:szCs w:val="22"/>
              </w:rPr>
              <w:t>Study (Author, Year, Country)</w:t>
            </w:r>
          </w:p>
        </w:tc>
        <w:tc>
          <w:tcPr>
            <w:tcW w:w="2008" w:type="dxa"/>
            <w:vAlign w:val="center"/>
            <w:hideMark/>
          </w:tcPr>
          <w:p w14:paraId="6EB06753" w14:textId="77777777" w:rsidR="009F6EB9" w:rsidRPr="00C161DD" w:rsidRDefault="009F6EB9" w:rsidP="002927E6">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Study Design</w:t>
            </w:r>
          </w:p>
        </w:tc>
        <w:tc>
          <w:tcPr>
            <w:tcW w:w="1419" w:type="dxa"/>
            <w:vAlign w:val="center"/>
            <w:hideMark/>
          </w:tcPr>
          <w:p w14:paraId="0078E0AE" w14:textId="77777777" w:rsidR="009F6EB9" w:rsidRPr="00C161DD" w:rsidRDefault="009F6EB9" w:rsidP="002927E6">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Appraisal Tool Used</w:t>
            </w:r>
          </w:p>
        </w:tc>
        <w:tc>
          <w:tcPr>
            <w:tcW w:w="2181" w:type="dxa"/>
            <w:vAlign w:val="center"/>
            <w:hideMark/>
          </w:tcPr>
          <w:p w14:paraId="38501AB3" w14:textId="77777777" w:rsidR="009F6EB9" w:rsidRPr="00C161DD" w:rsidRDefault="009F6EB9" w:rsidP="002927E6">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Key Domains Assessed</w:t>
            </w:r>
          </w:p>
        </w:tc>
        <w:tc>
          <w:tcPr>
            <w:tcW w:w="0" w:type="auto"/>
            <w:vAlign w:val="center"/>
            <w:hideMark/>
          </w:tcPr>
          <w:p w14:paraId="741D144D" w14:textId="77777777" w:rsidR="009F6EB9" w:rsidRPr="00C161DD" w:rsidRDefault="009F6EB9" w:rsidP="002927E6">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Risk of Bias Rating</w:t>
            </w:r>
          </w:p>
        </w:tc>
        <w:tc>
          <w:tcPr>
            <w:tcW w:w="0" w:type="auto"/>
            <w:vAlign w:val="center"/>
            <w:hideMark/>
          </w:tcPr>
          <w:p w14:paraId="1AA0BA06" w14:textId="77777777" w:rsidR="009F6EB9" w:rsidRPr="00C161DD" w:rsidRDefault="009F6EB9" w:rsidP="002927E6">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161DD">
              <w:rPr>
                <w:rFonts w:ascii="Times New Roman" w:hAnsi="Times New Roman" w:cs="Times New Roman"/>
                <w:b w:val="0"/>
                <w:bCs w:val="0"/>
                <w:sz w:val="22"/>
                <w:szCs w:val="22"/>
              </w:rPr>
              <w:t>Overall Quality Judgment</w:t>
            </w:r>
          </w:p>
        </w:tc>
        <w:tc>
          <w:tcPr>
            <w:tcW w:w="2915" w:type="dxa"/>
            <w:vAlign w:val="center"/>
            <w:hideMark/>
          </w:tcPr>
          <w:p w14:paraId="230D28F6" w14:textId="77777777" w:rsidR="009F6EB9" w:rsidRPr="00C161DD" w:rsidRDefault="009F6EB9" w:rsidP="002927E6">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Notes / Remarks</w:t>
            </w:r>
          </w:p>
        </w:tc>
      </w:tr>
      <w:tr w:rsidR="009F6EB9" w:rsidRPr="008F33BB" w14:paraId="18C7A4AC" w14:textId="77777777" w:rsidTr="00292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CD7F7B7" w14:textId="7C815F93" w:rsidR="009F6EB9" w:rsidRPr="00B8198F" w:rsidRDefault="009F6EB9" w:rsidP="002927E6">
            <w:pPr>
              <w:spacing w:after="160" w:line="278" w:lineRule="auto"/>
              <w:rPr>
                <w:rFonts w:ascii="Times New Roman" w:hAnsi="Times New Roman" w:cs="Times New Roman"/>
                <w:sz w:val="22"/>
                <w:szCs w:val="22"/>
                <w:vertAlign w:val="superscript"/>
              </w:rPr>
            </w:pPr>
            <w:proofErr w:type="spellStart"/>
            <w:r w:rsidRPr="00C161DD">
              <w:rPr>
                <w:rFonts w:ascii="Times New Roman" w:hAnsi="Times New Roman" w:cs="Times New Roman"/>
                <w:sz w:val="22"/>
                <w:szCs w:val="22"/>
              </w:rPr>
              <w:t>Dalwai</w:t>
            </w:r>
            <w:proofErr w:type="spellEnd"/>
            <w:r w:rsidRPr="00C161DD">
              <w:rPr>
                <w:rFonts w:ascii="Times New Roman" w:hAnsi="Times New Roman" w:cs="Times New Roman"/>
                <w:sz w:val="22"/>
                <w:szCs w:val="22"/>
              </w:rPr>
              <w:t xml:space="preserve"> et al., 2017 – Afghanistan, Haiti &amp; Sierra Leone</w:t>
            </w:r>
            <w:r w:rsidR="00B8198F">
              <w:rPr>
                <w:rFonts w:ascii="Times New Roman" w:hAnsi="Times New Roman" w:cs="Times New Roman"/>
                <w:sz w:val="22"/>
                <w:szCs w:val="22"/>
                <w:vertAlign w:val="superscript"/>
              </w:rPr>
              <w:t>26</w:t>
            </w:r>
          </w:p>
        </w:tc>
        <w:tc>
          <w:tcPr>
            <w:tcW w:w="2008" w:type="dxa"/>
            <w:vAlign w:val="center"/>
            <w:hideMark/>
          </w:tcPr>
          <w:p w14:paraId="34470E95"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161DD">
              <w:rPr>
                <w:rFonts w:ascii="Times New Roman" w:hAnsi="Times New Roman" w:cs="Times New Roman"/>
                <w:sz w:val="22"/>
                <w:szCs w:val="22"/>
              </w:rPr>
              <w:t>Multicountry</w:t>
            </w:r>
            <w:proofErr w:type="spellEnd"/>
            <w:r w:rsidRPr="00C161DD">
              <w:rPr>
                <w:rFonts w:ascii="Times New Roman" w:hAnsi="Times New Roman" w:cs="Times New Roman"/>
                <w:sz w:val="22"/>
                <w:szCs w:val="22"/>
              </w:rPr>
              <w:t xml:space="preserve"> retrospective validation</w:t>
            </w:r>
          </w:p>
        </w:tc>
        <w:tc>
          <w:tcPr>
            <w:tcW w:w="1419" w:type="dxa"/>
            <w:vAlign w:val="center"/>
            <w:hideMark/>
          </w:tcPr>
          <w:p w14:paraId="25074192"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QUADAS-2</w:t>
            </w:r>
          </w:p>
        </w:tc>
        <w:tc>
          <w:tcPr>
            <w:tcW w:w="2181" w:type="dxa"/>
            <w:vAlign w:val="center"/>
            <w:hideMark/>
          </w:tcPr>
          <w:p w14:paraId="226B56E8"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Patient selection; index-test conduct; reference-standard validity; flow &amp; timing</w:t>
            </w:r>
          </w:p>
        </w:tc>
        <w:tc>
          <w:tcPr>
            <w:tcW w:w="0" w:type="auto"/>
            <w:vAlign w:val="center"/>
            <w:hideMark/>
          </w:tcPr>
          <w:p w14:paraId="0AF1C618"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Low–to–unclear</w:t>
            </w:r>
          </w:p>
        </w:tc>
        <w:tc>
          <w:tcPr>
            <w:tcW w:w="0" w:type="auto"/>
            <w:vAlign w:val="center"/>
            <w:hideMark/>
          </w:tcPr>
          <w:p w14:paraId="784948F4"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High quality</w:t>
            </w:r>
          </w:p>
        </w:tc>
        <w:tc>
          <w:tcPr>
            <w:tcW w:w="2915" w:type="dxa"/>
            <w:vAlign w:val="center"/>
            <w:hideMark/>
          </w:tcPr>
          <w:p w14:paraId="2E80A85C"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 xml:space="preserve">Large </w:t>
            </w:r>
            <w:proofErr w:type="spellStart"/>
            <w:r w:rsidRPr="00C161DD">
              <w:rPr>
                <w:rFonts w:ascii="Times New Roman" w:hAnsi="Times New Roman" w:cs="Times New Roman"/>
                <w:sz w:val="22"/>
                <w:szCs w:val="22"/>
              </w:rPr>
              <w:t>multicountry</w:t>
            </w:r>
            <w:proofErr w:type="spellEnd"/>
            <w:r w:rsidRPr="00C161DD">
              <w:rPr>
                <w:rFonts w:ascii="Times New Roman" w:hAnsi="Times New Roman" w:cs="Times New Roman"/>
                <w:sz w:val="22"/>
                <w:szCs w:val="22"/>
              </w:rPr>
              <w:t xml:space="preserve"> SATS dataset (n = 5,813); minor concerns in blinding / follow-up completeness.</w:t>
            </w:r>
          </w:p>
        </w:tc>
      </w:tr>
      <w:tr w:rsidR="009F6EB9" w:rsidRPr="008F33BB" w14:paraId="46CC134C" w14:textId="77777777" w:rsidTr="002927E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E050665" w14:textId="7E85A144" w:rsidR="009F6EB9" w:rsidRPr="00B8198F" w:rsidRDefault="009F6EB9" w:rsidP="002927E6">
            <w:pPr>
              <w:spacing w:after="160" w:line="278" w:lineRule="auto"/>
              <w:rPr>
                <w:rFonts w:ascii="Times New Roman" w:hAnsi="Times New Roman" w:cs="Times New Roman"/>
                <w:sz w:val="22"/>
                <w:szCs w:val="22"/>
                <w:vertAlign w:val="superscript"/>
              </w:rPr>
            </w:pPr>
            <w:proofErr w:type="spellStart"/>
            <w:r w:rsidRPr="00C161DD">
              <w:rPr>
                <w:rFonts w:ascii="Times New Roman" w:hAnsi="Times New Roman" w:cs="Times New Roman"/>
                <w:sz w:val="22"/>
                <w:szCs w:val="22"/>
              </w:rPr>
              <w:t>Dalwai</w:t>
            </w:r>
            <w:proofErr w:type="spellEnd"/>
            <w:r w:rsidRPr="00C161DD">
              <w:rPr>
                <w:rFonts w:ascii="Times New Roman" w:hAnsi="Times New Roman" w:cs="Times New Roman"/>
                <w:sz w:val="22"/>
                <w:szCs w:val="22"/>
              </w:rPr>
              <w:t xml:space="preserve"> et al., 2014 – Pakistan</w:t>
            </w:r>
            <w:r w:rsidR="00B8198F">
              <w:rPr>
                <w:rFonts w:ascii="Times New Roman" w:hAnsi="Times New Roman" w:cs="Times New Roman"/>
                <w:sz w:val="22"/>
                <w:szCs w:val="22"/>
                <w:vertAlign w:val="superscript"/>
              </w:rPr>
              <w:t>25</w:t>
            </w:r>
          </w:p>
        </w:tc>
        <w:tc>
          <w:tcPr>
            <w:tcW w:w="2008" w:type="dxa"/>
            <w:vAlign w:val="center"/>
            <w:hideMark/>
          </w:tcPr>
          <w:p w14:paraId="61D31519"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Cross-sectional diagnostic validation</w:t>
            </w:r>
          </w:p>
        </w:tc>
        <w:tc>
          <w:tcPr>
            <w:tcW w:w="1419" w:type="dxa"/>
            <w:vAlign w:val="center"/>
            <w:hideMark/>
          </w:tcPr>
          <w:p w14:paraId="79DD5A10"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QUADAS-2</w:t>
            </w:r>
          </w:p>
        </w:tc>
        <w:tc>
          <w:tcPr>
            <w:tcW w:w="2181" w:type="dxa"/>
            <w:vAlign w:val="center"/>
            <w:hideMark/>
          </w:tcPr>
          <w:p w14:paraId="3BD50CED"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Index-test reliability; reference-standard comparison; test applicability</w:t>
            </w:r>
          </w:p>
        </w:tc>
        <w:tc>
          <w:tcPr>
            <w:tcW w:w="0" w:type="auto"/>
            <w:vAlign w:val="center"/>
            <w:hideMark/>
          </w:tcPr>
          <w:p w14:paraId="775DB656"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Low</w:t>
            </w:r>
          </w:p>
        </w:tc>
        <w:tc>
          <w:tcPr>
            <w:tcW w:w="0" w:type="auto"/>
            <w:vAlign w:val="center"/>
            <w:hideMark/>
          </w:tcPr>
          <w:p w14:paraId="61290411"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High quality</w:t>
            </w:r>
          </w:p>
        </w:tc>
        <w:tc>
          <w:tcPr>
            <w:tcW w:w="2915" w:type="dxa"/>
            <w:vAlign w:val="center"/>
            <w:hideMark/>
          </w:tcPr>
          <w:p w14:paraId="7D8DDFB5"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ICC = 0.77; sensitivity 70 %; specificity 97 %; blinded expert reference; trauma-dominant vignettes.</w:t>
            </w:r>
          </w:p>
        </w:tc>
      </w:tr>
      <w:tr w:rsidR="009F6EB9" w:rsidRPr="008F33BB" w14:paraId="3D010DFA" w14:textId="77777777" w:rsidTr="00292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0D1DDB" w14:textId="01A9CD47" w:rsidR="009F6EB9" w:rsidRPr="00B8198F" w:rsidRDefault="009F6EB9" w:rsidP="002927E6">
            <w:pPr>
              <w:spacing w:after="160" w:line="278" w:lineRule="auto"/>
              <w:rPr>
                <w:rFonts w:ascii="Times New Roman" w:hAnsi="Times New Roman" w:cs="Times New Roman"/>
                <w:sz w:val="22"/>
                <w:szCs w:val="22"/>
                <w:vertAlign w:val="superscript"/>
              </w:rPr>
            </w:pPr>
            <w:r w:rsidRPr="00C161DD">
              <w:rPr>
                <w:rFonts w:ascii="Times New Roman" w:hAnsi="Times New Roman" w:cs="Times New Roman"/>
                <w:sz w:val="22"/>
                <w:szCs w:val="22"/>
              </w:rPr>
              <w:t>Lampi et al., 2018 – Kenya</w:t>
            </w:r>
            <w:r w:rsidR="00B8198F">
              <w:rPr>
                <w:rFonts w:ascii="Times New Roman" w:hAnsi="Times New Roman" w:cs="Times New Roman"/>
                <w:sz w:val="22"/>
                <w:szCs w:val="22"/>
                <w:vertAlign w:val="superscript"/>
              </w:rPr>
              <w:t>24</w:t>
            </w:r>
          </w:p>
        </w:tc>
        <w:tc>
          <w:tcPr>
            <w:tcW w:w="2008" w:type="dxa"/>
            <w:vAlign w:val="center"/>
            <w:hideMark/>
          </w:tcPr>
          <w:p w14:paraId="783F2CD4"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Prospective descriptive observational</w:t>
            </w:r>
          </w:p>
        </w:tc>
        <w:tc>
          <w:tcPr>
            <w:tcW w:w="1419" w:type="dxa"/>
            <w:vAlign w:val="center"/>
            <w:hideMark/>
          </w:tcPr>
          <w:p w14:paraId="2AA7ABCA"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QUADAS-2</w:t>
            </w:r>
          </w:p>
        </w:tc>
        <w:tc>
          <w:tcPr>
            <w:tcW w:w="2181" w:type="dxa"/>
            <w:vAlign w:val="center"/>
            <w:hideMark/>
          </w:tcPr>
          <w:p w14:paraId="7D763813"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Patient selection; index-test accuracy; reference-standard correlation</w:t>
            </w:r>
          </w:p>
        </w:tc>
        <w:tc>
          <w:tcPr>
            <w:tcW w:w="0" w:type="auto"/>
            <w:vAlign w:val="center"/>
            <w:hideMark/>
          </w:tcPr>
          <w:p w14:paraId="3B522CFC"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Low–to–unclear</w:t>
            </w:r>
          </w:p>
        </w:tc>
        <w:tc>
          <w:tcPr>
            <w:tcW w:w="0" w:type="auto"/>
            <w:vAlign w:val="center"/>
            <w:hideMark/>
          </w:tcPr>
          <w:p w14:paraId="5A949198"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Moderate quality</w:t>
            </w:r>
          </w:p>
        </w:tc>
        <w:tc>
          <w:tcPr>
            <w:tcW w:w="2915" w:type="dxa"/>
            <w:vAlign w:val="center"/>
            <w:hideMark/>
          </w:tcPr>
          <w:p w14:paraId="10A24A17"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RETTS valid but reference standard (ISS) limited; no independent diagnostic gold standard.</w:t>
            </w:r>
          </w:p>
        </w:tc>
      </w:tr>
      <w:tr w:rsidR="009F6EB9" w:rsidRPr="008F33BB" w14:paraId="448147B6" w14:textId="77777777" w:rsidTr="002927E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C81FD72" w14:textId="613486C8" w:rsidR="009F6EB9" w:rsidRPr="00B8198F" w:rsidRDefault="009F6EB9" w:rsidP="002927E6">
            <w:pPr>
              <w:spacing w:after="160" w:line="278" w:lineRule="auto"/>
              <w:rPr>
                <w:rFonts w:ascii="Times New Roman" w:hAnsi="Times New Roman" w:cs="Times New Roman"/>
                <w:sz w:val="22"/>
                <w:szCs w:val="22"/>
                <w:vertAlign w:val="superscript"/>
              </w:rPr>
            </w:pPr>
            <w:proofErr w:type="spellStart"/>
            <w:r w:rsidRPr="00C161DD">
              <w:rPr>
                <w:rFonts w:ascii="Times New Roman" w:hAnsi="Times New Roman" w:cs="Times New Roman"/>
                <w:sz w:val="22"/>
                <w:szCs w:val="22"/>
              </w:rPr>
              <w:t>Lowsby</w:t>
            </w:r>
            <w:proofErr w:type="spellEnd"/>
            <w:r w:rsidRPr="00C161DD">
              <w:rPr>
                <w:rFonts w:ascii="Times New Roman" w:hAnsi="Times New Roman" w:cs="Times New Roman"/>
                <w:sz w:val="22"/>
                <w:szCs w:val="22"/>
              </w:rPr>
              <w:t xml:space="preserve"> et al., 2017 – Sierra Leone</w:t>
            </w:r>
            <w:r w:rsidR="00B8198F">
              <w:rPr>
                <w:rFonts w:ascii="Times New Roman" w:hAnsi="Times New Roman" w:cs="Times New Roman"/>
                <w:sz w:val="22"/>
                <w:szCs w:val="22"/>
                <w:vertAlign w:val="superscript"/>
              </w:rPr>
              <w:t>29</w:t>
            </w:r>
          </w:p>
        </w:tc>
        <w:tc>
          <w:tcPr>
            <w:tcW w:w="2008" w:type="dxa"/>
            <w:vAlign w:val="center"/>
            <w:hideMark/>
          </w:tcPr>
          <w:p w14:paraId="51E4DF25"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Service evaluation (implementation)</w:t>
            </w:r>
          </w:p>
        </w:tc>
        <w:tc>
          <w:tcPr>
            <w:tcW w:w="1419" w:type="dxa"/>
            <w:vAlign w:val="center"/>
            <w:hideMark/>
          </w:tcPr>
          <w:p w14:paraId="54517B76"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QUADAS-2</w:t>
            </w:r>
          </w:p>
        </w:tc>
        <w:tc>
          <w:tcPr>
            <w:tcW w:w="2181" w:type="dxa"/>
            <w:vAlign w:val="center"/>
            <w:hideMark/>
          </w:tcPr>
          <w:p w14:paraId="54FA42B8"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Patient selection; index-test process; timing &amp; flow</w:t>
            </w:r>
          </w:p>
        </w:tc>
        <w:tc>
          <w:tcPr>
            <w:tcW w:w="0" w:type="auto"/>
            <w:vAlign w:val="center"/>
            <w:hideMark/>
          </w:tcPr>
          <w:p w14:paraId="1FDE796B" w14:textId="3720201F" w:rsidR="009F6EB9" w:rsidRPr="00C161DD" w:rsidRDefault="00283734"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High</w:t>
            </w:r>
          </w:p>
        </w:tc>
        <w:tc>
          <w:tcPr>
            <w:tcW w:w="0" w:type="auto"/>
            <w:vAlign w:val="center"/>
            <w:hideMark/>
          </w:tcPr>
          <w:p w14:paraId="34E4B8EA" w14:textId="341EF8E2" w:rsidR="009F6EB9" w:rsidRPr="00C161DD" w:rsidRDefault="00283734"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 xml:space="preserve">Low quality </w:t>
            </w:r>
          </w:p>
        </w:tc>
        <w:tc>
          <w:tcPr>
            <w:tcW w:w="2915" w:type="dxa"/>
            <w:vAlign w:val="center"/>
            <w:hideMark/>
          </w:tcPr>
          <w:p w14:paraId="4596C7F1" w14:textId="1F7DCFA6"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 xml:space="preserve">Nurse-led SATS; high acuity recognition; </w:t>
            </w:r>
            <w:r w:rsidR="00283734">
              <w:rPr>
                <w:rFonts w:ascii="Times New Roman" w:hAnsi="Times New Roman" w:cs="Times New Roman"/>
                <w:sz w:val="22"/>
                <w:szCs w:val="22"/>
              </w:rPr>
              <w:t>concerns in flow/timing and comparator completeness affecting overall bias rating</w:t>
            </w:r>
          </w:p>
        </w:tc>
      </w:tr>
      <w:tr w:rsidR="009F6EB9" w:rsidRPr="008F33BB" w14:paraId="0C7A415F" w14:textId="77777777" w:rsidTr="00292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EA8DED2" w14:textId="11169555" w:rsidR="009F6EB9" w:rsidRPr="00B8198F" w:rsidRDefault="009F6EB9" w:rsidP="002927E6">
            <w:pPr>
              <w:spacing w:after="160" w:line="278" w:lineRule="auto"/>
              <w:rPr>
                <w:rFonts w:ascii="Times New Roman" w:hAnsi="Times New Roman" w:cs="Times New Roman"/>
                <w:sz w:val="22"/>
                <w:szCs w:val="22"/>
                <w:vertAlign w:val="superscript"/>
              </w:rPr>
            </w:pPr>
            <w:r w:rsidRPr="00C161DD">
              <w:rPr>
                <w:rFonts w:ascii="Times New Roman" w:hAnsi="Times New Roman" w:cs="Times New Roman"/>
                <w:sz w:val="22"/>
                <w:szCs w:val="22"/>
              </w:rPr>
              <w:t>Smith et al., 2022 – South Africa</w:t>
            </w:r>
            <w:r w:rsidR="00B8198F">
              <w:rPr>
                <w:rFonts w:ascii="Times New Roman" w:hAnsi="Times New Roman" w:cs="Times New Roman"/>
                <w:sz w:val="22"/>
                <w:szCs w:val="22"/>
                <w:vertAlign w:val="superscript"/>
              </w:rPr>
              <w:t>28</w:t>
            </w:r>
          </w:p>
        </w:tc>
        <w:tc>
          <w:tcPr>
            <w:tcW w:w="2008" w:type="dxa"/>
            <w:vAlign w:val="center"/>
            <w:hideMark/>
          </w:tcPr>
          <w:p w14:paraId="1F78DFA1"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Retrospective observational</w:t>
            </w:r>
          </w:p>
        </w:tc>
        <w:tc>
          <w:tcPr>
            <w:tcW w:w="1419" w:type="dxa"/>
            <w:vAlign w:val="center"/>
            <w:hideMark/>
          </w:tcPr>
          <w:p w14:paraId="7B27E5F2"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QUADAS-2</w:t>
            </w:r>
          </w:p>
        </w:tc>
        <w:tc>
          <w:tcPr>
            <w:tcW w:w="2181" w:type="dxa"/>
            <w:vAlign w:val="center"/>
            <w:hideMark/>
          </w:tcPr>
          <w:p w14:paraId="44AD798A"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Index-test accuracy; internal validity; reporting bias</w:t>
            </w:r>
          </w:p>
        </w:tc>
        <w:tc>
          <w:tcPr>
            <w:tcW w:w="0" w:type="auto"/>
            <w:vAlign w:val="center"/>
            <w:hideMark/>
          </w:tcPr>
          <w:p w14:paraId="4E1C6A17"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Low</w:t>
            </w:r>
          </w:p>
        </w:tc>
        <w:tc>
          <w:tcPr>
            <w:tcW w:w="0" w:type="auto"/>
            <w:vAlign w:val="center"/>
            <w:hideMark/>
          </w:tcPr>
          <w:p w14:paraId="331ECEB8"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High quality</w:t>
            </w:r>
          </w:p>
        </w:tc>
        <w:tc>
          <w:tcPr>
            <w:tcW w:w="2915" w:type="dxa"/>
            <w:vAlign w:val="center"/>
            <w:hideMark/>
          </w:tcPr>
          <w:p w14:paraId="3FED44EE"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Well-defined adult trauma dataset; trained nurse-triage officers; high inter-observer consistency.</w:t>
            </w:r>
          </w:p>
        </w:tc>
      </w:tr>
      <w:tr w:rsidR="009F6EB9" w:rsidRPr="008F33BB" w14:paraId="56B799C1" w14:textId="77777777" w:rsidTr="002927E6">
        <w:tc>
          <w:tcPr>
            <w:cnfStyle w:val="001000000000" w:firstRow="0" w:lastRow="0" w:firstColumn="1" w:lastColumn="0" w:oddVBand="0" w:evenVBand="0" w:oddHBand="0" w:evenHBand="0" w:firstRowFirstColumn="0" w:firstRowLastColumn="0" w:lastRowFirstColumn="0" w:lastRowLastColumn="0"/>
            <w:tcW w:w="0" w:type="auto"/>
            <w:vAlign w:val="center"/>
          </w:tcPr>
          <w:p w14:paraId="492A83FF" w14:textId="4D4848F4" w:rsidR="009F6EB9" w:rsidRPr="00B8198F" w:rsidRDefault="009F6EB9" w:rsidP="002927E6">
            <w:pPr>
              <w:spacing w:after="160" w:line="278" w:lineRule="auto"/>
              <w:rPr>
                <w:rFonts w:ascii="Times New Roman" w:hAnsi="Times New Roman" w:cs="Times New Roman"/>
                <w:sz w:val="22"/>
                <w:szCs w:val="22"/>
                <w:vertAlign w:val="superscript"/>
              </w:rPr>
            </w:pPr>
            <w:r w:rsidRPr="00C161DD">
              <w:rPr>
                <w:rFonts w:ascii="Times New Roman" w:hAnsi="Times New Roman" w:cs="Times New Roman"/>
                <w:sz w:val="22"/>
                <w:szCs w:val="22"/>
              </w:rPr>
              <w:lastRenderedPageBreak/>
              <w:t>Wangara et al., 2019 – Kenya</w:t>
            </w:r>
            <w:r w:rsidR="00B8198F">
              <w:rPr>
                <w:rFonts w:ascii="Times New Roman" w:hAnsi="Times New Roman" w:cs="Times New Roman"/>
                <w:sz w:val="22"/>
                <w:szCs w:val="22"/>
                <w:vertAlign w:val="superscript"/>
              </w:rPr>
              <w:t>17</w:t>
            </w:r>
          </w:p>
        </w:tc>
        <w:tc>
          <w:tcPr>
            <w:tcW w:w="2008" w:type="dxa"/>
            <w:vAlign w:val="center"/>
          </w:tcPr>
          <w:p w14:paraId="7F16A719"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Cross-sectional observational</w:t>
            </w:r>
          </w:p>
        </w:tc>
        <w:tc>
          <w:tcPr>
            <w:tcW w:w="1419" w:type="dxa"/>
            <w:vAlign w:val="center"/>
          </w:tcPr>
          <w:p w14:paraId="231565A4"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QUADAS-2</w:t>
            </w:r>
          </w:p>
        </w:tc>
        <w:tc>
          <w:tcPr>
            <w:tcW w:w="2181" w:type="dxa"/>
            <w:vAlign w:val="center"/>
          </w:tcPr>
          <w:p w14:paraId="06E90C4A"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Triage accuracy; under- / over-triage; outcome validity</w:t>
            </w:r>
          </w:p>
        </w:tc>
        <w:tc>
          <w:tcPr>
            <w:tcW w:w="0" w:type="auto"/>
            <w:vAlign w:val="center"/>
          </w:tcPr>
          <w:p w14:paraId="35891FD7"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Low</w:t>
            </w:r>
          </w:p>
        </w:tc>
        <w:tc>
          <w:tcPr>
            <w:tcW w:w="0" w:type="auto"/>
            <w:vAlign w:val="center"/>
          </w:tcPr>
          <w:p w14:paraId="68975458"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High quality</w:t>
            </w:r>
          </w:p>
        </w:tc>
        <w:tc>
          <w:tcPr>
            <w:tcW w:w="2915" w:type="dxa"/>
            <w:vAlign w:val="center"/>
          </w:tcPr>
          <w:p w14:paraId="108B9AA0"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SATS implementation; sensitivity 92.2 %, under-triage 7.8 %; large LMIC tertiary ED dataset.</w:t>
            </w:r>
          </w:p>
        </w:tc>
      </w:tr>
      <w:tr w:rsidR="009F6EB9" w:rsidRPr="008F33BB" w14:paraId="063A9292" w14:textId="77777777" w:rsidTr="00292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9272B4" w14:textId="17AB4858" w:rsidR="009F6EB9" w:rsidRPr="00B8198F" w:rsidRDefault="009F6EB9" w:rsidP="002927E6">
            <w:pPr>
              <w:spacing w:after="160" w:line="278" w:lineRule="auto"/>
              <w:rPr>
                <w:rFonts w:ascii="Times New Roman" w:hAnsi="Times New Roman" w:cs="Times New Roman"/>
                <w:sz w:val="22"/>
                <w:szCs w:val="22"/>
                <w:vertAlign w:val="superscript"/>
              </w:rPr>
            </w:pPr>
            <w:r w:rsidRPr="00C161DD">
              <w:rPr>
                <w:rFonts w:ascii="Times New Roman" w:hAnsi="Times New Roman" w:cs="Times New Roman"/>
                <w:sz w:val="22"/>
                <w:szCs w:val="22"/>
              </w:rPr>
              <w:t>Harrison et al., 2012 – Malawi</w:t>
            </w:r>
            <w:r w:rsidR="00B8198F">
              <w:rPr>
                <w:rFonts w:ascii="Times New Roman" w:hAnsi="Times New Roman" w:cs="Times New Roman"/>
                <w:sz w:val="22"/>
                <w:szCs w:val="22"/>
                <w:vertAlign w:val="superscript"/>
              </w:rPr>
              <w:t>18</w:t>
            </w:r>
          </w:p>
        </w:tc>
        <w:tc>
          <w:tcPr>
            <w:tcW w:w="2008" w:type="dxa"/>
            <w:vAlign w:val="center"/>
          </w:tcPr>
          <w:p w14:paraId="79474B50"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Implementation project (pre–post)</w:t>
            </w:r>
          </w:p>
        </w:tc>
        <w:tc>
          <w:tcPr>
            <w:tcW w:w="1419" w:type="dxa"/>
            <w:vAlign w:val="center"/>
          </w:tcPr>
          <w:p w14:paraId="3F2139CB"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ROBINS-I</w:t>
            </w:r>
          </w:p>
        </w:tc>
        <w:tc>
          <w:tcPr>
            <w:tcW w:w="2181" w:type="dxa"/>
            <w:vAlign w:val="center"/>
          </w:tcPr>
          <w:p w14:paraId="78B2F2CA"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Confounding; intervention classification; outcome measurement</w:t>
            </w:r>
          </w:p>
        </w:tc>
        <w:tc>
          <w:tcPr>
            <w:tcW w:w="0" w:type="auto"/>
            <w:vAlign w:val="center"/>
          </w:tcPr>
          <w:p w14:paraId="04192B9E"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Moderate–to–serious</w:t>
            </w:r>
          </w:p>
        </w:tc>
        <w:tc>
          <w:tcPr>
            <w:tcW w:w="0" w:type="auto"/>
            <w:vAlign w:val="center"/>
          </w:tcPr>
          <w:p w14:paraId="54AB062B"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Moderate quality</w:t>
            </w:r>
          </w:p>
        </w:tc>
        <w:tc>
          <w:tcPr>
            <w:tcW w:w="2915" w:type="dxa"/>
            <w:vAlign w:val="center"/>
          </w:tcPr>
          <w:p w14:paraId="40187B2F" w14:textId="77777777" w:rsidR="009F6EB9" w:rsidRPr="00C161DD" w:rsidRDefault="009F6EB9" w:rsidP="002927E6">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Adapted SATS; reliable but uncontrolled pre–post design; confounding possible.</w:t>
            </w:r>
          </w:p>
        </w:tc>
      </w:tr>
      <w:tr w:rsidR="009F6EB9" w:rsidRPr="008F33BB" w14:paraId="51812938" w14:textId="77777777" w:rsidTr="002927E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0158C03" w14:textId="04CDF3C6" w:rsidR="009F6EB9" w:rsidRPr="00B8198F" w:rsidRDefault="009F6EB9" w:rsidP="002927E6">
            <w:pPr>
              <w:spacing w:after="160" w:line="278" w:lineRule="auto"/>
              <w:rPr>
                <w:rFonts w:ascii="Times New Roman" w:hAnsi="Times New Roman" w:cs="Times New Roman"/>
                <w:sz w:val="22"/>
                <w:szCs w:val="22"/>
                <w:vertAlign w:val="superscript"/>
              </w:rPr>
            </w:pPr>
            <w:r w:rsidRPr="00C161DD">
              <w:rPr>
                <w:rFonts w:ascii="Times New Roman" w:hAnsi="Times New Roman" w:cs="Times New Roman"/>
                <w:sz w:val="22"/>
                <w:szCs w:val="22"/>
              </w:rPr>
              <w:t>Mathew et al., 2024 – India</w:t>
            </w:r>
            <w:r w:rsidR="00B8198F">
              <w:rPr>
                <w:rFonts w:ascii="Times New Roman" w:hAnsi="Times New Roman" w:cs="Times New Roman"/>
                <w:sz w:val="22"/>
                <w:szCs w:val="22"/>
                <w:vertAlign w:val="superscript"/>
              </w:rPr>
              <w:t>29</w:t>
            </w:r>
          </w:p>
        </w:tc>
        <w:tc>
          <w:tcPr>
            <w:tcW w:w="2008" w:type="dxa"/>
            <w:vAlign w:val="center"/>
            <w:hideMark/>
          </w:tcPr>
          <w:p w14:paraId="25A8FF92"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Cross-sectional observational (prehospital)</w:t>
            </w:r>
          </w:p>
        </w:tc>
        <w:tc>
          <w:tcPr>
            <w:tcW w:w="1419" w:type="dxa"/>
            <w:vAlign w:val="center"/>
            <w:hideMark/>
          </w:tcPr>
          <w:p w14:paraId="5F614B85"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JBI</w:t>
            </w:r>
          </w:p>
        </w:tc>
        <w:tc>
          <w:tcPr>
            <w:tcW w:w="2181" w:type="dxa"/>
            <w:vAlign w:val="center"/>
            <w:hideMark/>
          </w:tcPr>
          <w:p w14:paraId="329B1219"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Inclusion clarity; measurement validity; confounding control</w:t>
            </w:r>
          </w:p>
        </w:tc>
        <w:tc>
          <w:tcPr>
            <w:tcW w:w="0" w:type="auto"/>
            <w:vAlign w:val="center"/>
            <w:hideMark/>
          </w:tcPr>
          <w:p w14:paraId="02120853"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Moderate</w:t>
            </w:r>
          </w:p>
        </w:tc>
        <w:tc>
          <w:tcPr>
            <w:tcW w:w="0" w:type="auto"/>
            <w:vAlign w:val="center"/>
            <w:hideMark/>
          </w:tcPr>
          <w:p w14:paraId="08D61752"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Acceptable quality</w:t>
            </w:r>
          </w:p>
        </w:tc>
        <w:tc>
          <w:tcPr>
            <w:tcW w:w="2915" w:type="dxa"/>
            <w:vAlign w:val="center"/>
            <w:hideMark/>
          </w:tcPr>
          <w:p w14:paraId="18495CFE" w14:textId="77777777" w:rsidR="009F6EB9" w:rsidRPr="00C161DD" w:rsidRDefault="009F6EB9" w:rsidP="002927E6">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61DD">
              <w:rPr>
                <w:rFonts w:ascii="Times New Roman" w:hAnsi="Times New Roman" w:cs="Times New Roman"/>
                <w:sz w:val="22"/>
                <w:szCs w:val="22"/>
              </w:rPr>
              <w:t>Prehospital RTA triage; consistent measurement but limited control for injury severity / delay.</w:t>
            </w:r>
          </w:p>
        </w:tc>
      </w:tr>
    </w:tbl>
    <w:p w14:paraId="58018B24" w14:textId="6165238F" w:rsidR="00060FB3" w:rsidRPr="00D16800" w:rsidRDefault="00D16800" w:rsidP="00D16800">
      <w:pPr>
        <w:rPr>
          <w:rFonts w:asciiTheme="majorBidi" w:hAnsiTheme="majorBidi" w:cstheme="majorBidi"/>
          <w:sz w:val="22"/>
          <w:szCs w:val="22"/>
        </w:rPr>
      </w:pPr>
      <w:r w:rsidRPr="00D16800">
        <w:rPr>
          <w:rFonts w:asciiTheme="majorBidi" w:hAnsiTheme="majorBidi" w:cstheme="majorBidi"/>
          <w:sz w:val="22"/>
          <w:szCs w:val="22"/>
        </w:rPr>
        <w:t>Note: SATS = South African Triage Scale; RETTS = Rapid Emergency Triage and Treatment System; ISS = Injury Severity Score; RTA = Road Traffic Accident; ICC = Intraclass Correlation Coefficient; LMIC = Low- and Middle-Income Country, QUADAS-2 = Quality Assessment of Diagnostic Accuracy Studies; ROBINS-I = Risk Of Bias In Non-randomized Studies of Interventions; JBI = Joanna Briggs Institute appraisal checklist, Risk-of-bias ratings were assigned according to each validated tool.</w:t>
      </w:r>
    </w:p>
    <w:sectPr w:rsidR="00060FB3" w:rsidRPr="00D16800" w:rsidSect="009F6EB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A18A8"/>
    <w:multiLevelType w:val="multilevel"/>
    <w:tmpl w:val="1E0C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402A90"/>
    <w:multiLevelType w:val="multilevel"/>
    <w:tmpl w:val="2E86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6476614">
    <w:abstractNumId w:val="0"/>
  </w:num>
  <w:num w:numId="2" w16cid:durableId="1132794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C4"/>
    <w:rsid w:val="00060FB3"/>
    <w:rsid w:val="000716C4"/>
    <w:rsid w:val="001652E1"/>
    <w:rsid w:val="00283734"/>
    <w:rsid w:val="002E5A1B"/>
    <w:rsid w:val="003E017D"/>
    <w:rsid w:val="005A69D2"/>
    <w:rsid w:val="008437DF"/>
    <w:rsid w:val="008A456F"/>
    <w:rsid w:val="009F6EB9"/>
    <w:rsid w:val="00AA733D"/>
    <w:rsid w:val="00B8198F"/>
    <w:rsid w:val="00D16800"/>
    <w:rsid w:val="00D309E9"/>
    <w:rsid w:val="00E21F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F62AB"/>
  <w15:chartTrackingRefBased/>
  <w15:docId w15:val="{1DD32620-3D20-4BA7-937D-76F05F00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6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716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716C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716C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716C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71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6C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716C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716C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716C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716C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71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6C4"/>
    <w:rPr>
      <w:rFonts w:eastAsiaTheme="majorEastAsia" w:cstheme="majorBidi"/>
      <w:color w:val="272727" w:themeColor="text1" w:themeTint="D8"/>
    </w:rPr>
  </w:style>
  <w:style w:type="paragraph" w:styleId="Title">
    <w:name w:val="Title"/>
    <w:basedOn w:val="Normal"/>
    <w:next w:val="Normal"/>
    <w:link w:val="TitleChar"/>
    <w:uiPriority w:val="10"/>
    <w:qFormat/>
    <w:rsid w:val="00071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6C4"/>
    <w:pPr>
      <w:spacing w:before="160"/>
      <w:jc w:val="center"/>
    </w:pPr>
    <w:rPr>
      <w:i/>
      <w:iCs/>
      <w:color w:val="404040" w:themeColor="text1" w:themeTint="BF"/>
    </w:rPr>
  </w:style>
  <w:style w:type="character" w:customStyle="1" w:styleId="QuoteChar">
    <w:name w:val="Quote Char"/>
    <w:basedOn w:val="DefaultParagraphFont"/>
    <w:link w:val="Quote"/>
    <w:uiPriority w:val="29"/>
    <w:rsid w:val="000716C4"/>
    <w:rPr>
      <w:i/>
      <w:iCs/>
      <w:color w:val="404040" w:themeColor="text1" w:themeTint="BF"/>
    </w:rPr>
  </w:style>
  <w:style w:type="paragraph" w:styleId="ListParagraph">
    <w:name w:val="List Paragraph"/>
    <w:basedOn w:val="Normal"/>
    <w:uiPriority w:val="34"/>
    <w:qFormat/>
    <w:rsid w:val="000716C4"/>
    <w:pPr>
      <w:ind w:left="720"/>
      <w:contextualSpacing/>
    </w:pPr>
  </w:style>
  <w:style w:type="character" w:styleId="IntenseEmphasis">
    <w:name w:val="Intense Emphasis"/>
    <w:basedOn w:val="DefaultParagraphFont"/>
    <w:uiPriority w:val="21"/>
    <w:qFormat/>
    <w:rsid w:val="000716C4"/>
    <w:rPr>
      <w:i/>
      <w:iCs/>
      <w:color w:val="2E74B5" w:themeColor="accent1" w:themeShade="BF"/>
    </w:rPr>
  </w:style>
  <w:style w:type="paragraph" w:styleId="IntenseQuote">
    <w:name w:val="Intense Quote"/>
    <w:basedOn w:val="Normal"/>
    <w:next w:val="Normal"/>
    <w:link w:val="IntenseQuoteChar"/>
    <w:uiPriority w:val="30"/>
    <w:qFormat/>
    <w:rsid w:val="000716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716C4"/>
    <w:rPr>
      <w:i/>
      <w:iCs/>
      <w:color w:val="2E74B5" w:themeColor="accent1" w:themeShade="BF"/>
    </w:rPr>
  </w:style>
  <w:style w:type="character" w:styleId="IntenseReference">
    <w:name w:val="Intense Reference"/>
    <w:basedOn w:val="DefaultParagraphFont"/>
    <w:uiPriority w:val="32"/>
    <w:qFormat/>
    <w:rsid w:val="000716C4"/>
    <w:rPr>
      <w:b/>
      <w:bCs/>
      <w:smallCaps/>
      <w:color w:val="2E74B5" w:themeColor="accent1" w:themeShade="BF"/>
      <w:spacing w:val="5"/>
    </w:rPr>
  </w:style>
  <w:style w:type="table" w:styleId="PlainTable2">
    <w:name w:val="Plain Table 2"/>
    <w:basedOn w:val="TableNormal"/>
    <w:uiPriority w:val="42"/>
    <w:rsid w:val="009F6E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A6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dc:creator>
  <cp:keywords/>
  <dc:description/>
  <cp:lastModifiedBy>Admin</cp:lastModifiedBy>
  <cp:revision>7</cp:revision>
  <dcterms:created xsi:type="dcterms:W3CDTF">2026-02-12T16:34:00Z</dcterms:created>
  <dcterms:modified xsi:type="dcterms:W3CDTF">2026-02-20T04:13:00Z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b0218839-6a39-40ee-994d-314ba94508a3</vt:lpwstr>
  </property>
</Properties>
</file>