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5322E">
      <w:pPr>
        <w:spacing w:line="360" w:lineRule="auto"/>
        <w:rPr>
          <w:b/>
          <w:sz w:val="22"/>
          <w:szCs w:val="28"/>
        </w:rPr>
      </w:pPr>
      <w:r>
        <w:rPr>
          <w:b/>
          <w:sz w:val="22"/>
          <w:szCs w:val="28"/>
        </w:rPr>
        <w:t>Supplementary Materials</w:t>
      </w:r>
    </w:p>
    <w:p w14:paraId="1AE47816">
      <w:pPr>
        <w:spacing w:line="360" w:lineRule="auto"/>
        <w:rPr>
          <w:b/>
          <w:sz w:val="28"/>
          <w:szCs w:val="36"/>
        </w:rPr>
      </w:pPr>
      <w:r>
        <w:rPr>
          <w:b/>
          <w:sz w:val="28"/>
          <w:szCs w:val="36"/>
        </w:rPr>
        <w:drawing>
          <wp:inline distT="0" distB="0" distL="114300" distR="114300">
            <wp:extent cx="5266690" cy="1847850"/>
            <wp:effectExtent l="0" t="0" r="635" b="0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8C6FF">
      <w:pPr>
        <w:spacing w:line="360" w:lineRule="auto"/>
        <w:rPr>
          <w:sz w:val="22"/>
          <w:szCs w:val="28"/>
        </w:rPr>
      </w:pPr>
      <w:r>
        <w:rPr>
          <w:rFonts w:hint="eastAsia"/>
          <w:b/>
          <w:sz w:val="22"/>
          <w:szCs w:val="28"/>
        </w:rPr>
        <w:t>Supplementary Figure S1</w:t>
      </w:r>
    </w:p>
    <w:p w14:paraId="455029D8">
      <w:pPr>
        <w:numPr>
          <w:ilvl w:val="0"/>
          <w:numId w:val="1"/>
        </w:numPr>
        <w:spacing w:line="360" w:lineRule="auto"/>
        <w:rPr>
          <w:sz w:val="22"/>
          <w:szCs w:val="28"/>
        </w:rPr>
      </w:pPr>
      <w:r>
        <w:rPr>
          <w:sz w:val="22"/>
          <w:szCs w:val="28"/>
        </w:rPr>
        <w:t>Cumulative distribution function (CDF)</w:t>
      </w:r>
      <w:r>
        <w:rPr>
          <w:rFonts w:hint="eastAsia"/>
          <w:sz w:val="22"/>
          <w:szCs w:val="28"/>
          <w:lang w:eastAsia="zh-CN"/>
        </w:rPr>
        <w:t>；（</w:t>
      </w:r>
      <w:r>
        <w:rPr>
          <w:rFonts w:hint="eastAsia"/>
          <w:sz w:val="22"/>
          <w:szCs w:val="28"/>
          <w:lang w:val="en-US" w:eastAsia="zh-CN"/>
        </w:rPr>
        <w:t>B</w:t>
      </w:r>
      <w:r>
        <w:rPr>
          <w:rFonts w:hint="eastAsia"/>
          <w:sz w:val="22"/>
          <w:szCs w:val="28"/>
          <w:lang w:eastAsia="zh-CN"/>
        </w:rPr>
        <w:t>）</w:t>
      </w:r>
      <w:r>
        <w:rPr>
          <w:sz w:val="22"/>
          <w:szCs w:val="28"/>
        </w:rPr>
        <w:t>Delta area plot</w:t>
      </w:r>
      <w:r>
        <w:rPr>
          <w:rFonts w:hint="eastAsia"/>
          <w:sz w:val="22"/>
          <w:szCs w:val="28"/>
          <w:lang w:eastAsia="zh-CN"/>
        </w:rPr>
        <w:t>；（</w:t>
      </w:r>
      <w:r>
        <w:rPr>
          <w:rFonts w:hint="eastAsia"/>
          <w:sz w:val="22"/>
          <w:szCs w:val="28"/>
          <w:lang w:val="en-US" w:eastAsia="zh-CN"/>
        </w:rPr>
        <w:t>C</w:t>
      </w:r>
      <w:r>
        <w:rPr>
          <w:rFonts w:hint="eastAsia"/>
          <w:sz w:val="22"/>
          <w:szCs w:val="28"/>
          <w:lang w:eastAsia="zh-CN"/>
        </w:rPr>
        <w:t>）</w:t>
      </w:r>
      <w:r>
        <w:rPr>
          <w:sz w:val="22"/>
          <w:szCs w:val="28"/>
        </w:rPr>
        <w:t xml:space="preserve">PCA depicted the distribution for clusters of cuproptosis-related genes. </w:t>
      </w:r>
    </w:p>
    <w:p w14:paraId="1A19B374">
      <w:pPr>
        <w:widowControl/>
        <w:jc w:val="left"/>
        <w:rPr>
          <w:b/>
          <w:bCs/>
          <w:sz w:val="22"/>
          <w:szCs w:val="28"/>
        </w:rPr>
      </w:pPr>
    </w:p>
    <w:p w14:paraId="19AF0F2D">
      <w:pPr>
        <w:widowControl/>
        <w:jc w:val="left"/>
        <w:rPr>
          <w:rFonts w:hint="eastAsia" w:eastAsia="宋体"/>
          <w:b/>
          <w:bCs/>
          <w:sz w:val="22"/>
          <w:szCs w:val="28"/>
          <w:lang w:eastAsia="zh-CN"/>
        </w:rPr>
      </w:pPr>
      <w:r>
        <w:rPr>
          <w:rFonts w:hint="eastAsia" w:eastAsia="宋体"/>
          <w:b/>
          <w:bCs/>
          <w:sz w:val="22"/>
          <w:szCs w:val="28"/>
          <w:lang w:eastAsia="zh-CN"/>
        </w:rPr>
        <w:drawing>
          <wp:inline distT="0" distB="0" distL="114300" distR="114300">
            <wp:extent cx="5074920" cy="3166745"/>
            <wp:effectExtent l="0" t="0" r="5080" b="8255"/>
            <wp:docPr id="4" name="图片 4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EA889">
      <w:pPr>
        <w:spacing w:line="360" w:lineRule="auto"/>
        <w:rPr>
          <w:b/>
          <w:sz w:val="22"/>
          <w:szCs w:val="28"/>
        </w:rPr>
      </w:pPr>
      <w:r>
        <w:rPr>
          <w:rFonts w:hint="eastAsia"/>
          <w:b/>
          <w:sz w:val="22"/>
          <w:szCs w:val="28"/>
        </w:rPr>
        <w:t>Supplementary Figure S</w:t>
      </w:r>
      <w:r>
        <w:rPr>
          <w:b/>
          <w:sz w:val="22"/>
          <w:szCs w:val="28"/>
        </w:rPr>
        <w:t>2</w:t>
      </w:r>
    </w:p>
    <w:p w14:paraId="2CAD5226">
      <w:pPr>
        <w:spacing w:line="360" w:lineRule="auto"/>
        <w:rPr>
          <w:b/>
          <w:sz w:val="22"/>
          <w:szCs w:val="28"/>
        </w:rPr>
      </w:pPr>
      <w:r>
        <w:rPr>
          <w:sz w:val="22"/>
          <w:szCs w:val="28"/>
        </w:rPr>
        <w:t>Construction of ceRNA network by integrated analysis.</w:t>
      </w:r>
    </w:p>
    <w:p w14:paraId="05662F38">
      <w:pPr>
        <w:spacing w:line="360" w:lineRule="auto"/>
        <w:rPr>
          <w:b/>
          <w:sz w:val="28"/>
          <w:szCs w:val="36"/>
        </w:rPr>
      </w:pPr>
      <w:r>
        <w:rPr>
          <w:rFonts w:hint="eastAsia"/>
          <w:b/>
          <w:sz w:val="28"/>
          <w:szCs w:val="36"/>
        </w:rPr>
        <w:drawing>
          <wp:inline distT="0" distB="0" distL="114300" distR="114300">
            <wp:extent cx="5267960" cy="3006090"/>
            <wp:effectExtent l="0" t="0" r="8890" b="3810"/>
            <wp:docPr id="2" name="图片 2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C1CC9">
      <w:pPr>
        <w:spacing w:line="360" w:lineRule="auto"/>
        <w:rPr>
          <w:sz w:val="22"/>
          <w:szCs w:val="28"/>
        </w:rPr>
      </w:pPr>
      <w:r>
        <w:rPr>
          <w:rFonts w:hint="eastAsia"/>
          <w:b/>
          <w:sz w:val="22"/>
          <w:szCs w:val="28"/>
        </w:rPr>
        <w:t>Supplementary Figure S</w:t>
      </w:r>
      <w:r>
        <w:rPr>
          <w:b/>
          <w:sz w:val="22"/>
          <w:szCs w:val="28"/>
        </w:rPr>
        <w:t>3</w:t>
      </w:r>
    </w:p>
    <w:p w14:paraId="689B322C">
      <w:pPr>
        <w:numPr>
          <w:ilvl w:val="0"/>
          <w:numId w:val="2"/>
        </w:numPr>
        <w:spacing w:line="360" w:lineRule="auto"/>
        <w:rPr>
          <w:sz w:val="22"/>
          <w:szCs w:val="28"/>
        </w:rPr>
      </w:pPr>
      <w:r>
        <w:rPr>
          <w:sz w:val="22"/>
          <w:szCs w:val="28"/>
        </w:rPr>
        <w:t>The heatmaps of the DEGs in low expression group and high expression group among SLC6A6, AC067930.4 and miR-375</w:t>
      </w:r>
      <w:r>
        <w:rPr>
          <w:rFonts w:hint="eastAsia"/>
          <w:sz w:val="22"/>
          <w:szCs w:val="28"/>
          <w:lang w:eastAsia="zh-CN"/>
        </w:rPr>
        <w:t>；（</w:t>
      </w:r>
      <w:r>
        <w:rPr>
          <w:rFonts w:hint="eastAsia"/>
          <w:sz w:val="22"/>
          <w:szCs w:val="28"/>
          <w:lang w:val="en-US" w:eastAsia="zh-CN"/>
        </w:rPr>
        <w:t>B</w:t>
      </w:r>
      <w:r>
        <w:rPr>
          <w:rFonts w:hint="eastAsia"/>
          <w:sz w:val="22"/>
          <w:szCs w:val="28"/>
          <w:lang w:eastAsia="zh-CN"/>
        </w:rPr>
        <w:t>）</w:t>
      </w:r>
      <w:r>
        <w:rPr>
          <w:sz w:val="22"/>
          <w:szCs w:val="28"/>
        </w:rPr>
        <w:t>The volcano plots of differential expression analysis of SLC6A6, AC067930.4 and miR-375 in low expression group and high expression group.</w:t>
      </w:r>
    </w:p>
    <w:p w14:paraId="6AC87375">
      <w:pPr>
        <w:widowControl/>
        <w:jc w:val="left"/>
        <w:rPr>
          <w:b/>
          <w:bCs/>
          <w:sz w:val="22"/>
          <w:szCs w:val="28"/>
        </w:rPr>
      </w:pPr>
    </w:p>
    <w:p w14:paraId="25D7F152">
      <w:pPr>
        <w:jc w:val="center"/>
        <w:rPr>
          <w:rFonts w:ascii="Times New Roman Regular" w:hAnsi="Times New Roman Regular" w:cs="Times New Roman Regular"/>
          <w:b/>
          <w:bCs/>
          <w:sz w:val="24"/>
        </w:rPr>
      </w:pPr>
      <w:r>
        <w:rPr>
          <w:rFonts w:ascii="Times New Roman Regular" w:hAnsi="Times New Roman Regular" w:cs="Times New Roman Regular"/>
          <w:b/>
          <w:bCs/>
          <w:sz w:val="24"/>
        </w:rPr>
        <w:t xml:space="preserve">Supplementary Table 1 </w:t>
      </w:r>
      <w:r>
        <w:rPr>
          <w:rFonts w:ascii="Times New Roman Regular" w:hAnsi="Times New Roman Regular" w:cs="Times New Roman Regular"/>
          <w:color w:val="000000"/>
          <w:kern w:val="0"/>
          <w:sz w:val="24"/>
          <w:lang w:bidi="ar"/>
        </w:rPr>
        <w:t>The sequence of siRNA</w:t>
      </w:r>
    </w:p>
    <w:tbl>
      <w:tblPr>
        <w:tblStyle w:val="5"/>
        <w:tblW w:w="0" w:type="auto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69"/>
        <w:gridCol w:w="3680"/>
      </w:tblGrid>
      <w:tr w14:paraId="41C1C80B">
        <w:trPr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6851A1B7">
            <w:pPr>
              <w:keepNext/>
              <w:snapToGrid w:val="0"/>
              <w:jc w:val="center"/>
              <w:rPr>
                <w:rFonts w:ascii="Times New Roman Regular" w:hAnsi="Times New Roman Regular" w:eastAsia="微软雅黑" w:cs="Times New Roman Regular"/>
                <w:b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sz w:val="24"/>
              </w:rPr>
              <w:t>gene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B5DBE6">
            <w:pPr>
              <w:keepNext/>
              <w:snapToGrid w:val="0"/>
              <w:jc w:val="center"/>
              <w:rPr>
                <w:rFonts w:ascii="Times New Roman Regular" w:hAnsi="Times New Roman Regular" w:cs="Times New Roman Regular"/>
                <w:b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 xml:space="preserve">Sequence </w:t>
            </w:r>
            <w:r>
              <w:rPr>
                <w:rFonts w:ascii="Times New Roman Regular" w:hAnsi="Times New Roman Regular" w:cs="Times New Roman Regular"/>
                <w:b/>
                <w:sz w:val="24"/>
              </w:rPr>
              <w:t>(5'→3')</w:t>
            </w:r>
          </w:p>
        </w:tc>
      </w:tr>
      <w:tr w14:paraId="15A2B3AD"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42241E65">
            <w:pPr>
              <w:keepNext/>
              <w:snapToGrid w:val="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lang w:bidi="ar"/>
              </w:rPr>
              <w:t>siSLC6A6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AEDEB5">
            <w:pPr>
              <w:keepNext/>
              <w:snapToGrid w:val="0"/>
              <w:jc w:val="left"/>
              <w:rPr>
                <w:rFonts w:ascii="Times New Roman Regular" w:hAnsi="Times New Roman Regular" w:cs="Times New Roman Regular" w:eastAsiaTheme="minorEastAsia"/>
                <w:sz w:val="24"/>
              </w:rPr>
            </w:pPr>
            <w:r>
              <w:rPr>
                <w:rStyle w:val="8"/>
                <w:rFonts w:ascii="Times New Roman Regular" w:hAnsi="Times New Roman Regular" w:cs="Times New Roman Regular"/>
                <w:lang w:bidi="ar"/>
              </w:rPr>
              <w:t>GACACTCTTGTTCTTGCGCA</w:t>
            </w:r>
          </w:p>
        </w:tc>
      </w:tr>
    </w:tbl>
    <w:p w14:paraId="1DD3B94F">
      <w:pPr>
        <w:rPr>
          <w:rFonts w:ascii="Times New Roman Regular" w:hAnsi="Times New Roman Regular" w:cs="Times New Roman Regular"/>
          <w:sz w:val="24"/>
        </w:rPr>
      </w:pPr>
    </w:p>
    <w:p w14:paraId="1A9F73C8">
      <w:pPr>
        <w:rPr>
          <w:rFonts w:ascii="Times New Roman Regular" w:hAnsi="Times New Roman Regular" w:cs="Times New Roman Regular"/>
          <w:sz w:val="24"/>
        </w:rPr>
      </w:pPr>
    </w:p>
    <w:p w14:paraId="4FC83AF9">
      <w:pPr>
        <w:rPr>
          <w:rFonts w:ascii="Times New Roman Regular" w:hAnsi="Times New Roman Regular" w:cs="Times New Roman Regular"/>
          <w:sz w:val="24"/>
        </w:rPr>
      </w:pPr>
    </w:p>
    <w:p w14:paraId="5E78CDC9">
      <w:pPr>
        <w:jc w:val="center"/>
        <w:rPr>
          <w:rFonts w:ascii="Times New Roman Regular" w:hAnsi="Times New Roman Regular" w:cs="Times New Roman Regular"/>
          <w:b/>
          <w:bCs/>
          <w:sz w:val="24"/>
        </w:rPr>
      </w:pPr>
      <w:r>
        <w:rPr>
          <w:rFonts w:ascii="Times New Roman Regular" w:hAnsi="Times New Roman Regular" w:cs="Times New Roman Regular"/>
          <w:b/>
          <w:bCs/>
          <w:sz w:val="24"/>
        </w:rPr>
        <w:t xml:space="preserve">Supplementary Table 2 </w:t>
      </w:r>
      <w:r>
        <w:rPr>
          <w:rFonts w:ascii="Times New Roman Regular" w:hAnsi="Times New Roman Regular" w:cs="Times New Roman Regular"/>
          <w:color w:val="000000"/>
          <w:kern w:val="0"/>
          <w:sz w:val="24"/>
          <w:lang w:bidi="ar"/>
        </w:rPr>
        <w:t>The sequence of primer</w:t>
      </w:r>
    </w:p>
    <w:tbl>
      <w:tblPr>
        <w:tblStyle w:val="5"/>
        <w:tblW w:w="5702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9"/>
        <w:gridCol w:w="4294"/>
      </w:tblGrid>
      <w:tr w14:paraId="351C3705">
        <w:trPr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B7B79CD">
            <w:pPr>
              <w:keepNext/>
              <w:snapToGrid w:val="0"/>
              <w:jc w:val="center"/>
              <w:rPr>
                <w:rFonts w:ascii="Times New Roman Regular" w:hAnsi="Times New Roman Regular" w:eastAsia="微软雅黑" w:cs="Times New Roman Regular"/>
                <w:b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sz w:val="24"/>
              </w:rPr>
              <w:t>gene</w:t>
            </w:r>
          </w:p>
        </w:tc>
        <w:tc>
          <w:tcPr>
            <w:tcW w:w="4193" w:type="dxa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FC88E3">
            <w:pPr>
              <w:keepNext/>
              <w:snapToGrid w:val="0"/>
              <w:jc w:val="center"/>
              <w:rPr>
                <w:rFonts w:ascii="Times New Roman Regular" w:hAnsi="Times New Roman Regular" w:cs="Times New Roman Regular"/>
                <w:b/>
                <w:sz w:val="24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24"/>
              </w:rPr>
              <w:t xml:space="preserve">Primer sequence </w:t>
            </w:r>
            <w:r>
              <w:rPr>
                <w:rFonts w:ascii="Times New Roman Regular" w:hAnsi="Times New Roman Regular" w:cs="Times New Roman Regular"/>
                <w:b/>
                <w:sz w:val="24"/>
              </w:rPr>
              <w:t>(5'→3')</w:t>
            </w:r>
          </w:p>
        </w:tc>
      </w:tr>
      <w:tr w14:paraId="7021A1C2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16778A65">
            <w:pPr>
              <w:keepNext/>
              <w:snapToGrid w:val="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lang w:bidi="ar"/>
              </w:rPr>
              <w:t>MFN2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04F46D">
            <w:pPr>
              <w:keepNext/>
              <w:snapToGrid w:val="0"/>
              <w:jc w:val="left"/>
              <w:rPr>
                <w:rFonts w:ascii="Times New Roman Regular" w:hAnsi="Times New Roman Regular" w:cs="Times New Roman Regular" w:eastAsiaTheme="minorEastAsia"/>
                <w:sz w:val="24"/>
              </w:rPr>
            </w:pPr>
            <w:r>
              <w:rPr>
                <w:rFonts w:ascii="Times New Roman Regular" w:hAnsi="Times New Roman Regular" w:cs="Times New Roman Regular"/>
                <w:sz w:val="24"/>
              </w:rPr>
              <w:t>F: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lang w:bidi="ar"/>
              </w:rPr>
              <w:t>AGACAACAGACACGCGAGGT</w:t>
            </w:r>
            <w:r>
              <w:rPr>
                <w:rFonts w:ascii="Times New Roman Regular" w:hAnsi="Times New Roman Regular" w:cs="Times New Roman Regular"/>
                <w:sz w:val="24"/>
              </w:rPr>
              <w:t>；R: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lang w:bidi="ar"/>
              </w:rPr>
              <w:t>GGCCATCTCCTTGGTTTGGGA</w:t>
            </w:r>
          </w:p>
        </w:tc>
      </w:tr>
      <w:tr w14:paraId="72249EA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5547771B">
            <w:pPr>
              <w:keepNext/>
              <w:snapToGrid w:val="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lang w:bidi="ar"/>
              </w:rPr>
              <w:t>has-miR-375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B1194E">
            <w:pPr>
              <w:keepNext/>
              <w:snapToGrid w:val="0"/>
              <w:jc w:val="left"/>
              <w:rPr>
                <w:rFonts w:ascii="Times New Roman Regular" w:hAnsi="Times New Roman Regular" w:cs="Times New Roman Regular" w:eastAsiaTheme="minorEastAsia"/>
                <w:sz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lang w:bidi="ar"/>
              </w:rPr>
              <w:t>TTTGTTCGTTCGGCTCGCGTGA</w:t>
            </w:r>
          </w:p>
        </w:tc>
      </w:tr>
      <w:tr w14:paraId="64432DE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-1" w:type="dxa"/>
              <w:bottom w:w="150" w:type="dxa"/>
              <w:right w:w="240" w:type="dxa"/>
            </w:tcMar>
            <w:vAlign w:val="center"/>
          </w:tcPr>
          <w:p w14:paraId="01E733EE">
            <w:pPr>
              <w:keepNext/>
              <w:snapToGrid w:val="0"/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lang w:bidi="ar"/>
              </w:rPr>
              <w:t>AC067930.4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BFDB0C">
            <w:pPr>
              <w:keepNext/>
              <w:snapToGrid w:val="0"/>
              <w:jc w:val="left"/>
              <w:rPr>
                <w:rFonts w:ascii="Times New Roman Regular" w:hAnsi="Times New Roman Regular" w:cs="Times New Roman Regular" w:eastAsiaTheme="minorEastAsia"/>
                <w:sz w:val="24"/>
              </w:rPr>
            </w:pPr>
            <w:bookmarkStart w:id="0" w:name="_GoBack"/>
            <w:r>
              <w:rPr>
                <w:rFonts w:ascii="Times New Roman Regular" w:hAnsi="Times New Roman Regular" w:cs="Times New Roman Regular"/>
                <w:sz w:val="24"/>
              </w:rPr>
              <w:t xml:space="preserve">F: 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lang w:bidi="ar"/>
              </w:rPr>
              <w:t>GCCACCGCGCCCGGCCCA</w:t>
            </w:r>
            <w:r>
              <w:rPr>
                <w:rFonts w:ascii="Times New Roman Regular" w:hAnsi="Times New Roman Regular" w:cs="Times New Roman Regular"/>
                <w:sz w:val="24"/>
              </w:rPr>
              <w:t>；R: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4"/>
                <w:lang w:bidi="ar"/>
              </w:rPr>
              <w:t>GGCAGGGCAGCATATTAA</w:t>
            </w:r>
          </w:p>
          <w:bookmarkEnd w:id="0"/>
        </w:tc>
      </w:tr>
    </w:tbl>
    <w:p w14:paraId="0045FAC0">
      <w:pPr>
        <w:rPr>
          <w:rFonts w:ascii="Times New Roman Regular" w:hAnsi="Times New Roman Regular" w:cs="Times New Roman Regular"/>
          <w:sz w:val="24"/>
        </w:rPr>
      </w:pPr>
    </w:p>
    <w:p w14:paraId="7F0CE428"/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Rockwell">
    <w:panose1 w:val="02060503020205020403"/>
    <w:charset w:val="00"/>
    <w:family w:val="roman"/>
    <w:pitch w:val="default"/>
    <w:sig w:usb0="810002EF" w:usb1="0000000A" w:usb2="00000000" w:usb3="00000000" w:csb0="0000019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1E2BF">
    <w:pPr>
      <w:pStyle w:val="3"/>
    </w:pPr>
    <w: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171767555" name="Text Box 3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D4841E">
                          <w:pP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6" o:spt="202" alt="Information Classification: General" type="#_x0000_t202" style="position:absolute;left:0pt;height:25.55pt;width:163.55pt;mso-position-horizontal:left;mso-position-horizontal-relative:page;mso-position-vertical:bottom;mso-position-vertical-relative:page;mso-wrap-style:none;z-index:251661312;v-text-anchor:bottom;mso-width-relative:page;mso-height-relative:page;" filled="f" stroked="f" coordsize="21600,21600" o:gfxdata="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DdY4p0wAAAAQBAAAPAAAAAAAAAAEAIAAAACIAAABk&#10;cnMvZG93bnJldi54bWxQSwECFAAUAAAACACHTuJAZBxBaUQCAACJBAAADgAAAAAAAAABACAAAAAi&#10;AQAAZHJzL2Uyb0RvYy54bWxQSwUGAAAAAAYABgBZAQAA2A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19D4841E"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29D63">
    <w:pPr>
      <w:pStyle w:val="3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615989613" name="Text Box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F17FD0">
                          <w:pP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alt="Information Classification: General" type="#_x0000_t202" style="position:absolute;left:0pt;height:25.55pt;width:163.5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3WOKdMAAAAEAQAADwAAAAAAAAABACAAAAAiAAAA&#10;ZHJzL2Rvd25yZXYueG1sUEsBAhQAFAAAAAgAh07iQPR4lINFAgAAiQQAAA4AAAAAAAAAAQAgAAAA&#10;IgEAAGRycy9lMm9Eb2MueG1sUEsFBgAAAAAGAAYAWQEAANkFAAAAAA=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55F17FD0"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0935F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2005796889" name="Text Box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2CEAF2">
                          <w:pP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hAnsi="Rockwell" w:eastAsia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alt="Information Classification: General" type="#_x0000_t202" style="position:absolute;left:0pt;height:25.55pt;width:163.55pt;mso-position-horizontal:left;mso-position-horizontal-relative:page;mso-position-vertical:bottom;mso-position-vertical-relative:page;mso-wrap-style:none;z-index:251659264;v-text-anchor:bottom;mso-width-relative:page;mso-height-relative:page;" filled="f" stroked="f" coordsize="21600,21600" o:gfxdata="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DdY4p0wAAAAQBAAAPAAAAAAAAAAEAIAAAACIAAABk&#10;cnMvZG93bnJldi54bWxQSwECFAAUAAAACACHTuJAyPz2fUQCAACJBAAADgAAAAAAAAABACAAAAAi&#10;AQAAZHJzL2Uyb0RvYy54bWxQSwUGAAAAAAYABgBZAQAA2A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562CEAF2">
                    <w:pP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hAnsi="Rockwell" w:eastAsia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9FBE99"/>
    <w:multiLevelType w:val="multilevel"/>
    <w:tmpl w:val="BD9FBE99"/>
    <w:lvl w:ilvl="0" w:tentative="0">
      <w:start w:val="1"/>
      <w:numFmt w:val="upperLetter"/>
      <w:suff w:val="space"/>
      <w:lvlText w:val="(%1)"/>
      <w:lvlJc w:val="left"/>
      <w:rPr>
        <w:rFonts w:hint="default"/>
        <w:u w:val="none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1">
    <w:nsid w:val="C9B9E022"/>
    <w:multiLevelType w:val="multilevel"/>
    <w:tmpl w:val="C9B9E022"/>
    <w:lvl w:ilvl="0" w:tentative="0">
      <w:start w:val="1"/>
      <w:numFmt w:val="upperLetter"/>
      <w:suff w:val="space"/>
      <w:lvlText w:val="(%1)"/>
      <w:lvlJc w:val="left"/>
      <w:rPr>
        <w:rFonts w:hint="default"/>
        <w:u w:val="none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030"/>
    <w:rsid w:val="001D65D0"/>
    <w:rsid w:val="004B0CD4"/>
    <w:rsid w:val="004E5030"/>
    <w:rsid w:val="007A537A"/>
    <w:rsid w:val="00A90706"/>
    <w:rsid w:val="00AA04A3"/>
    <w:rsid w:val="00B15391"/>
    <w:rsid w:val="00C82F66"/>
    <w:rsid w:val="00DA6617"/>
    <w:rsid w:val="00EC4699"/>
    <w:rsid w:val="00F533C1"/>
    <w:rsid w:val="00F87ECE"/>
    <w:rsid w:val="04906B6E"/>
    <w:rsid w:val="24544589"/>
    <w:rsid w:val="2A5643FC"/>
    <w:rsid w:val="3A4309FB"/>
    <w:rsid w:val="3ECBE492"/>
    <w:rsid w:val="BDFB67F3"/>
    <w:rsid w:val="D9EDF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iPriority w:val="0"/>
    <w:rPr>
      <w:sz w:val="20"/>
      <w:szCs w:val="20"/>
    </w:rPr>
  </w:style>
  <w:style w:type="paragraph" w:styleId="3">
    <w:name w:val="footer"/>
    <w:basedOn w:val="1"/>
    <w:link w:val="9"/>
    <w:uiPriority w:val="0"/>
    <w:pPr>
      <w:tabs>
        <w:tab w:val="center" w:pos="4513"/>
        <w:tab w:val="right" w:pos="9026"/>
      </w:tabs>
    </w:pPr>
  </w:style>
  <w:style w:type="paragraph" w:styleId="4">
    <w:name w:val="annotation subject"/>
    <w:basedOn w:val="2"/>
    <w:next w:val="2"/>
    <w:link w:val="12"/>
    <w:uiPriority w:val="0"/>
    <w:rPr>
      <w:b/>
      <w:bCs/>
    </w:rPr>
  </w:style>
  <w:style w:type="character" w:styleId="7">
    <w:name w:val="annotation reference"/>
    <w:basedOn w:val="6"/>
    <w:uiPriority w:val="0"/>
    <w:rPr>
      <w:sz w:val="16"/>
      <w:szCs w:val="16"/>
    </w:rPr>
  </w:style>
  <w:style w:type="character" w:customStyle="1" w:styleId="8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oter Char"/>
    <w:basedOn w:val="6"/>
    <w:link w:val="3"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/>
    </w:rPr>
  </w:style>
  <w:style w:type="paragraph" w:customStyle="1" w:styleId="10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1">
    <w:name w:val="Comment Text Char"/>
    <w:basedOn w:val="6"/>
    <w:link w:val="2"/>
    <w:uiPriority w:val="0"/>
    <w:rPr>
      <w:rFonts w:ascii="Times New Roman" w:hAnsi="Times New Roman" w:eastAsia="宋体" w:cs="Times New Roman"/>
      <w:kern w:val="2"/>
      <w:lang w:val="en-US" w:eastAsia="zh-CN"/>
    </w:rPr>
  </w:style>
  <w:style w:type="character" w:customStyle="1" w:styleId="12">
    <w:name w:val="Comment Subject Char"/>
    <w:basedOn w:val="11"/>
    <w:link w:val="4"/>
    <w:uiPriority w:val="0"/>
    <w:rPr>
      <w:rFonts w:ascii="Times New Roman" w:hAnsi="Times New Roman" w:eastAsia="宋体" w:cs="Times New Roman"/>
      <w:b/>
      <w:bCs/>
      <w:kern w:val="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tiff"/><Relationship Id="rId8" Type="http://schemas.openxmlformats.org/officeDocument/2006/relationships/image" Target="media/image2.tiff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</Words>
  <Characters>749</Characters>
  <Lines>6</Lines>
  <Paragraphs>1</Paragraphs>
  <TotalTime>4</TotalTime>
  <ScaleCrop>false</ScaleCrop>
  <LinksUpToDate>false</LinksUpToDate>
  <CharactersWithSpaces>879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2026-04-23T17:25:00Z</dcterms:created>
  <dc:creator>风思雅</dc:creator>
  <cp:lastModifiedBy>清心</cp:lastModifiedBy>
  <dcterms:modified xsi:type="dcterms:W3CDTF">2026-04-26T18:04:35Z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KSOTemplateDocerSaveRecord">
    <vt:lpwstr>eyJoZGlkIjoiNDA2NjQ5ZWUyMjE3ZGRkMzBlZmMxNjNmZWRhMjY2YzciLCJ1c2VySWQiOiI3MjAyOTg0NjQifQ==</vt:lpwstr>
  </property>
  <property fmtid="{D5CDD505-2E9C-101B-9397-08002B2CF9AE}" pid="4" name="ICV">
    <vt:lpwstr>94FF5C61946E47C193D6B06609D08914_12</vt:lpwstr>
  </property>
  <property fmtid="{D5CDD505-2E9C-101B-9397-08002B2CF9AE}" pid="5" name="ClassificationContentMarkingFooterShapeIds">
    <vt:lpwstr>778e0819,60520b6d,45d7c103</vt:lpwstr>
  </property>
  <property fmtid="{D5CDD505-2E9C-101B-9397-08002B2CF9AE}" pid="6" name="ClassificationContentMarkingFooterFontProps">
    <vt:lpwstr>#0078d7,9,Rockwell</vt:lpwstr>
  </property>
  <property fmtid="{D5CDD505-2E9C-101B-9397-08002B2CF9AE}" pid="7" name="ClassificationContentMarkingFooterText">
    <vt:lpwstr>Information Classification: General</vt:lpwstr>
  </property>
  <property fmtid="{D5CDD505-2E9C-101B-9397-08002B2CF9AE}" pid="8" name="MSIP_Label_2bbab825-a111-45e4-86a1-18cee0005896_Enabled">
    <vt:lpwstr>true</vt:lpwstr>
  </property>
  <property fmtid="{D5CDD505-2E9C-101B-9397-08002B2CF9AE}" pid="9" name="MSIP_Label_2bbab825-a111-45e4-86a1-18cee0005896_SetDate">
    <vt:lpwstr>2026-04-23T01:25:53Z</vt:lpwstr>
  </property>
  <property fmtid="{D5CDD505-2E9C-101B-9397-08002B2CF9AE}" pid="10" name="MSIP_Label_2bbab825-a111-45e4-86a1-18cee0005896_Method">
    <vt:lpwstr>Standard</vt:lpwstr>
  </property>
  <property fmtid="{D5CDD505-2E9C-101B-9397-08002B2CF9AE}" pid="11" name="MSIP_Label_2bbab825-a111-45e4-86a1-18cee0005896_Name">
    <vt:lpwstr>2bbab825-a111-45e4-86a1-18cee0005896</vt:lpwstr>
  </property>
  <property fmtid="{D5CDD505-2E9C-101B-9397-08002B2CF9AE}" pid="12" name="MSIP_Label_2bbab825-a111-45e4-86a1-18cee0005896_SiteId">
    <vt:lpwstr>2567d566-604c-408a-8a60-55d0dc9d9d6b</vt:lpwstr>
  </property>
  <property fmtid="{D5CDD505-2E9C-101B-9397-08002B2CF9AE}" pid="13" name="MSIP_Label_2bbab825-a111-45e4-86a1-18cee0005896_ActionId">
    <vt:lpwstr>181aef9c-ba04-4b32-8c60-1e9f3bde5314</vt:lpwstr>
  </property>
  <property fmtid="{D5CDD505-2E9C-101B-9397-08002B2CF9AE}" pid="14" name="MSIP_Label_2bbab825-a111-45e4-86a1-18cee0005896_ContentBits">
    <vt:lpwstr>2</vt:lpwstr>
  </property>
  <property fmtid="{D5CDD505-2E9C-101B-9397-08002B2CF9AE}" pid="15" name="MSIP_Label_2bbab825-a111-45e4-86a1-18cee0005896_Tag">
    <vt:lpwstr>10, 3, 0, 1</vt:lpwstr>
  </property>
</Properties>
</file>