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B47CF">
      <w:pPr>
        <w:pStyle w:val="4"/>
        <w:spacing w:line="480" w:lineRule="auto"/>
        <w:rPr>
          <w:rFonts w:ascii="Arial" w:hAnsi="Arial" w:cs="Arial"/>
          <w:color w:val="auto"/>
          <w:sz w:val="20"/>
          <w:szCs w:val="20"/>
        </w:rPr>
      </w:pPr>
      <w:bookmarkStart w:id="0" w:name="supplementary-materials"/>
      <w:r>
        <w:rPr>
          <w:rFonts w:ascii="Arial" w:hAnsi="Arial" w:cs="Arial"/>
          <w:b/>
          <w:bCs/>
          <w:color w:val="auto"/>
          <w:sz w:val="20"/>
          <w:szCs w:val="20"/>
        </w:rPr>
        <w:t>Table S1</w:t>
      </w:r>
      <w:r>
        <w:rPr>
          <w:rFonts w:ascii="Arial" w:hAnsi="Arial" w:cs="Arial"/>
          <w:color w:val="auto"/>
          <w:sz w:val="20"/>
          <w:szCs w:val="20"/>
        </w:rPr>
        <w:t xml:space="preserve"> Additional clinical outcomes at baseline and 2 years in BT-treated severe asthma patients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409"/>
        <w:gridCol w:w="2679"/>
        <w:gridCol w:w="1716"/>
      </w:tblGrid>
      <w:tr w14:paraId="04BD166B">
        <w:tc>
          <w:tcPr>
            <w:tcW w:w="2235" w:type="dxa"/>
          </w:tcPr>
          <w:p w14:paraId="103EA64C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2409" w:type="dxa"/>
          </w:tcPr>
          <w:p w14:paraId="4E7E59C5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Responders (n = 22)</w:t>
            </w:r>
          </w:p>
        </w:tc>
        <w:tc>
          <w:tcPr>
            <w:tcW w:w="2679" w:type="dxa"/>
          </w:tcPr>
          <w:p w14:paraId="6046C231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Non-responders (n = 8)</w:t>
            </w:r>
          </w:p>
        </w:tc>
        <w:tc>
          <w:tcPr>
            <w:tcW w:w="1716" w:type="dxa"/>
          </w:tcPr>
          <w:p w14:paraId="1594B3A9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value</w:t>
            </w:r>
          </w:p>
        </w:tc>
      </w:tr>
      <w:tr w14:paraId="713E3B7F">
        <w:tc>
          <w:tcPr>
            <w:tcW w:w="9039" w:type="dxa"/>
            <w:gridSpan w:val="4"/>
          </w:tcPr>
          <w:p w14:paraId="6511A6F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ACQ5 scores</w:t>
            </w:r>
          </w:p>
        </w:tc>
      </w:tr>
      <w:tr w14:paraId="1D142D3B">
        <w:tc>
          <w:tcPr>
            <w:tcW w:w="2235" w:type="dxa"/>
            <w:vAlign w:val="bottom"/>
          </w:tcPr>
          <w:p w14:paraId="7B7D7011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Baseline</w:t>
            </w:r>
          </w:p>
        </w:tc>
        <w:tc>
          <w:tcPr>
            <w:tcW w:w="2409" w:type="dxa"/>
          </w:tcPr>
          <w:p w14:paraId="164142FA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1.96±0.91</w:t>
            </w:r>
          </w:p>
        </w:tc>
        <w:tc>
          <w:tcPr>
            <w:tcW w:w="2679" w:type="dxa"/>
          </w:tcPr>
          <w:p w14:paraId="60B31B9A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2.43±0.89</w:t>
            </w:r>
          </w:p>
        </w:tc>
        <w:tc>
          <w:tcPr>
            <w:tcW w:w="1716" w:type="dxa"/>
          </w:tcPr>
          <w:p w14:paraId="5236D848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0.231</w:t>
            </w:r>
          </w:p>
        </w:tc>
      </w:tr>
      <w:tr w14:paraId="5FC1004D">
        <w:tc>
          <w:tcPr>
            <w:tcW w:w="2235" w:type="dxa"/>
            <w:vAlign w:val="bottom"/>
          </w:tcPr>
          <w:p w14:paraId="2A17F991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years</w:t>
            </w:r>
          </w:p>
        </w:tc>
        <w:tc>
          <w:tcPr>
            <w:tcW w:w="2409" w:type="dxa"/>
          </w:tcPr>
          <w:p w14:paraId="74CDEDF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0.53±0.30*</w:t>
            </w:r>
          </w:p>
        </w:tc>
        <w:tc>
          <w:tcPr>
            <w:tcW w:w="2679" w:type="dxa"/>
          </w:tcPr>
          <w:p w14:paraId="1B2E0E38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2.42±1.17</w:t>
            </w:r>
          </w:p>
        </w:tc>
        <w:tc>
          <w:tcPr>
            <w:tcW w:w="1716" w:type="dxa"/>
          </w:tcPr>
          <w:p w14:paraId="50E441E6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14:paraId="77294B25">
        <w:tc>
          <w:tcPr>
            <w:tcW w:w="2235" w:type="dxa"/>
            <w:vAlign w:val="bottom"/>
          </w:tcPr>
          <w:p w14:paraId="0A356B7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 (2 years - baseline)</w:t>
            </w:r>
          </w:p>
        </w:tc>
        <w:tc>
          <w:tcPr>
            <w:tcW w:w="2409" w:type="dxa"/>
          </w:tcPr>
          <w:p w14:paraId="3E68270B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−1.43±0.80</w:t>
            </w:r>
          </w:p>
        </w:tc>
        <w:tc>
          <w:tcPr>
            <w:tcW w:w="2679" w:type="dxa"/>
          </w:tcPr>
          <w:p w14:paraId="3CAEAC0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0.00±0.44</w:t>
            </w:r>
          </w:p>
        </w:tc>
        <w:tc>
          <w:tcPr>
            <w:tcW w:w="1716" w:type="dxa"/>
          </w:tcPr>
          <w:p w14:paraId="140AA359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14:paraId="31775750">
        <w:tc>
          <w:tcPr>
            <w:tcW w:w="9039" w:type="dxa"/>
            <w:gridSpan w:val="4"/>
          </w:tcPr>
          <w:p w14:paraId="0634C507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Acute exacerbations (per year)</w:t>
            </w:r>
          </w:p>
        </w:tc>
      </w:tr>
      <w:tr w14:paraId="604596C6">
        <w:tc>
          <w:tcPr>
            <w:tcW w:w="2235" w:type="dxa"/>
            <w:vAlign w:val="bottom"/>
          </w:tcPr>
          <w:p w14:paraId="4A5D73A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Baseline</w:t>
            </w:r>
          </w:p>
        </w:tc>
        <w:tc>
          <w:tcPr>
            <w:tcW w:w="2409" w:type="dxa"/>
          </w:tcPr>
          <w:p w14:paraId="7E29999D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4.20±3.74</w:t>
            </w:r>
          </w:p>
        </w:tc>
        <w:tc>
          <w:tcPr>
            <w:tcW w:w="2679" w:type="dxa"/>
          </w:tcPr>
          <w:p w14:paraId="1CF709B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8.38±10.27</w:t>
            </w:r>
          </w:p>
        </w:tc>
        <w:tc>
          <w:tcPr>
            <w:tcW w:w="1716" w:type="dxa"/>
          </w:tcPr>
          <w:p w14:paraId="4C3D21C6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0.607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</w:tr>
      <w:tr w14:paraId="734C798D">
        <w:tc>
          <w:tcPr>
            <w:tcW w:w="2235" w:type="dxa"/>
            <w:vAlign w:val="bottom"/>
          </w:tcPr>
          <w:p w14:paraId="68B60EB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years</w:t>
            </w:r>
          </w:p>
        </w:tc>
        <w:tc>
          <w:tcPr>
            <w:tcW w:w="2409" w:type="dxa"/>
          </w:tcPr>
          <w:p w14:paraId="2B5F1B5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0.30±0.66*</w:t>
            </w:r>
          </w:p>
        </w:tc>
        <w:tc>
          <w:tcPr>
            <w:tcW w:w="2679" w:type="dxa"/>
          </w:tcPr>
          <w:p w14:paraId="7AA9579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5.88±8.82</w:t>
            </w:r>
          </w:p>
        </w:tc>
        <w:tc>
          <w:tcPr>
            <w:tcW w:w="1716" w:type="dxa"/>
          </w:tcPr>
          <w:p w14:paraId="4D91F40D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0.006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</w:tr>
      <w:tr w14:paraId="4631E77F">
        <w:tc>
          <w:tcPr>
            <w:tcW w:w="2235" w:type="dxa"/>
            <w:vAlign w:val="bottom"/>
          </w:tcPr>
          <w:p w14:paraId="57E00677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 (2 years - baseline)</w:t>
            </w:r>
          </w:p>
        </w:tc>
        <w:tc>
          <w:tcPr>
            <w:tcW w:w="2409" w:type="dxa"/>
          </w:tcPr>
          <w:p w14:paraId="4864E0F7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−3.90±3.52</w:t>
            </w:r>
          </w:p>
        </w:tc>
        <w:tc>
          <w:tcPr>
            <w:tcW w:w="2679" w:type="dxa"/>
          </w:tcPr>
          <w:p w14:paraId="6117467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−2.50±4.57</w:t>
            </w:r>
          </w:p>
        </w:tc>
        <w:tc>
          <w:tcPr>
            <w:tcW w:w="1716" w:type="dxa"/>
          </w:tcPr>
          <w:p w14:paraId="54F7EC52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</w:tr>
    </w:tbl>
    <w:p w14:paraId="038AC796">
      <w:pPr>
        <w:pStyle w:val="3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Notes:</w:t>
      </w:r>
      <w:r>
        <w:rPr>
          <w:rFonts w:ascii="Arial" w:hAnsi="Arial" w:cs="Arial"/>
          <w:i/>
          <w:iCs/>
          <w:sz w:val="20"/>
          <w:szCs w:val="20"/>
        </w:rPr>
        <w:t xml:space="preserve"> P</w:t>
      </w:r>
      <w:r>
        <w:rPr>
          <w:rFonts w:hint="eastAsia"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values were calculated using the independent-samples t-test for normally distributed continuous variables.</w:t>
      </w:r>
      <w:r>
        <w:rPr>
          <w:rFonts w:ascii="Arial" w:hAnsi="Arial" w:cs="Arial"/>
          <w:i/>
          <w:iCs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 xml:space="preserve"> values marked with superscript </w:t>
      </w:r>
      <w:r>
        <w:rPr>
          <w:rFonts w:ascii="Arial" w:hAnsi="Arial" w:cs="Arial"/>
          <w:sz w:val="20"/>
          <w:szCs w:val="20"/>
          <w:vertAlign w:val="superscript"/>
        </w:rPr>
        <w:t>a</w:t>
      </w:r>
      <w:r>
        <w:rPr>
          <w:rFonts w:ascii="Arial" w:hAnsi="Arial" w:cs="Arial"/>
          <w:sz w:val="20"/>
          <w:szCs w:val="20"/>
        </w:rPr>
        <w:t xml:space="preserve"> were calculated using the Mann-Whitney U test for non-normally distributed variables, as assessed by the Shapiro-Wilk test. Data are presented as mean ± SD. *</w:t>
      </w:r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&lt; 0.05 versus baseline within the same group, assessed by paired t-test or Wilcoxon signed-rank test, as appropriate. Data in boldface indicate statistical significance (</w:t>
      </w:r>
      <w:r>
        <w:rPr>
          <w:rFonts w:ascii="Arial" w:hAnsi="Arial" w:cs="Arial"/>
          <w:i/>
          <w:iCs/>
          <w:sz w:val="20"/>
          <w:szCs w:val="20"/>
        </w:rPr>
        <w:t xml:space="preserve">P </w:t>
      </w:r>
      <w:r>
        <w:rPr>
          <w:rFonts w:ascii="Arial" w:hAnsi="Arial" w:cs="Arial"/>
          <w:sz w:val="20"/>
          <w:szCs w:val="20"/>
        </w:rPr>
        <w:t>&lt; 0.05). The symbol Δ represents longitudinal change, calculated as the 2-year value minus the baseline value.</w:t>
      </w:r>
    </w:p>
    <w:p w14:paraId="7E176DCD">
      <w:pPr>
        <w:pStyle w:val="3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Abbreviations: </w:t>
      </w:r>
      <w:r>
        <w:rPr>
          <w:rFonts w:ascii="Arial" w:hAnsi="Arial" w:cs="Arial"/>
          <w:sz w:val="20"/>
          <w:szCs w:val="20"/>
        </w:rPr>
        <w:t>BT, bronchial thermoplasty; ACQ5, Asthma Control Questionnaire-5.</w:t>
      </w:r>
    </w:p>
    <w:p w14:paraId="63DC4709">
      <w:pPr>
        <w:pStyle w:val="3"/>
        <w:spacing w:line="480" w:lineRule="auto"/>
        <w:rPr>
          <w:rFonts w:ascii="Arial" w:hAnsi="Arial" w:cs="Arial"/>
          <w:sz w:val="20"/>
          <w:szCs w:val="20"/>
        </w:rPr>
      </w:pPr>
    </w:p>
    <w:p w14:paraId="149DFDF6">
      <w:pPr>
        <w:pStyle w:val="3"/>
        <w:keepNext/>
        <w:keepLines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sz w:val="20"/>
          <w:szCs w:val="20"/>
        </w:rPr>
        <w:t>Table S2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Longitudinal spirometric outcomes at baseline and 2 years in BT-treated severe asthma patients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625"/>
        <w:gridCol w:w="2985"/>
        <w:gridCol w:w="1326"/>
      </w:tblGrid>
      <w:tr w14:paraId="3C7DFEDB">
        <w:tc>
          <w:tcPr>
            <w:tcW w:w="0" w:type="auto"/>
          </w:tcPr>
          <w:p w14:paraId="0C248A1B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2624" w:type="dxa"/>
          </w:tcPr>
          <w:p w14:paraId="70D2E913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Responders (n = 2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84" w:type="dxa"/>
          </w:tcPr>
          <w:p w14:paraId="664471BD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Non-responders (n = 8)</w:t>
            </w:r>
          </w:p>
        </w:tc>
        <w:tc>
          <w:tcPr>
            <w:tcW w:w="1325" w:type="dxa"/>
          </w:tcPr>
          <w:p w14:paraId="6ACC58F7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</w:tr>
      <w:tr w14:paraId="46CFB001">
        <w:tc>
          <w:tcPr>
            <w:tcW w:w="9054" w:type="dxa"/>
            <w:gridSpan w:val="4"/>
          </w:tcPr>
          <w:p w14:paraId="48A6EC9A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Pre-bronchodilator FVC (L)</w:t>
            </w:r>
          </w:p>
        </w:tc>
      </w:tr>
      <w:tr w14:paraId="55117152">
        <w:tc>
          <w:tcPr>
            <w:tcW w:w="0" w:type="auto"/>
            <w:vAlign w:val="bottom"/>
          </w:tcPr>
          <w:p w14:paraId="289FEAF6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Baseline</w:t>
            </w:r>
          </w:p>
        </w:tc>
        <w:tc>
          <w:tcPr>
            <w:tcW w:w="2624" w:type="dxa"/>
            <w:vAlign w:val="bottom"/>
          </w:tcPr>
          <w:p w14:paraId="1A05959E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2.87±1.06</w:t>
            </w:r>
          </w:p>
        </w:tc>
        <w:tc>
          <w:tcPr>
            <w:tcW w:w="2984" w:type="dxa"/>
            <w:vAlign w:val="bottom"/>
          </w:tcPr>
          <w:p w14:paraId="6349955B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3.22±0.91</w:t>
            </w:r>
          </w:p>
        </w:tc>
        <w:tc>
          <w:tcPr>
            <w:tcW w:w="1325" w:type="dxa"/>
            <w:vAlign w:val="bottom"/>
          </w:tcPr>
          <w:p w14:paraId="18F39E6D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0.292</w:t>
            </w:r>
          </w:p>
        </w:tc>
      </w:tr>
      <w:tr w14:paraId="39F794DD">
        <w:tc>
          <w:tcPr>
            <w:tcW w:w="0" w:type="auto"/>
            <w:vAlign w:val="bottom"/>
          </w:tcPr>
          <w:p w14:paraId="193539B2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years</w:t>
            </w:r>
          </w:p>
        </w:tc>
        <w:tc>
          <w:tcPr>
            <w:tcW w:w="2624" w:type="dxa"/>
            <w:vAlign w:val="bottom"/>
          </w:tcPr>
          <w:p w14:paraId="29F3328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3.04±1.10</w:t>
            </w:r>
          </w:p>
        </w:tc>
        <w:tc>
          <w:tcPr>
            <w:tcW w:w="2984" w:type="dxa"/>
            <w:vAlign w:val="bottom"/>
          </w:tcPr>
          <w:p w14:paraId="71E5A50D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2.95±1.31</w:t>
            </w:r>
          </w:p>
        </w:tc>
        <w:tc>
          <w:tcPr>
            <w:tcW w:w="1325" w:type="dxa"/>
            <w:vAlign w:val="bottom"/>
          </w:tcPr>
          <w:p w14:paraId="11F9DF48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0.485</w:t>
            </w:r>
          </w:p>
        </w:tc>
      </w:tr>
      <w:tr w14:paraId="35EB93CC">
        <w:tc>
          <w:tcPr>
            <w:tcW w:w="0" w:type="auto"/>
            <w:vAlign w:val="bottom"/>
          </w:tcPr>
          <w:p w14:paraId="6A16B59A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 (2 years - baseline)</w:t>
            </w:r>
          </w:p>
        </w:tc>
        <w:tc>
          <w:tcPr>
            <w:tcW w:w="2624" w:type="dxa"/>
            <w:vAlign w:val="bottom"/>
          </w:tcPr>
          <w:p w14:paraId="0441D48D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+0.17±0.61</w:t>
            </w:r>
          </w:p>
        </w:tc>
        <w:tc>
          <w:tcPr>
            <w:tcW w:w="2984" w:type="dxa"/>
            <w:vAlign w:val="bottom"/>
          </w:tcPr>
          <w:p w14:paraId="6C83E582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−0.27±0.77</w:t>
            </w:r>
          </w:p>
        </w:tc>
        <w:tc>
          <w:tcPr>
            <w:tcW w:w="1325" w:type="dxa"/>
            <w:vAlign w:val="bottom"/>
          </w:tcPr>
          <w:p w14:paraId="1B08A696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0.292</w:t>
            </w:r>
          </w:p>
        </w:tc>
      </w:tr>
      <w:tr w14:paraId="57BE83D3">
        <w:tc>
          <w:tcPr>
            <w:tcW w:w="9054" w:type="dxa"/>
            <w:gridSpan w:val="4"/>
            <w:vAlign w:val="bottom"/>
          </w:tcPr>
          <w:p w14:paraId="2991C1A4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OLE_LINK9"/>
            <w:bookmarkStart w:id="2" w:name="OLE_LINK1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Pre-bronchodilator FEV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(L)</w:t>
            </w:r>
            <w:bookmarkEnd w:id="1"/>
            <w:bookmarkEnd w:id="2"/>
          </w:p>
        </w:tc>
      </w:tr>
      <w:tr w14:paraId="62FBAE4B">
        <w:tc>
          <w:tcPr>
            <w:tcW w:w="0" w:type="auto"/>
            <w:vAlign w:val="bottom"/>
          </w:tcPr>
          <w:p w14:paraId="42D407E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Baseline</w:t>
            </w:r>
          </w:p>
        </w:tc>
        <w:tc>
          <w:tcPr>
            <w:tcW w:w="2624" w:type="dxa"/>
            <w:vAlign w:val="bottom"/>
          </w:tcPr>
          <w:p w14:paraId="5B40D381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1.85±0.95</w:t>
            </w:r>
          </w:p>
        </w:tc>
        <w:tc>
          <w:tcPr>
            <w:tcW w:w="2984" w:type="dxa"/>
            <w:vAlign w:val="bottom"/>
          </w:tcPr>
          <w:p w14:paraId="60FEF5D8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2.25±0.72</w:t>
            </w:r>
          </w:p>
        </w:tc>
        <w:tc>
          <w:tcPr>
            <w:tcW w:w="1325" w:type="dxa"/>
            <w:vAlign w:val="bottom"/>
          </w:tcPr>
          <w:p w14:paraId="302A549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0.116</w:t>
            </w:r>
          </w:p>
        </w:tc>
      </w:tr>
      <w:tr w14:paraId="6A0F092E">
        <w:tc>
          <w:tcPr>
            <w:tcW w:w="0" w:type="auto"/>
            <w:vAlign w:val="bottom"/>
          </w:tcPr>
          <w:p w14:paraId="6C5A6F1A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years</w:t>
            </w:r>
          </w:p>
        </w:tc>
        <w:tc>
          <w:tcPr>
            <w:tcW w:w="2624" w:type="dxa"/>
            <w:vAlign w:val="bottom"/>
          </w:tcPr>
          <w:p w14:paraId="64651BF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1.98±0.94</w:t>
            </w:r>
          </w:p>
        </w:tc>
        <w:tc>
          <w:tcPr>
            <w:tcW w:w="2984" w:type="dxa"/>
            <w:vAlign w:val="bottom"/>
          </w:tcPr>
          <w:p w14:paraId="15EE1B8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1.85±0.88</w:t>
            </w:r>
          </w:p>
        </w:tc>
        <w:tc>
          <w:tcPr>
            <w:tcW w:w="1325" w:type="dxa"/>
            <w:vAlign w:val="bottom"/>
          </w:tcPr>
          <w:p w14:paraId="6AA22915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0.209</w:t>
            </w:r>
          </w:p>
        </w:tc>
      </w:tr>
      <w:tr w14:paraId="523F67FF">
        <w:tc>
          <w:tcPr>
            <w:tcW w:w="0" w:type="auto"/>
            <w:vAlign w:val="bottom"/>
          </w:tcPr>
          <w:p w14:paraId="5DE021E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 (2 years - baseline)</w:t>
            </w:r>
          </w:p>
        </w:tc>
        <w:tc>
          <w:tcPr>
            <w:tcW w:w="2624" w:type="dxa"/>
            <w:vAlign w:val="bottom"/>
          </w:tcPr>
          <w:p w14:paraId="7A813584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+0.13±0.27</w:t>
            </w:r>
          </w:p>
        </w:tc>
        <w:tc>
          <w:tcPr>
            <w:tcW w:w="2984" w:type="dxa"/>
            <w:vAlign w:val="bottom"/>
          </w:tcPr>
          <w:p w14:paraId="49EEF54D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−0.40±0.68</w:t>
            </w:r>
          </w:p>
        </w:tc>
        <w:tc>
          <w:tcPr>
            <w:tcW w:w="1325" w:type="dxa"/>
            <w:vAlign w:val="bottom"/>
          </w:tcPr>
          <w:p w14:paraId="6F45579F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0.116</w:t>
            </w:r>
          </w:p>
        </w:tc>
      </w:tr>
      <w:tr w14:paraId="4C494FB7">
        <w:tc>
          <w:tcPr>
            <w:tcW w:w="9054" w:type="dxa"/>
            <w:gridSpan w:val="4"/>
            <w:vAlign w:val="bottom"/>
          </w:tcPr>
          <w:p w14:paraId="65857794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Pre-bronchodilator FEV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 predicted)</w:t>
            </w:r>
          </w:p>
        </w:tc>
      </w:tr>
      <w:tr w14:paraId="685D0F12">
        <w:tc>
          <w:tcPr>
            <w:tcW w:w="0" w:type="auto"/>
            <w:vAlign w:val="bottom"/>
          </w:tcPr>
          <w:p w14:paraId="33840F5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Baseline</w:t>
            </w:r>
          </w:p>
        </w:tc>
        <w:tc>
          <w:tcPr>
            <w:tcW w:w="2624" w:type="dxa"/>
            <w:vAlign w:val="bottom"/>
          </w:tcPr>
          <w:p w14:paraId="6C4DAA7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66.76±22.16</w:t>
            </w:r>
          </w:p>
        </w:tc>
        <w:tc>
          <w:tcPr>
            <w:tcW w:w="2984" w:type="dxa"/>
            <w:vAlign w:val="bottom"/>
          </w:tcPr>
          <w:p w14:paraId="7A90741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71.27±14.08</w:t>
            </w:r>
          </w:p>
        </w:tc>
        <w:tc>
          <w:tcPr>
            <w:tcW w:w="1325" w:type="dxa"/>
            <w:vAlign w:val="bottom"/>
          </w:tcPr>
          <w:p w14:paraId="12C345E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0.121</w:t>
            </w:r>
          </w:p>
        </w:tc>
      </w:tr>
      <w:tr w14:paraId="1985988D">
        <w:tc>
          <w:tcPr>
            <w:tcW w:w="0" w:type="auto"/>
            <w:vAlign w:val="bottom"/>
          </w:tcPr>
          <w:p w14:paraId="55181E2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years</w:t>
            </w:r>
          </w:p>
        </w:tc>
        <w:tc>
          <w:tcPr>
            <w:tcW w:w="2624" w:type="dxa"/>
            <w:vAlign w:val="bottom"/>
          </w:tcPr>
          <w:p w14:paraId="194A68C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73.08±23.53</w:t>
            </w:r>
          </w:p>
        </w:tc>
        <w:tc>
          <w:tcPr>
            <w:tcW w:w="2984" w:type="dxa"/>
            <w:vAlign w:val="bottom"/>
          </w:tcPr>
          <w:p w14:paraId="56A1AE18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62.87±21.09</w:t>
            </w:r>
          </w:p>
        </w:tc>
        <w:tc>
          <w:tcPr>
            <w:tcW w:w="1325" w:type="dxa"/>
            <w:vAlign w:val="bottom"/>
          </w:tcPr>
          <w:p w14:paraId="13A0C3D6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0.324</w:t>
            </w:r>
          </w:p>
        </w:tc>
      </w:tr>
      <w:tr w14:paraId="2743E696">
        <w:tc>
          <w:tcPr>
            <w:tcW w:w="0" w:type="auto"/>
            <w:vAlign w:val="bottom"/>
          </w:tcPr>
          <w:p w14:paraId="353A085B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 (2 years - baseline)</w:t>
            </w:r>
          </w:p>
        </w:tc>
        <w:tc>
          <w:tcPr>
            <w:tcW w:w="2624" w:type="dxa"/>
            <w:vAlign w:val="bottom"/>
          </w:tcPr>
          <w:p w14:paraId="0E5F4834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+6.32±12.17</w:t>
            </w:r>
          </w:p>
        </w:tc>
        <w:tc>
          <w:tcPr>
            <w:tcW w:w="2984" w:type="dxa"/>
            <w:vAlign w:val="bottom"/>
          </w:tcPr>
          <w:p w14:paraId="7861AEC1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−8.40±18.81</w:t>
            </w:r>
          </w:p>
        </w:tc>
        <w:tc>
          <w:tcPr>
            <w:tcW w:w="1325" w:type="dxa"/>
            <w:vAlign w:val="bottom"/>
          </w:tcPr>
          <w:p w14:paraId="567A2756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0.121</w:t>
            </w:r>
          </w:p>
        </w:tc>
      </w:tr>
      <w:tr w14:paraId="3FA8008D">
        <w:tc>
          <w:tcPr>
            <w:tcW w:w="9054" w:type="dxa"/>
            <w:gridSpan w:val="4"/>
            <w:vAlign w:val="bottom"/>
          </w:tcPr>
          <w:p w14:paraId="72F1C1E2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Pre-bronchodilator FEV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/FVC (%)</w:t>
            </w:r>
          </w:p>
        </w:tc>
      </w:tr>
      <w:tr w14:paraId="18081E1E">
        <w:tc>
          <w:tcPr>
            <w:tcW w:w="0" w:type="auto"/>
            <w:vAlign w:val="bottom"/>
          </w:tcPr>
          <w:p w14:paraId="2B29E808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Baseline</w:t>
            </w:r>
          </w:p>
        </w:tc>
        <w:tc>
          <w:tcPr>
            <w:tcW w:w="2624" w:type="dxa"/>
            <w:vAlign w:val="bottom"/>
          </w:tcPr>
          <w:p w14:paraId="01B74756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64.47±11.23</w:t>
            </w:r>
          </w:p>
        </w:tc>
        <w:tc>
          <w:tcPr>
            <w:tcW w:w="2984" w:type="dxa"/>
            <w:vAlign w:val="bottom"/>
          </w:tcPr>
          <w:p w14:paraId="6F386C3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70.01±13.45</w:t>
            </w:r>
          </w:p>
        </w:tc>
        <w:tc>
          <w:tcPr>
            <w:tcW w:w="1325" w:type="dxa"/>
            <w:vAlign w:val="bottom"/>
          </w:tcPr>
          <w:p w14:paraId="629C0F6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0.296</w:t>
            </w:r>
          </w:p>
        </w:tc>
      </w:tr>
      <w:tr w14:paraId="5B5309FE">
        <w:tc>
          <w:tcPr>
            <w:tcW w:w="0" w:type="auto"/>
            <w:vAlign w:val="bottom"/>
          </w:tcPr>
          <w:p w14:paraId="0A7818C1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years</w:t>
            </w:r>
          </w:p>
        </w:tc>
        <w:tc>
          <w:tcPr>
            <w:tcW w:w="2624" w:type="dxa"/>
            <w:vAlign w:val="bottom"/>
          </w:tcPr>
          <w:p w14:paraId="3C5A4BE7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62.88±15.30</w:t>
            </w:r>
          </w:p>
        </w:tc>
        <w:tc>
          <w:tcPr>
            <w:tcW w:w="2984" w:type="dxa"/>
            <w:vAlign w:val="bottom"/>
          </w:tcPr>
          <w:p w14:paraId="6F1EA1B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56.35±11.04</w:t>
            </w:r>
          </w:p>
        </w:tc>
        <w:tc>
          <w:tcPr>
            <w:tcW w:w="1325" w:type="dxa"/>
            <w:vAlign w:val="bottom"/>
          </w:tcPr>
          <w:p w14:paraId="052E467E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0.296</w:t>
            </w:r>
          </w:p>
        </w:tc>
      </w:tr>
      <w:tr w14:paraId="490C7CD6">
        <w:tc>
          <w:tcPr>
            <w:tcW w:w="0" w:type="auto"/>
            <w:vAlign w:val="bottom"/>
          </w:tcPr>
          <w:p w14:paraId="1BB3344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 (2 years - baseline)</w:t>
            </w:r>
          </w:p>
        </w:tc>
        <w:tc>
          <w:tcPr>
            <w:tcW w:w="2624" w:type="dxa"/>
            <w:vAlign w:val="bottom"/>
          </w:tcPr>
          <w:p w14:paraId="44E9944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+0.71±11.78</w:t>
            </w:r>
          </w:p>
        </w:tc>
        <w:tc>
          <w:tcPr>
            <w:tcW w:w="2984" w:type="dxa"/>
            <w:vAlign w:val="bottom"/>
          </w:tcPr>
          <w:p w14:paraId="4FEA7E1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−9.40±12.19</w:t>
            </w:r>
          </w:p>
        </w:tc>
        <w:tc>
          <w:tcPr>
            <w:tcW w:w="1325" w:type="dxa"/>
            <w:vAlign w:val="bottom"/>
          </w:tcPr>
          <w:p w14:paraId="71F46D28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0.117</w:t>
            </w:r>
          </w:p>
        </w:tc>
      </w:tr>
      <w:tr w14:paraId="3942FCBC">
        <w:tc>
          <w:tcPr>
            <w:tcW w:w="9054" w:type="dxa"/>
            <w:gridSpan w:val="4"/>
            <w:vAlign w:val="bottom"/>
          </w:tcPr>
          <w:p w14:paraId="7F1DE765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Post-bronchodilator FEV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(% predicted)</w:t>
            </w:r>
          </w:p>
        </w:tc>
      </w:tr>
      <w:tr w14:paraId="7F14B31D">
        <w:tc>
          <w:tcPr>
            <w:tcW w:w="0" w:type="auto"/>
            <w:vAlign w:val="bottom"/>
          </w:tcPr>
          <w:p w14:paraId="59E699A1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Baseline</w:t>
            </w:r>
          </w:p>
        </w:tc>
        <w:tc>
          <w:tcPr>
            <w:tcW w:w="2624" w:type="dxa"/>
            <w:vAlign w:val="bottom"/>
          </w:tcPr>
          <w:p w14:paraId="7EA08D7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67.40 [52.05, 90.72]</w:t>
            </w:r>
          </w:p>
        </w:tc>
        <w:tc>
          <w:tcPr>
            <w:tcW w:w="2984" w:type="dxa"/>
            <w:vAlign w:val="bottom"/>
          </w:tcPr>
          <w:p w14:paraId="705F7E6B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80.72±15.02</w:t>
            </w:r>
          </w:p>
        </w:tc>
        <w:tc>
          <w:tcPr>
            <w:tcW w:w="1325" w:type="dxa"/>
            <w:vAlign w:val="bottom"/>
          </w:tcPr>
          <w:p w14:paraId="1A81C2A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0.106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</w:tr>
      <w:tr w14:paraId="6C905A5D">
        <w:tc>
          <w:tcPr>
            <w:tcW w:w="0" w:type="auto"/>
            <w:vAlign w:val="bottom"/>
          </w:tcPr>
          <w:p w14:paraId="58285FD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years</w:t>
            </w:r>
          </w:p>
        </w:tc>
        <w:tc>
          <w:tcPr>
            <w:tcW w:w="2624" w:type="dxa"/>
            <w:vAlign w:val="bottom"/>
          </w:tcPr>
          <w:p w14:paraId="1FF08734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75.30 [61.50, 94.67]</w:t>
            </w:r>
          </w:p>
        </w:tc>
        <w:tc>
          <w:tcPr>
            <w:tcW w:w="2984" w:type="dxa"/>
            <w:vAlign w:val="bottom"/>
          </w:tcPr>
          <w:p w14:paraId="697FAB28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67.16±16.49</w:t>
            </w:r>
          </w:p>
        </w:tc>
        <w:tc>
          <w:tcPr>
            <w:tcW w:w="1325" w:type="dxa"/>
            <w:vAlign w:val="bottom"/>
          </w:tcPr>
          <w:p w14:paraId="61D6127E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0.098</w:t>
            </w:r>
          </w:p>
        </w:tc>
      </w:tr>
      <w:tr w14:paraId="47FAD2AE">
        <w:tc>
          <w:tcPr>
            <w:tcW w:w="0" w:type="auto"/>
            <w:vAlign w:val="bottom"/>
          </w:tcPr>
          <w:p w14:paraId="78E7A5E1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 (2 years - baseline)</w:t>
            </w:r>
          </w:p>
        </w:tc>
        <w:tc>
          <w:tcPr>
            <w:tcW w:w="2624" w:type="dxa"/>
            <w:vAlign w:val="bottom"/>
          </w:tcPr>
          <w:p w14:paraId="69D3B1EE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+5.00 [1.73, 11.22]</w:t>
            </w:r>
          </w:p>
        </w:tc>
        <w:tc>
          <w:tcPr>
            <w:tcW w:w="2984" w:type="dxa"/>
            <w:vAlign w:val="bottom"/>
          </w:tcPr>
          <w:p w14:paraId="795DE7C6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−17.10 [−24.09, −3.04]</w:t>
            </w:r>
          </w:p>
        </w:tc>
        <w:tc>
          <w:tcPr>
            <w:tcW w:w="1325" w:type="dxa"/>
            <w:vAlign w:val="bottom"/>
          </w:tcPr>
          <w:p w14:paraId="2291A1D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0.046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</w:tr>
      <w:tr w14:paraId="1E4B600B">
        <w:tc>
          <w:tcPr>
            <w:tcW w:w="9054" w:type="dxa"/>
            <w:gridSpan w:val="4"/>
            <w:vAlign w:val="bottom"/>
          </w:tcPr>
          <w:p w14:paraId="7C7136AC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Post-bronchodilator FEV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/FVC (%)</w:t>
            </w:r>
          </w:p>
        </w:tc>
      </w:tr>
      <w:tr w14:paraId="64960F1C">
        <w:tc>
          <w:tcPr>
            <w:tcW w:w="0" w:type="auto"/>
            <w:vAlign w:val="bottom"/>
          </w:tcPr>
          <w:p w14:paraId="4CB04DB4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Baseline</w:t>
            </w:r>
          </w:p>
        </w:tc>
        <w:tc>
          <w:tcPr>
            <w:tcW w:w="2624" w:type="dxa"/>
            <w:vAlign w:val="bottom"/>
          </w:tcPr>
          <w:p w14:paraId="22A1C5B7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67.31±10.45</w:t>
            </w:r>
          </w:p>
        </w:tc>
        <w:tc>
          <w:tcPr>
            <w:tcW w:w="2984" w:type="dxa"/>
            <w:vAlign w:val="bottom"/>
          </w:tcPr>
          <w:p w14:paraId="332AB05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71.22±12.33</w:t>
            </w:r>
          </w:p>
        </w:tc>
        <w:tc>
          <w:tcPr>
            <w:tcW w:w="1325" w:type="dxa"/>
            <w:vAlign w:val="bottom"/>
          </w:tcPr>
          <w:p w14:paraId="07BC79B7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0.469</w:t>
            </w:r>
          </w:p>
        </w:tc>
      </w:tr>
      <w:tr w14:paraId="06582EE2">
        <w:tc>
          <w:tcPr>
            <w:tcW w:w="0" w:type="auto"/>
            <w:vAlign w:val="bottom"/>
          </w:tcPr>
          <w:p w14:paraId="6BCE96C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years</w:t>
            </w:r>
          </w:p>
        </w:tc>
        <w:tc>
          <w:tcPr>
            <w:tcW w:w="2624" w:type="dxa"/>
            <w:vAlign w:val="bottom"/>
          </w:tcPr>
          <w:p w14:paraId="6F7A9EC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66.06±13.43</w:t>
            </w:r>
          </w:p>
        </w:tc>
        <w:tc>
          <w:tcPr>
            <w:tcW w:w="2984" w:type="dxa"/>
            <w:vAlign w:val="bottom"/>
          </w:tcPr>
          <w:p w14:paraId="4E299CA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64.81±17.73</w:t>
            </w:r>
          </w:p>
        </w:tc>
        <w:tc>
          <w:tcPr>
            <w:tcW w:w="1325" w:type="dxa"/>
            <w:vAlign w:val="bottom"/>
          </w:tcPr>
          <w:p w14:paraId="2D6B3EE2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0.881</w:t>
            </w:r>
          </w:p>
        </w:tc>
      </w:tr>
      <w:tr w14:paraId="7F18E962">
        <w:tc>
          <w:tcPr>
            <w:tcW w:w="0" w:type="auto"/>
            <w:vAlign w:val="bottom"/>
          </w:tcPr>
          <w:p w14:paraId="000B523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 (2 years - baseline)</w:t>
            </w:r>
          </w:p>
        </w:tc>
        <w:tc>
          <w:tcPr>
            <w:tcW w:w="2624" w:type="dxa"/>
            <w:vAlign w:val="bottom"/>
          </w:tcPr>
          <w:p w14:paraId="4D5DF81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−1.28±11.25</w:t>
            </w:r>
          </w:p>
        </w:tc>
        <w:tc>
          <w:tcPr>
            <w:tcW w:w="2984" w:type="dxa"/>
            <w:vAlign w:val="bottom"/>
          </w:tcPr>
          <w:p w14:paraId="2902C08E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−6.72±15.82</w:t>
            </w:r>
          </w:p>
        </w:tc>
        <w:tc>
          <w:tcPr>
            <w:tcW w:w="1325" w:type="dxa"/>
            <w:vAlign w:val="bottom"/>
          </w:tcPr>
          <w:p w14:paraId="69A1CBEB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0.469</w:t>
            </w:r>
          </w:p>
        </w:tc>
      </w:tr>
    </w:tbl>
    <w:p w14:paraId="7AD13712">
      <w:pPr>
        <w:pStyle w:val="3"/>
        <w:spacing w:line="480" w:lineRule="auto"/>
        <w:rPr>
          <w:rFonts w:hint="eastAsia"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Notes: </w:t>
      </w:r>
      <w:r>
        <w:rPr>
          <w:rFonts w:hint="default" w:ascii="Arial Italic" w:hAnsi="Arial Italic" w:cs="Arial Italic"/>
          <w:i/>
          <w:iCs/>
          <w:sz w:val="20"/>
          <w:szCs w:val="20"/>
        </w:rPr>
        <w:t xml:space="preserve"> P</w:t>
      </w:r>
      <w:r>
        <w:rPr>
          <w:rFonts w:hint="eastAsia" w:ascii="Arial" w:hAnsi="Arial" w:cs="Arial"/>
          <w:sz w:val="20"/>
          <w:szCs w:val="20"/>
        </w:rPr>
        <w:t xml:space="preserve"> values in the last column were calculated using Welch's t-test for normally distributed continuous variables. </w:t>
      </w:r>
      <w:r>
        <w:rPr>
          <w:rFonts w:hint="default" w:ascii="Arial Italic" w:hAnsi="Arial Italic" w:cs="Arial Italic"/>
          <w:i/>
          <w:iCs/>
          <w:sz w:val="20"/>
          <w:szCs w:val="20"/>
        </w:rPr>
        <w:t>P</w:t>
      </w:r>
      <w:r>
        <w:rPr>
          <w:rFonts w:hint="eastAsia" w:ascii="Arial" w:hAnsi="Arial" w:cs="Arial"/>
          <w:sz w:val="20"/>
          <w:szCs w:val="20"/>
        </w:rPr>
        <w:t xml:space="preserve"> values marked with superscript ᵃ were calculated using the Mann-Whitney U test for non-normally distributed variables, as assessed by the Shapiro-Wilk test. Data are presented as mean ± SD or median [interquartile range], according to the distribution of the within-patient change values for each parameter. For each parameter, baseline, 2-year, and Δ values were summarized using the same subset of patients with paired measurements available at both time points. Because of missing spirometric records at follow-up, the number of paired observations varied across parameters. Data in boldface indicate statistical significance (</w:t>
      </w:r>
      <w:r>
        <w:rPr>
          <w:rFonts w:hint="default" w:ascii="Arial Italic" w:hAnsi="Arial Italic" w:cs="Arial Italic"/>
          <w:i/>
          <w:iCs/>
          <w:sz w:val="20"/>
          <w:szCs w:val="20"/>
        </w:rPr>
        <w:t>P</w:t>
      </w:r>
      <w:r>
        <w:rPr>
          <w:rFonts w:hint="eastAsia" w:ascii="Arial" w:hAnsi="Arial" w:cs="Arial"/>
          <w:sz w:val="20"/>
          <w:szCs w:val="20"/>
        </w:rPr>
        <w:t xml:space="preserve"> &lt; 0.05). The symbol Δ represents longitudinal change, calculated as the 2-year value minus the baseline value.</w:t>
      </w:r>
    </w:p>
    <w:p w14:paraId="028FBF71">
      <w:pPr>
        <w:pStyle w:val="3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BT, bronchial thermoplasty; FVC, forced vital capacity; FEV</w:t>
      </w:r>
      <w:r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, forced expiratory volume in 1 s. </w:t>
      </w:r>
    </w:p>
    <w:p w14:paraId="2D04809A">
      <w:pPr>
        <w:pStyle w:val="3"/>
        <w:spacing w:line="480" w:lineRule="auto"/>
        <w:rPr>
          <w:rFonts w:ascii="Arial" w:hAnsi="Arial" w:cs="Arial"/>
          <w:sz w:val="20"/>
          <w:szCs w:val="20"/>
        </w:rPr>
      </w:pPr>
      <w:bookmarkStart w:id="9" w:name="_GoBack"/>
      <w:bookmarkEnd w:id="9"/>
    </w:p>
    <w:p w14:paraId="20C6646C">
      <w:pPr>
        <w:pStyle w:val="4"/>
        <w:spacing w:line="480" w:lineRule="auto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3" w:name="X7457817de7399ad1e0da1cdda0a26b82913552e"/>
      <w:r>
        <w:rPr>
          <w:rFonts w:ascii="Arial" w:hAnsi="Arial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Arial" w:hAnsi="Arial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3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Detailed baseline demographic and clinical characteristics of severe asthmatic patients treated with BT</w:t>
      </w:r>
    </w:p>
    <w:tbl>
      <w:tblPr>
        <w:tblStyle w:val="2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2289"/>
        <w:gridCol w:w="2694"/>
        <w:gridCol w:w="1275"/>
      </w:tblGrid>
      <w:tr w14:paraId="3B5E88C8">
        <w:tc>
          <w:tcPr>
            <w:tcW w:w="2922" w:type="dxa"/>
          </w:tcPr>
          <w:p w14:paraId="760739DB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2289" w:type="dxa"/>
          </w:tcPr>
          <w:p w14:paraId="0E43705C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Responders (n = 22)</w:t>
            </w:r>
          </w:p>
        </w:tc>
        <w:tc>
          <w:tcPr>
            <w:tcW w:w="2694" w:type="dxa"/>
          </w:tcPr>
          <w:p w14:paraId="4C3A3F2E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Non-responders (n = 8)</w:t>
            </w:r>
          </w:p>
        </w:tc>
        <w:tc>
          <w:tcPr>
            <w:tcW w:w="1275" w:type="dxa"/>
          </w:tcPr>
          <w:p w14:paraId="7196A5AB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</w:tr>
      <w:tr w14:paraId="34F3A661">
        <w:tc>
          <w:tcPr>
            <w:tcW w:w="9180" w:type="dxa"/>
            <w:gridSpan w:val="4"/>
          </w:tcPr>
          <w:p w14:paraId="34B23DA5">
            <w:pPr>
              <w:pStyle w:val="31"/>
              <w:spacing w:line="480" w:lineRule="auto"/>
              <w:rPr>
                <w:rFonts w:ascii="Arial" w:hAnsi="Arial" w:eastAsia="Georgia" w:cs="Arial"/>
                <w:color w:val="1F1F1F"/>
                <w:sz w:val="20"/>
                <w:szCs w:val="20"/>
              </w:rPr>
            </w:pPr>
            <w:r>
              <w:rPr>
                <w:rFonts w:ascii="Arial" w:hAnsi="Arial" w:eastAsia="Georgia" w:cs="Arial"/>
                <w:b/>
                <w:bCs/>
                <w:color w:val="1F1F1F"/>
                <w:sz w:val="20"/>
                <w:szCs w:val="20"/>
              </w:rPr>
              <w:t>Demographic and clinical characteristics</w:t>
            </w:r>
          </w:p>
        </w:tc>
      </w:tr>
      <w:tr w14:paraId="6D96ED6E">
        <w:tc>
          <w:tcPr>
            <w:tcW w:w="2922" w:type="dxa"/>
          </w:tcPr>
          <w:p w14:paraId="02429D0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or former smoker, n (%)</w:t>
            </w:r>
          </w:p>
        </w:tc>
        <w:tc>
          <w:tcPr>
            <w:tcW w:w="2289" w:type="dxa"/>
          </w:tcPr>
          <w:p w14:paraId="508DC09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(18)</w:t>
            </w:r>
          </w:p>
        </w:tc>
        <w:tc>
          <w:tcPr>
            <w:tcW w:w="2694" w:type="dxa"/>
          </w:tcPr>
          <w:p w14:paraId="69227EE1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(38)</w:t>
            </w:r>
          </w:p>
        </w:tc>
        <w:tc>
          <w:tcPr>
            <w:tcW w:w="1275" w:type="dxa"/>
          </w:tcPr>
          <w:p w14:paraId="6B6A71A6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0.345</w:t>
            </w:r>
          </w:p>
        </w:tc>
      </w:tr>
      <w:tr w14:paraId="61050A64">
        <w:tc>
          <w:tcPr>
            <w:tcW w:w="2922" w:type="dxa"/>
          </w:tcPr>
          <w:p w14:paraId="521F862D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Allergic asthma, n (%)</w:t>
            </w:r>
          </w:p>
        </w:tc>
        <w:tc>
          <w:tcPr>
            <w:tcW w:w="2289" w:type="dxa"/>
          </w:tcPr>
          <w:p w14:paraId="1E6B57DF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(59)</w:t>
            </w:r>
          </w:p>
        </w:tc>
        <w:tc>
          <w:tcPr>
            <w:tcW w:w="2694" w:type="dxa"/>
          </w:tcPr>
          <w:p w14:paraId="1716D297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(88)</w:t>
            </w:r>
          </w:p>
        </w:tc>
        <w:tc>
          <w:tcPr>
            <w:tcW w:w="1275" w:type="dxa"/>
          </w:tcPr>
          <w:p w14:paraId="6199B6C2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0.210</w:t>
            </w:r>
          </w:p>
        </w:tc>
      </w:tr>
      <w:tr w14:paraId="3F1120D8">
        <w:tc>
          <w:tcPr>
            <w:tcW w:w="2922" w:type="dxa"/>
          </w:tcPr>
          <w:p w14:paraId="196C76F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 of asthma onset (years), mean ± SD</w:t>
            </w:r>
          </w:p>
        </w:tc>
        <w:tc>
          <w:tcPr>
            <w:tcW w:w="2289" w:type="dxa"/>
          </w:tcPr>
          <w:p w14:paraId="711CDD5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33.27±14.38</w:t>
            </w:r>
          </w:p>
        </w:tc>
        <w:tc>
          <w:tcPr>
            <w:tcW w:w="2694" w:type="dxa"/>
          </w:tcPr>
          <w:p w14:paraId="7B650762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28.88±16.40</w:t>
            </w:r>
          </w:p>
        </w:tc>
        <w:tc>
          <w:tcPr>
            <w:tcW w:w="1275" w:type="dxa"/>
          </w:tcPr>
          <w:p w14:paraId="6DD9294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0.484</w:t>
            </w:r>
          </w:p>
        </w:tc>
      </w:tr>
      <w:tr w14:paraId="68E69C7E">
        <w:tc>
          <w:tcPr>
            <w:tcW w:w="2922" w:type="dxa"/>
          </w:tcPr>
          <w:p w14:paraId="0F25E426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Asthma phenotype, late/early onset (%)</w:t>
            </w:r>
          </w:p>
        </w:tc>
        <w:tc>
          <w:tcPr>
            <w:tcW w:w="2289" w:type="dxa"/>
          </w:tcPr>
          <w:p w14:paraId="3BAE4BF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17/5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(7</w:t>
            </w:r>
            <w:r>
              <w:rPr>
                <w:rFonts w:hint="eastAsia"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hint="eastAsia"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28A410A1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(88/12)</w:t>
            </w:r>
          </w:p>
        </w:tc>
        <w:tc>
          <w:tcPr>
            <w:tcW w:w="1275" w:type="dxa"/>
          </w:tcPr>
          <w:p w14:paraId="391EAD2E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0.551</w:t>
            </w:r>
          </w:p>
        </w:tc>
      </w:tr>
      <w:tr w14:paraId="399B7842">
        <w:tc>
          <w:tcPr>
            <w:tcW w:w="2922" w:type="dxa"/>
          </w:tcPr>
          <w:p w14:paraId="720E855B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Asthma duration (years), mean ± SD</w:t>
            </w:r>
          </w:p>
        </w:tc>
        <w:tc>
          <w:tcPr>
            <w:tcW w:w="2289" w:type="dxa"/>
          </w:tcPr>
          <w:p w14:paraId="321EF05E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17.50±12.92</w:t>
            </w:r>
          </w:p>
        </w:tc>
        <w:tc>
          <w:tcPr>
            <w:tcW w:w="2694" w:type="dxa"/>
          </w:tcPr>
          <w:p w14:paraId="67F806CF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13.13±8.74</w:t>
            </w:r>
          </w:p>
        </w:tc>
        <w:tc>
          <w:tcPr>
            <w:tcW w:w="1275" w:type="dxa"/>
          </w:tcPr>
          <w:p w14:paraId="312A2A0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0.385</w:t>
            </w:r>
          </w:p>
        </w:tc>
      </w:tr>
      <w:tr w14:paraId="59CA8B44">
        <w:tc>
          <w:tcPr>
            <w:tcW w:w="9180" w:type="dxa"/>
            <w:gridSpan w:val="4"/>
          </w:tcPr>
          <w:p w14:paraId="1C613F6A">
            <w:pPr>
              <w:pStyle w:val="31"/>
              <w:spacing w:line="480" w:lineRule="auto"/>
              <w:rPr>
                <w:rFonts w:ascii="Arial" w:hAnsi="Arial" w:eastAsia="Georgia" w:cs="Arial"/>
                <w:color w:val="1F1F1F"/>
                <w:sz w:val="20"/>
                <w:szCs w:val="20"/>
              </w:rPr>
            </w:pPr>
            <w:r>
              <w:rPr>
                <w:rFonts w:ascii="Arial" w:hAnsi="Arial" w:eastAsia="Georgia" w:cs="Arial"/>
                <w:b/>
                <w:bCs/>
                <w:color w:val="1F1F1F"/>
                <w:sz w:val="20"/>
                <w:szCs w:val="20"/>
              </w:rPr>
              <w:t>Laboratory findings</w:t>
            </w:r>
          </w:p>
        </w:tc>
      </w:tr>
      <w:tr w14:paraId="6766CB8C">
        <w:tc>
          <w:tcPr>
            <w:tcW w:w="2922" w:type="dxa"/>
          </w:tcPr>
          <w:p w14:paraId="4A4D8DAA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Neutrophil percentage (%)</w:t>
            </w:r>
          </w:p>
        </w:tc>
        <w:tc>
          <w:tcPr>
            <w:tcW w:w="2289" w:type="dxa"/>
          </w:tcPr>
          <w:p w14:paraId="1C40840F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62.75±11.82</w:t>
            </w:r>
          </w:p>
        </w:tc>
        <w:tc>
          <w:tcPr>
            <w:tcW w:w="2694" w:type="dxa"/>
          </w:tcPr>
          <w:p w14:paraId="7216E9FF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59.90±6.38</w:t>
            </w:r>
          </w:p>
        </w:tc>
        <w:tc>
          <w:tcPr>
            <w:tcW w:w="1275" w:type="dxa"/>
          </w:tcPr>
          <w:p w14:paraId="741BBE77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0.482</w:t>
            </w:r>
          </w:p>
        </w:tc>
      </w:tr>
      <w:tr w14:paraId="63AAE1E6">
        <w:tc>
          <w:tcPr>
            <w:tcW w:w="2922" w:type="dxa"/>
          </w:tcPr>
          <w:p w14:paraId="6D9B9E7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Lymphocyte percentage (%)</w:t>
            </w:r>
          </w:p>
        </w:tc>
        <w:tc>
          <w:tcPr>
            <w:tcW w:w="2289" w:type="dxa"/>
          </w:tcPr>
          <w:p w14:paraId="061BF91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26.79±8.72</w:t>
            </w:r>
          </w:p>
        </w:tc>
        <w:tc>
          <w:tcPr>
            <w:tcW w:w="2694" w:type="dxa"/>
          </w:tcPr>
          <w:p w14:paraId="7A2F3BD2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27.83±6.17</w:t>
            </w:r>
          </w:p>
        </w:tc>
        <w:tc>
          <w:tcPr>
            <w:tcW w:w="1275" w:type="dxa"/>
          </w:tcPr>
          <w:p w14:paraId="0116D30A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0.764</w:t>
            </w:r>
          </w:p>
        </w:tc>
      </w:tr>
      <w:tr w14:paraId="57E38E38">
        <w:tc>
          <w:tcPr>
            <w:tcW w:w="2922" w:type="dxa"/>
          </w:tcPr>
          <w:p w14:paraId="2DA9286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Platelet count (×10⁹/L)</w:t>
            </w:r>
          </w:p>
        </w:tc>
        <w:tc>
          <w:tcPr>
            <w:tcW w:w="2289" w:type="dxa"/>
          </w:tcPr>
          <w:p w14:paraId="4D7F88F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213.32±56.99</w:t>
            </w:r>
          </w:p>
        </w:tc>
        <w:tc>
          <w:tcPr>
            <w:tcW w:w="2694" w:type="dxa"/>
          </w:tcPr>
          <w:p w14:paraId="30B5BF7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224.13±55.46</w:t>
            </w:r>
          </w:p>
        </w:tc>
        <w:tc>
          <w:tcPr>
            <w:tcW w:w="1275" w:type="dxa"/>
          </w:tcPr>
          <w:p w14:paraId="477E6B34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0.653</w:t>
            </w:r>
          </w:p>
        </w:tc>
      </w:tr>
      <w:tr w14:paraId="6BC0D41A">
        <w:tc>
          <w:tcPr>
            <w:tcW w:w="2922" w:type="dxa"/>
          </w:tcPr>
          <w:p w14:paraId="4FD3DC8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Serum CRP (mg/L)</w:t>
            </w:r>
          </w:p>
        </w:tc>
        <w:tc>
          <w:tcPr>
            <w:tcW w:w="2289" w:type="dxa"/>
          </w:tcPr>
          <w:p w14:paraId="0DBEF26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2.83±3.50</w:t>
            </w:r>
          </w:p>
        </w:tc>
        <w:tc>
          <w:tcPr>
            <w:tcW w:w="2694" w:type="dxa"/>
          </w:tcPr>
          <w:p w14:paraId="7165C2A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4.54±5.74</w:t>
            </w:r>
          </w:p>
        </w:tc>
        <w:tc>
          <w:tcPr>
            <w:tcW w:w="1275" w:type="dxa"/>
          </w:tcPr>
          <w:p w14:paraId="67E8DF06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0.579</w:t>
            </w:r>
          </w:p>
        </w:tc>
      </w:tr>
      <w:tr w14:paraId="021A63C9">
        <w:tc>
          <w:tcPr>
            <w:tcW w:w="2922" w:type="dxa"/>
          </w:tcPr>
          <w:p w14:paraId="5F95CB0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Serum albumin (g/L)</w:t>
            </w:r>
          </w:p>
        </w:tc>
        <w:tc>
          <w:tcPr>
            <w:tcW w:w="2289" w:type="dxa"/>
          </w:tcPr>
          <w:p w14:paraId="1099AC06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39.57±5.78</w:t>
            </w:r>
          </w:p>
        </w:tc>
        <w:tc>
          <w:tcPr>
            <w:tcW w:w="2694" w:type="dxa"/>
          </w:tcPr>
          <w:p w14:paraId="726920AB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40.84±2.96</w:t>
            </w:r>
          </w:p>
        </w:tc>
        <w:tc>
          <w:tcPr>
            <w:tcW w:w="1275" w:type="dxa"/>
          </w:tcPr>
          <w:p w14:paraId="46172CB1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0.551</w:t>
            </w:r>
          </w:p>
        </w:tc>
      </w:tr>
      <w:tr w14:paraId="0715573A">
        <w:tc>
          <w:tcPr>
            <w:tcW w:w="2922" w:type="dxa"/>
          </w:tcPr>
          <w:p w14:paraId="4972D58F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cholesterol (mmol/L)</w:t>
            </w:r>
          </w:p>
        </w:tc>
        <w:tc>
          <w:tcPr>
            <w:tcW w:w="2289" w:type="dxa"/>
          </w:tcPr>
          <w:p w14:paraId="5577A9FD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4.89±0.98</w:t>
            </w:r>
          </w:p>
        </w:tc>
        <w:tc>
          <w:tcPr>
            <w:tcW w:w="2694" w:type="dxa"/>
          </w:tcPr>
          <w:p w14:paraId="6AC133F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5.17±0.72</w:t>
            </w:r>
          </w:p>
        </w:tc>
        <w:tc>
          <w:tcPr>
            <w:tcW w:w="1275" w:type="dxa"/>
          </w:tcPr>
          <w:p w14:paraId="10F44C07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0.472</w:t>
            </w:r>
          </w:p>
        </w:tc>
      </w:tr>
      <w:tr w14:paraId="59AA04CC">
        <w:tc>
          <w:tcPr>
            <w:tcW w:w="9180" w:type="dxa"/>
            <w:gridSpan w:val="4"/>
          </w:tcPr>
          <w:p w14:paraId="58C005C4">
            <w:pPr>
              <w:pStyle w:val="31"/>
              <w:spacing w:line="480" w:lineRule="auto"/>
              <w:rPr>
                <w:rFonts w:ascii="Arial" w:hAnsi="Arial" w:eastAsia="Georgia" w:cs="Arial"/>
                <w:color w:val="1F1F1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BT activation number</w:t>
            </w:r>
          </w:p>
        </w:tc>
      </w:tr>
      <w:tr w14:paraId="11AB09BE">
        <w:tc>
          <w:tcPr>
            <w:tcW w:w="2922" w:type="dxa"/>
          </w:tcPr>
          <w:p w14:paraId="6A86E2B8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 lower lobe</w:t>
            </w:r>
          </w:p>
        </w:tc>
        <w:tc>
          <w:tcPr>
            <w:tcW w:w="2289" w:type="dxa"/>
          </w:tcPr>
          <w:p w14:paraId="53B49A2A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63.77±12.66</w:t>
            </w:r>
          </w:p>
        </w:tc>
        <w:tc>
          <w:tcPr>
            <w:tcW w:w="2694" w:type="dxa"/>
          </w:tcPr>
          <w:p w14:paraId="528B179F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60.00±17.56</w:t>
            </w:r>
          </w:p>
        </w:tc>
        <w:tc>
          <w:tcPr>
            <w:tcW w:w="1275" w:type="dxa"/>
          </w:tcPr>
          <w:p w14:paraId="3D160AD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0.521</w:t>
            </w:r>
          </w:p>
        </w:tc>
      </w:tr>
      <w:tr w14:paraId="266A63DE">
        <w:tc>
          <w:tcPr>
            <w:tcW w:w="2922" w:type="dxa"/>
          </w:tcPr>
          <w:p w14:paraId="69A16881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lower lobe</w:t>
            </w:r>
          </w:p>
        </w:tc>
        <w:tc>
          <w:tcPr>
            <w:tcW w:w="2289" w:type="dxa"/>
          </w:tcPr>
          <w:p w14:paraId="70331CB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61.50±14.37</w:t>
            </w:r>
          </w:p>
        </w:tc>
        <w:tc>
          <w:tcPr>
            <w:tcW w:w="2694" w:type="dxa"/>
          </w:tcPr>
          <w:p w14:paraId="73E0877E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57.38±7.07</w:t>
            </w:r>
          </w:p>
        </w:tc>
        <w:tc>
          <w:tcPr>
            <w:tcW w:w="1275" w:type="dxa"/>
          </w:tcPr>
          <w:p w14:paraId="07BADAD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0.451</w:t>
            </w:r>
          </w:p>
        </w:tc>
      </w:tr>
      <w:tr w14:paraId="1249EA44">
        <w:tc>
          <w:tcPr>
            <w:tcW w:w="2922" w:type="dxa"/>
          </w:tcPr>
          <w:p w14:paraId="5A85F57E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Both upper lobes</w:t>
            </w:r>
          </w:p>
        </w:tc>
        <w:tc>
          <w:tcPr>
            <w:tcW w:w="2289" w:type="dxa"/>
          </w:tcPr>
          <w:p w14:paraId="6027C54D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84.73±24.38</w:t>
            </w:r>
          </w:p>
        </w:tc>
        <w:tc>
          <w:tcPr>
            <w:tcW w:w="2694" w:type="dxa"/>
          </w:tcPr>
          <w:p w14:paraId="70C915B4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82.88±15.02</w:t>
            </w:r>
          </w:p>
        </w:tc>
        <w:tc>
          <w:tcPr>
            <w:tcW w:w="1275" w:type="dxa"/>
          </w:tcPr>
          <w:p w14:paraId="6D52887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0.842</w:t>
            </w:r>
          </w:p>
        </w:tc>
      </w:tr>
      <w:tr w14:paraId="5CE115FC">
        <w:tc>
          <w:tcPr>
            <w:tcW w:w="2922" w:type="dxa"/>
          </w:tcPr>
          <w:p w14:paraId="38ACECA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Both lower lobes</w:t>
            </w:r>
          </w:p>
        </w:tc>
        <w:tc>
          <w:tcPr>
            <w:tcW w:w="2289" w:type="dxa"/>
          </w:tcPr>
          <w:p w14:paraId="5CFE7942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125.27±20.86</w:t>
            </w:r>
          </w:p>
        </w:tc>
        <w:tc>
          <w:tcPr>
            <w:tcW w:w="2694" w:type="dxa"/>
          </w:tcPr>
          <w:p w14:paraId="297ECF97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117.38±17.11</w:t>
            </w:r>
          </w:p>
        </w:tc>
        <w:tc>
          <w:tcPr>
            <w:tcW w:w="1275" w:type="dxa"/>
          </w:tcPr>
          <w:p w14:paraId="00EE9BF1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0.353</w:t>
            </w:r>
          </w:p>
        </w:tc>
      </w:tr>
    </w:tbl>
    <w:p w14:paraId="42154F8C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Notes: </w:t>
      </w:r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values were calculated using the independent-samples t-test or the Mann-Whitney U test for continuous variables (based on data distribution assessed by the Shapiro-Wilk test), and the χ² test or Fisher’s exact test for categorical variables. Data are presented as mean ± SD or n (%).</w:t>
      </w:r>
    </w:p>
    <w:p w14:paraId="46997B7C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BT, bronchial thermoplasty; SD, standard deviation; CRP, C-reactive protein.</w:t>
      </w:r>
    </w:p>
    <w:p w14:paraId="092324C8">
      <w:pPr>
        <w:spacing w:line="480" w:lineRule="auto"/>
        <w:rPr>
          <w:rFonts w:ascii="Arial" w:hAnsi="Arial" w:cs="Arial"/>
          <w:sz w:val="20"/>
          <w:szCs w:val="20"/>
        </w:rPr>
      </w:pPr>
    </w:p>
    <w:bookmarkEnd w:id="3"/>
    <w:p w14:paraId="2446D33E">
      <w:pPr>
        <w:pStyle w:val="4"/>
        <w:spacing w:line="480" w:lineRule="auto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4" w:name="Xf3ace267ab11d2b23e52cec71169cd43289f316"/>
      <w:r>
        <w:rPr>
          <w:rFonts w:ascii="Arial" w:hAnsi="Arial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Arial" w:hAnsi="Arial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Comparison of additional spirometry, IOS, and lung-volume parameters in BT-treated severe asthma patients</w:t>
      </w:r>
    </w:p>
    <w:tbl>
      <w:tblPr>
        <w:tblStyle w:val="24"/>
        <w:tblW w:w="49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2"/>
        <w:gridCol w:w="2537"/>
        <w:gridCol w:w="1832"/>
      </w:tblGrid>
      <w:tr w14:paraId="3EED71A0">
        <w:tc>
          <w:tcPr>
            <w:tcW w:w="2264" w:type="dxa"/>
          </w:tcPr>
          <w:p w14:paraId="4C22A90B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2263" w:type="dxa"/>
          </w:tcPr>
          <w:p w14:paraId="68BBFBB0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Responders (n = 22)</w:t>
            </w:r>
          </w:p>
        </w:tc>
        <w:tc>
          <w:tcPr>
            <w:tcW w:w="2539" w:type="dxa"/>
          </w:tcPr>
          <w:p w14:paraId="0EB36FF9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Non-responders (n = 8)</w:t>
            </w:r>
          </w:p>
        </w:tc>
        <w:tc>
          <w:tcPr>
            <w:tcW w:w="1831" w:type="dxa"/>
          </w:tcPr>
          <w:p w14:paraId="14DB5F8D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</w:tr>
      <w:tr w14:paraId="70A5AD95">
        <w:tc>
          <w:tcPr>
            <w:tcW w:w="8897" w:type="dxa"/>
            <w:gridSpan w:val="4"/>
          </w:tcPr>
          <w:p w14:paraId="362CD2F4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Spirometry parameters, mean ± SD</w:t>
            </w:r>
          </w:p>
        </w:tc>
      </w:tr>
      <w:tr w14:paraId="3FC0F3E4">
        <w:tc>
          <w:tcPr>
            <w:tcW w:w="2264" w:type="dxa"/>
          </w:tcPr>
          <w:p w14:paraId="1F013041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Post-bronchodilator FEV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hint="eastAsia" w:ascii="Arial" w:hAnsi="Arial" w:cs="Arial"/>
                <w:sz w:val="20"/>
                <w:szCs w:val="20"/>
                <w:vertAlign w:val="subscript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(L)</w:t>
            </w:r>
          </w:p>
        </w:tc>
        <w:tc>
          <w:tcPr>
            <w:tcW w:w="2263" w:type="dxa"/>
            <w:vAlign w:val="top"/>
          </w:tcPr>
          <w:p w14:paraId="0BA502A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±0.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2539" w:type="dxa"/>
            <w:vAlign w:val="top"/>
          </w:tcPr>
          <w:p w14:paraId="5463C717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64</w:t>
            </w:r>
            <w:r>
              <w:rPr>
                <w:rFonts w:ascii="Arial" w:hAnsi="Arial" w:cs="Arial"/>
                <w:sz w:val="20"/>
                <w:szCs w:val="20"/>
              </w:rPr>
              <w:t>±0.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1831" w:type="dxa"/>
            <w:vAlign w:val="top"/>
          </w:tcPr>
          <w:p w14:paraId="12D991F4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063</w:t>
            </w:r>
          </w:p>
        </w:tc>
      </w:tr>
      <w:tr w14:paraId="0B38E152">
        <w:tc>
          <w:tcPr>
            <w:tcW w:w="2264" w:type="dxa"/>
          </w:tcPr>
          <w:p w14:paraId="685938C8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Post-bronchodilator FEV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hint="eastAsia" w:ascii="Arial" w:hAnsi="Arial" w:cs="Arial"/>
                <w:sz w:val="20"/>
                <w:szCs w:val="20"/>
                <w:vertAlign w:val="subscript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(% predicted)</w:t>
            </w:r>
          </w:p>
        </w:tc>
        <w:tc>
          <w:tcPr>
            <w:tcW w:w="2263" w:type="dxa"/>
            <w:vAlign w:val="top"/>
          </w:tcPr>
          <w:p w14:paraId="41E45162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4.98</w:t>
            </w:r>
            <w:r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20.32</w:t>
            </w:r>
          </w:p>
        </w:tc>
        <w:tc>
          <w:tcPr>
            <w:tcW w:w="2539" w:type="dxa"/>
            <w:vAlign w:val="top"/>
          </w:tcPr>
          <w:p w14:paraId="6F12F8B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83.19</w:t>
            </w:r>
            <w:r>
              <w:rPr>
                <w:rFonts w:ascii="Arial" w:hAnsi="Arial" w:cs="Arial"/>
                <w:sz w:val="20"/>
                <w:szCs w:val="20"/>
              </w:rPr>
              <w:t>±1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3.10</w:t>
            </w:r>
          </w:p>
        </w:tc>
        <w:tc>
          <w:tcPr>
            <w:tcW w:w="1831" w:type="dxa"/>
            <w:vAlign w:val="top"/>
          </w:tcPr>
          <w:p w14:paraId="45DB5AD8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329</w:t>
            </w:r>
          </w:p>
        </w:tc>
      </w:tr>
      <w:tr w14:paraId="6DE1875E">
        <w:tc>
          <w:tcPr>
            <w:tcW w:w="2264" w:type="dxa"/>
          </w:tcPr>
          <w:p w14:paraId="2028B9E4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Post-bronchodilator FEV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/FVC (% predicted)</w:t>
            </w:r>
          </w:p>
        </w:tc>
        <w:tc>
          <w:tcPr>
            <w:tcW w:w="2263" w:type="dxa"/>
            <w:vAlign w:val="top"/>
          </w:tcPr>
          <w:p w14:paraId="5570350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6.64</w:t>
            </w:r>
            <w:r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14.19</w:t>
            </w:r>
          </w:p>
        </w:tc>
        <w:tc>
          <w:tcPr>
            <w:tcW w:w="2539" w:type="dxa"/>
            <w:vAlign w:val="top"/>
          </w:tcPr>
          <w:p w14:paraId="4CAEEED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71.99</w:t>
            </w:r>
            <w:r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4.08</w:t>
            </w:r>
          </w:p>
        </w:tc>
        <w:tc>
          <w:tcPr>
            <w:tcW w:w="1831" w:type="dxa"/>
            <w:vAlign w:val="top"/>
          </w:tcPr>
          <w:p w14:paraId="6E0C6DE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339</w:t>
            </w:r>
          </w:p>
        </w:tc>
      </w:tr>
      <w:tr w14:paraId="47D990B9">
        <w:tc>
          <w:tcPr>
            <w:tcW w:w="2264" w:type="dxa"/>
          </w:tcPr>
          <w:p w14:paraId="00130794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Pre-MMEF (% predicted)</w:t>
            </w:r>
          </w:p>
        </w:tc>
        <w:tc>
          <w:tcPr>
            <w:tcW w:w="2263" w:type="dxa"/>
            <w:vAlign w:val="top"/>
          </w:tcPr>
          <w:p w14:paraId="751677ED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34.01</w:t>
            </w:r>
            <w:r>
              <w:rPr>
                <w:rFonts w:ascii="Arial" w:hAnsi="Arial" w:cs="Arial"/>
                <w:sz w:val="20"/>
                <w:szCs w:val="20"/>
              </w:rPr>
              <w:t>±2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6.37</w:t>
            </w:r>
          </w:p>
        </w:tc>
        <w:tc>
          <w:tcPr>
            <w:tcW w:w="2539" w:type="dxa"/>
            <w:vAlign w:val="top"/>
          </w:tcPr>
          <w:p w14:paraId="7A03C40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38.48</w:t>
            </w:r>
            <w:r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18.42</w:t>
            </w:r>
          </w:p>
        </w:tc>
        <w:tc>
          <w:tcPr>
            <w:tcW w:w="1831" w:type="dxa"/>
            <w:vAlign w:val="top"/>
          </w:tcPr>
          <w:p w14:paraId="7D83E448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386</w:t>
            </w:r>
          </w:p>
        </w:tc>
      </w:tr>
      <w:tr w14:paraId="4051F287">
        <w:tc>
          <w:tcPr>
            <w:tcW w:w="2264" w:type="dxa"/>
          </w:tcPr>
          <w:p w14:paraId="0091D8B6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Post-MMEF (% predicted)</w:t>
            </w:r>
          </w:p>
        </w:tc>
        <w:tc>
          <w:tcPr>
            <w:tcW w:w="2263" w:type="dxa"/>
            <w:vAlign w:val="top"/>
          </w:tcPr>
          <w:p w14:paraId="763366E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±2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7.43</w:t>
            </w:r>
          </w:p>
        </w:tc>
        <w:tc>
          <w:tcPr>
            <w:tcW w:w="2539" w:type="dxa"/>
            <w:vAlign w:val="top"/>
          </w:tcPr>
          <w:p w14:paraId="2CFE986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5.10</w:t>
            </w:r>
            <w:r>
              <w:rPr>
                <w:rFonts w:ascii="Arial" w:hAnsi="Arial" w:cs="Arial"/>
                <w:sz w:val="20"/>
                <w:szCs w:val="20"/>
              </w:rPr>
              <w:t>±1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1831" w:type="dxa"/>
            <w:vAlign w:val="top"/>
          </w:tcPr>
          <w:p w14:paraId="3E28DA78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212</w:t>
            </w:r>
          </w:p>
        </w:tc>
      </w:tr>
      <w:tr w14:paraId="6DCCEE87">
        <w:tc>
          <w:tcPr>
            <w:tcW w:w="8897" w:type="dxa"/>
            <w:gridSpan w:val="4"/>
          </w:tcPr>
          <w:p w14:paraId="22D2031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IOS parameters, mean ± SD</w:t>
            </w:r>
          </w:p>
        </w:tc>
      </w:tr>
      <w:tr w14:paraId="24ACE53F">
        <w:tc>
          <w:tcPr>
            <w:tcW w:w="2264" w:type="dxa"/>
          </w:tcPr>
          <w:p w14:paraId="69E7B032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Fres (Hz)</w:t>
            </w:r>
          </w:p>
        </w:tc>
        <w:tc>
          <w:tcPr>
            <w:tcW w:w="2263" w:type="dxa"/>
            <w:vAlign w:val="top"/>
          </w:tcPr>
          <w:p w14:paraId="785F5171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16.99±7.30</w:t>
            </w:r>
          </w:p>
        </w:tc>
        <w:tc>
          <w:tcPr>
            <w:tcW w:w="2539" w:type="dxa"/>
            <w:vAlign w:val="top"/>
          </w:tcPr>
          <w:p w14:paraId="7BC44FBD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10.66±4.41</w:t>
            </w:r>
          </w:p>
        </w:tc>
        <w:tc>
          <w:tcPr>
            <w:tcW w:w="1831" w:type="dxa"/>
            <w:vAlign w:val="top"/>
          </w:tcPr>
          <w:p w14:paraId="3533F0E2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0.082</w:t>
            </w:r>
          </w:p>
        </w:tc>
      </w:tr>
      <w:tr w14:paraId="7430427C">
        <w:tc>
          <w:tcPr>
            <w:tcW w:w="2264" w:type="dxa"/>
          </w:tcPr>
          <w:p w14:paraId="17E35EE2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(kPa/L/s)</w:t>
            </w:r>
          </w:p>
        </w:tc>
        <w:tc>
          <w:tcPr>
            <w:tcW w:w="2263" w:type="dxa"/>
            <w:vAlign w:val="top"/>
          </w:tcPr>
          <w:p w14:paraId="08BBB20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0.54±0.17</w:t>
            </w:r>
          </w:p>
        </w:tc>
        <w:tc>
          <w:tcPr>
            <w:tcW w:w="2539" w:type="dxa"/>
            <w:vAlign w:val="top"/>
          </w:tcPr>
          <w:p w14:paraId="23A9C402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0.37±0.15</w:t>
            </w:r>
          </w:p>
        </w:tc>
        <w:tc>
          <w:tcPr>
            <w:tcW w:w="1831" w:type="dxa"/>
            <w:vAlign w:val="top"/>
          </w:tcPr>
          <w:p w14:paraId="42D1582B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0.053</w:t>
            </w:r>
          </w:p>
        </w:tc>
      </w:tr>
      <w:tr w14:paraId="742A658E">
        <w:tc>
          <w:tcPr>
            <w:tcW w:w="2264" w:type="dxa"/>
          </w:tcPr>
          <w:p w14:paraId="7A737938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(kPa/L/s)</w:t>
            </w:r>
          </w:p>
        </w:tc>
        <w:tc>
          <w:tcPr>
            <w:tcW w:w="2263" w:type="dxa"/>
            <w:vAlign w:val="top"/>
          </w:tcPr>
          <w:p w14:paraId="3AFE420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0.40±0.11</w:t>
            </w:r>
          </w:p>
        </w:tc>
        <w:tc>
          <w:tcPr>
            <w:tcW w:w="2539" w:type="dxa"/>
            <w:vAlign w:val="top"/>
          </w:tcPr>
          <w:p w14:paraId="47378A37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0.32±0.12</w:t>
            </w:r>
          </w:p>
        </w:tc>
        <w:tc>
          <w:tcPr>
            <w:tcW w:w="1831" w:type="dxa"/>
            <w:vAlign w:val="top"/>
          </w:tcPr>
          <w:p w14:paraId="38BE360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0.157</w:t>
            </w:r>
          </w:p>
        </w:tc>
      </w:tr>
      <w:tr w14:paraId="28F1A65C">
        <w:tc>
          <w:tcPr>
            <w:tcW w:w="2264" w:type="dxa"/>
          </w:tcPr>
          <w:p w14:paraId="1986E456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-R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(kPa/L/s)</w:t>
            </w:r>
          </w:p>
        </w:tc>
        <w:tc>
          <w:tcPr>
            <w:tcW w:w="2263" w:type="dxa"/>
            <w:vAlign w:val="top"/>
          </w:tcPr>
          <w:p w14:paraId="66F27282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0.12±0.07</w:t>
            </w:r>
          </w:p>
        </w:tc>
        <w:tc>
          <w:tcPr>
            <w:tcW w:w="2539" w:type="dxa"/>
            <w:vAlign w:val="top"/>
          </w:tcPr>
          <w:p w14:paraId="7E1FD91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0.05±0.04</w:t>
            </w:r>
          </w:p>
        </w:tc>
        <w:tc>
          <w:tcPr>
            <w:tcW w:w="1831" w:type="dxa"/>
            <w:vAlign w:val="top"/>
          </w:tcPr>
          <w:p w14:paraId="26D733F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0.312</w:t>
            </w:r>
          </w:p>
        </w:tc>
      </w:tr>
      <w:tr w14:paraId="46A6C006">
        <w:tc>
          <w:tcPr>
            <w:tcW w:w="2264" w:type="dxa"/>
          </w:tcPr>
          <w:p w14:paraId="5987D52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 (kPa/L)</w:t>
            </w:r>
          </w:p>
        </w:tc>
        <w:tc>
          <w:tcPr>
            <w:tcW w:w="2263" w:type="dxa"/>
            <w:vAlign w:val="top"/>
          </w:tcPr>
          <w:p w14:paraId="4B097982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1.10±0.96</w:t>
            </w:r>
          </w:p>
        </w:tc>
        <w:tc>
          <w:tcPr>
            <w:tcW w:w="2539" w:type="dxa"/>
            <w:vAlign w:val="top"/>
          </w:tcPr>
          <w:p w14:paraId="4587547B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.22±0.26</w:t>
            </w:r>
          </w:p>
        </w:tc>
        <w:tc>
          <w:tcPr>
            <w:tcW w:w="1831" w:type="dxa"/>
            <w:vAlign w:val="top"/>
          </w:tcPr>
          <w:p w14:paraId="73C0CDDE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0.614</w:t>
            </w:r>
          </w:p>
        </w:tc>
      </w:tr>
      <w:tr w14:paraId="4E898DDE">
        <w:tc>
          <w:tcPr>
            <w:tcW w:w="8897" w:type="dxa"/>
            <w:gridSpan w:val="4"/>
          </w:tcPr>
          <w:p w14:paraId="0621821F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Lung-volume parameters, mean ± SD</w:t>
            </w:r>
          </w:p>
        </w:tc>
      </w:tr>
      <w:tr w14:paraId="71FA9D0E">
        <w:tc>
          <w:tcPr>
            <w:tcW w:w="2264" w:type="dxa"/>
          </w:tcPr>
          <w:p w14:paraId="0E1456BE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FRC (L)</w:t>
            </w:r>
          </w:p>
        </w:tc>
        <w:tc>
          <w:tcPr>
            <w:tcW w:w="2263" w:type="dxa"/>
          </w:tcPr>
          <w:p w14:paraId="3D50696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3.60±0.97</w:t>
            </w:r>
          </w:p>
        </w:tc>
        <w:tc>
          <w:tcPr>
            <w:tcW w:w="2539" w:type="dxa"/>
          </w:tcPr>
          <w:p w14:paraId="50E7641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3.16±0.83</w:t>
            </w:r>
          </w:p>
        </w:tc>
        <w:tc>
          <w:tcPr>
            <w:tcW w:w="1831" w:type="dxa"/>
          </w:tcPr>
          <w:p w14:paraId="57F8770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0.312</w:t>
            </w:r>
          </w:p>
        </w:tc>
      </w:tr>
      <w:tr w14:paraId="708847F4">
        <w:tc>
          <w:tcPr>
            <w:tcW w:w="2264" w:type="dxa"/>
          </w:tcPr>
          <w:p w14:paraId="366822AA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TLC (L)</w:t>
            </w:r>
          </w:p>
        </w:tc>
        <w:tc>
          <w:tcPr>
            <w:tcW w:w="2263" w:type="dxa"/>
          </w:tcPr>
          <w:p w14:paraId="5406A1E8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5.47±1.15</w:t>
            </w:r>
          </w:p>
        </w:tc>
        <w:tc>
          <w:tcPr>
            <w:tcW w:w="2539" w:type="dxa"/>
          </w:tcPr>
          <w:p w14:paraId="1D7E2C6E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5.96±1.40</w:t>
            </w:r>
          </w:p>
        </w:tc>
        <w:tc>
          <w:tcPr>
            <w:tcW w:w="1831" w:type="dxa"/>
          </w:tcPr>
          <w:p w14:paraId="0C7B481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0.383</w:t>
            </w:r>
          </w:p>
        </w:tc>
      </w:tr>
    </w:tbl>
    <w:p w14:paraId="373D5A0C">
      <w:pPr>
        <w:pStyle w:val="3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Notes: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values were calculated using independent-samples t-test for normally distributed continuous variables and Mann-Whitney U test for non-normally distributed variables (assessed by Shapiro-Wilk test). Data are presented as mean ± SD.</w:t>
      </w:r>
    </w:p>
    <w:p w14:paraId="47B44252">
      <w:pPr>
        <w:pStyle w:val="3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IOS, impulse oscillometry; BT, bronchial thermoplasty; FEV</w:t>
      </w:r>
      <w:r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>, forced expiratory volume in 1 s; FVC, forced vital capacity; MMEF, maximal mid-expiratory flow; Fres, resonant frequency; R</w:t>
      </w:r>
      <w:r>
        <w:rPr>
          <w:rFonts w:ascii="Arial" w:hAnsi="Arial" w:cs="Arial"/>
          <w:sz w:val="20"/>
          <w:szCs w:val="20"/>
          <w:vertAlign w:val="subscript"/>
        </w:rPr>
        <w:t>5</w:t>
      </w:r>
      <w:r>
        <w:rPr>
          <w:rFonts w:ascii="Arial" w:hAnsi="Arial" w:cs="Arial"/>
          <w:sz w:val="20"/>
          <w:szCs w:val="20"/>
        </w:rPr>
        <w:t>, airway resistance at 5 Hz; R</w:t>
      </w:r>
      <w:r>
        <w:rPr>
          <w:rFonts w:ascii="Arial" w:hAnsi="Arial" w:cs="Arial"/>
          <w:sz w:val="20"/>
          <w:szCs w:val="20"/>
          <w:vertAlign w:val="subscript"/>
        </w:rPr>
        <w:t>20</w:t>
      </w:r>
      <w:r>
        <w:rPr>
          <w:rFonts w:ascii="Arial" w:hAnsi="Arial" w:cs="Arial"/>
          <w:sz w:val="20"/>
          <w:szCs w:val="20"/>
        </w:rPr>
        <w:t>, airway resistance at 20 Hz; R</w:t>
      </w:r>
      <w:r>
        <w:rPr>
          <w:rFonts w:ascii="Arial" w:hAnsi="Arial" w:cs="Arial"/>
          <w:sz w:val="20"/>
          <w:szCs w:val="20"/>
          <w:vertAlign w:val="subscript"/>
        </w:rPr>
        <w:t>5</w:t>
      </w:r>
      <w:r>
        <w:rPr>
          <w:rFonts w:ascii="Arial" w:hAnsi="Arial" w:cs="Arial"/>
          <w:sz w:val="20"/>
          <w:szCs w:val="20"/>
        </w:rPr>
        <w:t>–R</w:t>
      </w:r>
      <w:r>
        <w:rPr>
          <w:rFonts w:ascii="Arial" w:hAnsi="Arial" w:cs="Arial"/>
          <w:sz w:val="20"/>
          <w:szCs w:val="20"/>
          <w:vertAlign w:val="subscript"/>
        </w:rPr>
        <w:t>20</w:t>
      </w:r>
      <w:r>
        <w:rPr>
          <w:rFonts w:ascii="Arial" w:hAnsi="Arial" w:cs="Arial"/>
          <w:sz w:val="20"/>
          <w:szCs w:val="20"/>
        </w:rPr>
        <w:t>, difference in airway resistance between 5 and 20 Hz; AX, area of reactance; FRC, functional residual capacity; TLC, total lung capacity.</w:t>
      </w:r>
      <w:bookmarkEnd w:id="4"/>
      <w:bookmarkStart w:id="5" w:name="figure-s1"/>
    </w:p>
    <w:p w14:paraId="696113F6">
      <w:pPr>
        <w:pStyle w:val="3"/>
        <w:spacing w:line="480" w:lineRule="auto"/>
        <w:rPr>
          <w:rFonts w:ascii="Arial" w:hAnsi="Arial" w:cs="Arial"/>
        </w:rPr>
      </w:pPr>
    </w:p>
    <w:bookmarkEnd w:id="5"/>
    <w:p w14:paraId="4C47ABD8">
      <w:pPr>
        <w:pStyle w:val="4"/>
        <w:spacing w:line="480" w:lineRule="auto"/>
        <w:rPr>
          <w:rFonts w:ascii="Arial" w:hAnsi="Arial" w:cs="Arial"/>
          <w:color w:val="auto"/>
          <w:sz w:val="20"/>
          <w:szCs w:val="20"/>
        </w:rPr>
      </w:pPr>
      <w:bookmarkStart w:id="6" w:name="X2eec8db62123fd68d382855f3bf0a61e127fd5e"/>
      <w:r>
        <w:rPr>
          <w:rFonts w:ascii="Arial" w:hAnsi="Arial" w:cs="Arial"/>
          <w:b/>
          <w:bCs/>
          <w:color w:val="auto"/>
          <w:sz w:val="20"/>
          <w:szCs w:val="20"/>
        </w:rPr>
        <w:t>Table S</w:t>
      </w:r>
      <w:r>
        <w:rPr>
          <w:rFonts w:hint="eastAsia" w:ascii="Arial" w:hAnsi="Arial" w:cs="Arial"/>
          <w:b/>
          <w:bCs/>
          <w:color w:val="auto"/>
          <w:sz w:val="20"/>
          <w:szCs w:val="20"/>
        </w:rPr>
        <w:t>5</w:t>
      </w:r>
      <w:r>
        <w:rPr>
          <w:rFonts w:ascii="Arial" w:hAnsi="Arial" w:cs="Arial"/>
          <w:color w:val="auto"/>
          <w:sz w:val="20"/>
          <w:szCs w:val="20"/>
        </w:rPr>
        <w:t xml:space="preserve"> Diagnostic performance of clinical, structural, and functional parameters for predicting BT response</w:t>
      </w:r>
    </w:p>
    <w:tbl>
      <w:tblPr>
        <w:tblStyle w:val="24"/>
        <w:tblW w:w="55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25"/>
        <w:gridCol w:w="1739"/>
        <w:gridCol w:w="1595"/>
        <w:gridCol w:w="1304"/>
        <w:gridCol w:w="1595"/>
      </w:tblGrid>
      <w:tr w14:paraId="32A0166B">
        <w:tc>
          <w:tcPr>
            <w:tcW w:w="1475" w:type="dxa"/>
          </w:tcPr>
          <w:p w14:paraId="74985163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2176" w:type="dxa"/>
          </w:tcPr>
          <w:p w14:paraId="12772D97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AUC (95% CI)</w:t>
            </w:r>
          </w:p>
        </w:tc>
        <w:tc>
          <w:tcPr>
            <w:tcW w:w="1701" w:type="dxa"/>
          </w:tcPr>
          <w:p w14:paraId="011CBF9E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Cut-off value</w:t>
            </w:r>
          </w:p>
        </w:tc>
        <w:tc>
          <w:tcPr>
            <w:tcW w:w="1560" w:type="dxa"/>
          </w:tcPr>
          <w:p w14:paraId="46EFC7FF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Sensitivity</w:t>
            </w:r>
          </w:p>
        </w:tc>
        <w:tc>
          <w:tcPr>
            <w:tcW w:w="1275" w:type="dxa"/>
          </w:tcPr>
          <w:p w14:paraId="77D852EF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Specificity</w:t>
            </w:r>
          </w:p>
        </w:tc>
        <w:tc>
          <w:tcPr>
            <w:tcW w:w="1560" w:type="dxa"/>
          </w:tcPr>
          <w:p w14:paraId="40F28333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Youden Index</w:t>
            </w:r>
          </w:p>
        </w:tc>
      </w:tr>
      <w:tr w14:paraId="3F85650A">
        <w:tc>
          <w:tcPr>
            <w:tcW w:w="1475" w:type="dxa"/>
          </w:tcPr>
          <w:p w14:paraId="4288C70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 (kg)</w:t>
            </w:r>
          </w:p>
        </w:tc>
        <w:tc>
          <w:tcPr>
            <w:tcW w:w="2176" w:type="dxa"/>
          </w:tcPr>
          <w:p w14:paraId="14478427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0.759 (0.500-0.975)</w:t>
            </w:r>
          </w:p>
        </w:tc>
        <w:tc>
          <w:tcPr>
            <w:tcW w:w="1701" w:type="dxa"/>
          </w:tcPr>
          <w:p w14:paraId="16A57947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</w:t>
            </w:r>
          </w:p>
        </w:tc>
        <w:tc>
          <w:tcPr>
            <w:tcW w:w="1560" w:type="dxa"/>
          </w:tcPr>
          <w:p w14:paraId="652A599B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0.955</w:t>
            </w:r>
          </w:p>
        </w:tc>
        <w:tc>
          <w:tcPr>
            <w:tcW w:w="1275" w:type="dxa"/>
          </w:tcPr>
          <w:p w14:paraId="24BC6DB8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0.625</w:t>
            </w:r>
          </w:p>
        </w:tc>
        <w:tc>
          <w:tcPr>
            <w:tcW w:w="1560" w:type="dxa"/>
          </w:tcPr>
          <w:p w14:paraId="6BCA0096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0.580</w:t>
            </w:r>
          </w:p>
        </w:tc>
      </w:tr>
      <w:tr w14:paraId="3F05F836">
        <w:tc>
          <w:tcPr>
            <w:tcW w:w="1475" w:type="dxa"/>
          </w:tcPr>
          <w:p w14:paraId="7B8215D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Triglycerides (mmol/L)</w:t>
            </w:r>
          </w:p>
        </w:tc>
        <w:tc>
          <w:tcPr>
            <w:tcW w:w="2176" w:type="dxa"/>
          </w:tcPr>
          <w:p w14:paraId="488D81F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0.694 (0.451-0.925)</w:t>
            </w:r>
          </w:p>
        </w:tc>
        <w:tc>
          <w:tcPr>
            <w:tcW w:w="1701" w:type="dxa"/>
          </w:tcPr>
          <w:p w14:paraId="77BFFA68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1560" w:type="dxa"/>
          </w:tcPr>
          <w:p w14:paraId="1AF65687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0.556</w:t>
            </w:r>
          </w:p>
        </w:tc>
        <w:tc>
          <w:tcPr>
            <w:tcW w:w="1275" w:type="dxa"/>
          </w:tcPr>
          <w:p w14:paraId="77623E8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0.833</w:t>
            </w:r>
          </w:p>
        </w:tc>
        <w:tc>
          <w:tcPr>
            <w:tcW w:w="1560" w:type="dxa"/>
          </w:tcPr>
          <w:p w14:paraId="0F049CF4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0.389</w:t>
            </w:r>
          </w:p>
        </w:tc>
      </w:tr>
      <w:tr w14:paraId="622315A3">
        <w:tc>
          <w:tcPr>
            <w:tcW w:w="1475" w:type="dxa"/>
          </w:tcPr>
          <w:p w14:paraId="630FF29A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COL3 (IOD/mm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76" w:type="dxa"/>
          </w:tcPr>
          <w:p w14:paraId="75DAE69E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0.846 (0.577-1.000)</w:t>
            </w:r>
          </w:p>
        </w:tc>
        <w:tc>
          <w:tcPr>
            <w:tcW w:w="1701" w:type="dxa"/>
          </w:tcPr>
          <w:p w14:paraId="69CE321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0.305</w:t>
            </w:r>
          </w:p>
        </w:tc>
        <w:tc>
          <w:tcPr>
            <w:tcW w:w="1560" w:type="dxa"/>
          </w:tcPr>
          <w:p w14:paraId="2664450B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0.615</w:t>
            </w:r>
          </w:p>
        </w:tc>
        <w:tc>
          <w:tcPr>
            <w:tcW w:w="1275" w:type="dxa"/>
          </w:tcPr>
          <w:p w14:paraId="6FB982A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560" w:type="dxa"/>
          </w:tcPr>
          <w:p w14:paraId="3AD6EBDB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0.615</w:t>
            </w:r>
          </w:p>
        </w:tc>
      </w:tr>
      <w:tr w14:paraId="41D5AB9C">
        <w:tc>
          <w:tcPr>
            <w:tcW w:w="1475" w:type="dxa"/>
          </w:tcPr>
          <w:p w14:paraId="7701E95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Ai7-9 (mm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76" w:type="dxa"/>
          </w:tcPr>
          <w:p w14:paraId="1F61109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0.830 (0.642-0.962)</w:t>
            </w:r>
          </w:p>
        </w:tc>
        <w:tc>
          <w:tcPr>
            <w:tcW w:w="1701" w:type="dxa"/>
          </w:tcPr>
          <w:p w14:paraId="69C51E14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2.77</w:t>
            </w:r>
          </w:p>
        </w:tc>
        <w:tc>
          <w:tcPr>
            <w:tcW w:w="1560" w:type="dxa"/>
          </w:tcPr>
          <w:p w14:paraId="4A1FE731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0.682</w:t>
            </w:r>
          </w:p>
        </w:tc>
        <w:tc>
          <w:tcPr>
            <w:tcW w:w="1275" w:type="dxa"/>
          </w:tcPr>
          <w:p w14:paraId="44F51B4B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560" w:type="dxa"/>
          </w:tcPr>
          <w:p w14:paraId="0A24D39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0.682</w:t>
            </w:r>
          </w:p>
        </w:tc>
      </w:tr>
      <w:tr w14:paraId="176C1004">
        <w:tc>
          <w:tcPr>
            <w:tcW w:w="1475" w:type="dxa"/>
          </w:tcPr>
          <w:p w14:paraId="3D254727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Aw%3-6 (%)</w:t>
            </w:r>
          </w:p>
        </w:tc>
        <w:tc>
          <w:tcPr>
            <w:tcW w:w="2176" w:type="dxa"/>
          </w:tcPr>
          <w:p w14:paraId="5A2787F2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0.761 (0.576-0.917)</w:t>
            </w:r>
          </w:p>
        </w:tc>
        <w:tc>
          <w:tcPr>
            <w:tcW w:w="1701" w:type="dxa"/>
          </w:tcPr>
          <w:p w14:paraId="39973484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32.97</w:t>
            </w:r>
          </w:p>
        </w:tc>
        <w:tc>
          <w:tcPr>
            <w:tcW w:w="1560" w:type="dxa"/>
          </w:tcPr>
          <w:p w14:paraId="78C6917A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0.727</w:t>
            </w:r>
          </w:p>
        </w:tc>
        <w:tc>
          <w:tcPr>
            <w:tcW w:w="1275" w:type="dxa"/>
          </w:tcPr>
          <w:p w14:paraId="74C7FA3D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0.750</w:t>
            </w:r>
          </w:p>
        </w:tc>
        <w:tc>
          <w:tcPr>
            <w:tcW w:w="1560" w:type="dxa"/>
          </w:tcPr>
          <w:p w14:paraId="36D7FF5B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0.477</w:t>
            </w:r>
          </w:p>
        </w:tc>
      </w:tr>
      <w:tr w14:paraId="43AB9193">
        <w:tc>
          <w:tcPr>
            <w:tcW w:w="1475" w:type="dxa"/>
          </w:tcPr>
          <w:p w14:paraId="27AF27A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RV/TLC (%)</w:t>
            </w:r>
          </w:p>
        </w:tc>
        <w:tc>
          <w:tcPr>
            <w:tcW w:w="2176" w:type="dxa"/>
          </w:tcPr>
          <w:p w14:paraId="0590B5A5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0.756 (0.531-0.938)</w:t>
            </w:r>
          </w:p>
        </w:tc>
        <w:tc>
          <w:tcPr>
            <w:tcW w:w="1701" w:type="dxa"/>
          </w:tcPr>
          <w:p w14:paraId="1B95201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39.56</w:t>
            </w:r>
          </w:p>
        </w:tc>
        <w:tc>
          <w:tcPr>
            <w:tcW w:w="1560" w:type="dxa"/>
          </w:tcPr>
          <w:p w14:paraId="42FD893F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0.765</w:t>
            </w:r>
          </w:p>
        </w:tc>
        <w:tc>
          <w:tcPr>
            <w:tcW w:w="1275" w:type="dxa"/>
          </w:tcPr>
          <w:p w14:paraId="1386FCC6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0.714</w:t>
            </w:r>
          </w:p>
        </w:tc>
        <w:tc>
          <w:tcPr>
            <w:tcW w:w="1560" w:type="dxa"/>
          </w:tcPr>
          <w:p w14:paraId="3C9BE4F6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0.479</w:t>
            </w:r>
          </w:p>
        </w:tc>
      </w:tr>
      <w:tr w14:paraId="5AAC5E37">
        <w:tc>
          <w:tcPr>
            <w:tcW w:w="1475" w:type="dxa"/>
          </w:tcPr>
          <w:p w14:paraId="27FC96EF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BMI (kg/m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76" w:type="dxa"/>
          </w:tcPr>
          <w:p w14:paraId="20372332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0.733 (0.495-0.950)</w:t>
            </w:r>
          </w:p>
        </w:tc>
        <w:tc>
          <w:tcPr>
            <w:tcW w:w="1701" w:type="dxa"/>
          </w:tcPr>
          <w:p w14:paraId="7E4DFCDE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26.81</w:t>
            </w:r>
          </w:p>
        </w:tc>
        <w:tc>
          <w:tcPr>
            <w:tcW w:w="1560" w:type="dxa"/>
          </w:tcPr>
          <w:p w14:paraId="10EACA56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0.909</w:t>
            </w:r>
          </w:p>
        </w:tc>
        <w:tc>
          <w:tcPr>
            <w:tcW w:w="1275" w:type="dxa"/>
          </w:tcPr>
          <w:p w14:paraId="1A60F81F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0.625</w:t>
            </w:r>
          </w:p>
        </w:tc>
        <w:tc>
          <w:tcPr>
            <w:tcW w:w="1560" w:type="dxa"/>
          </w:tcPr>
          <w:p w14:paraId="151B7D8E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0.534</w:t>
            </w:r>
          </w:p>
        </w:tc>
      </w:tr>
      <w:tr w14:paraId="37E7DEFA">
        <w:tc>
          <w:tcPr>
            <w:tcW w:w="1475" w:type="dxa"/>
          </w:tcPr>
          <w:p w14:paraId="21A7559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(kPa/L/s)</w:t>
            </w:r>
          </w:p>
        </w:tc>
        <w:tc>
          <w:tcPr>
            <w:tcW w:w="2176" w:type="dxa"/>
          </w:tcPr>
          <w:p w14:paraId="2B8AA9F7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0.938 (0.799-1.000)</w:t>
            </w:r>
          </w:p>
        </w:tc>
        <w:tc>
          <w:tcPr>
            <w:tcW w:w="1701" w:type="dxa"/>
          </w:tcPr>
          <w:p w14:paraId="01A7401A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-0.130</w:t>
            </w:r>
          </w:p>
        </w:tc>
        <w:tc>
          <w:tcPr>
            <w:tcW w:w="1560" w:type="dxa"/>
          </w:tcPr>
          <w:p w14:paraId="0852D0FB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0.750</w:t>
            </w:r>
          </w:p>
        </w:tc>
        <w:tc>
          <w:tcPr>
            <w:tcW w:w="1275" w:type="dxa"/>
          </w:tcPr>
          <w:p w14:paraId="6C27F51D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560" w:type="dxa"/>
          </w:tcPr>
          <w:p w14:paraId="53F34D4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0.750</w:t>
            </w:r>
          </w:p>
        </w:tc>
      </w:tr>
      <w:tr w14:paraId="7BAEBA55">
        <w:tc>
          <w:tcPr>
            <w:tcW w:w="1475" w:type="dxa"/>
          </w:tcPr>
          <w:p w14:paraId="5561FC47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Ai3-6 (mm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76" w:type="dxa"/>
          </w:tcPr>
          <w:p w14:paraId="2B18195E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0.795 (0.608-0.950)</w:t>
            </w:r>
          </w:p>
        </w:tc>
        <w:tc>
          <w:tcPr>
            <w:tcW w:w="1701" w:type="dxa"/>
          </w:tcPr>
          <w:p w14:paraId="5692025D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</w:t>
            </w:r>
          </w:p>
        </w:tc>
        <w:tc>
          <w:tcPr>
            <w:tcW w:w="1560" w:type="dxa"/>
          </w:tcPr>
          <w:p w14:paraId="3A71941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0.818</w:t>
            </w:r>
          </w:p>
        </w:tc>
        <w:tc>
          <w:tcPr>
            <w:tcW w:w="1275" w:type="dxa"/>
          </w:tcPr>
          <w:p w14:paraId="324BC65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0.750</w:t>
            </w:r>
          </w:p>
        </w:tc>
        <w:tc>
          <w:tcPr>
            <w:tcW w:w="1560" w:type="dxa"/>
          </w:tcPr>
          <w:p w14:paraId="20050572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0.568</w:t>
            </w:r>
          </w:p>
        </w:tc>
      </w:tr>
      <w:tr w14:paraId="1B4ABF17">
        <w:tc>
          <w:tcPr>
            <w:tcW w:w="1475" w:type="dxa"/>
          </w:tcPr>
          <w:p w14:paraId="792F398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 (BMI + X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+ Ai3-6)</w:t>
            </w:r>
          </w:p>
        </w:tc>
        <w:tc>
          <w:tcPr>
            <w:tcW w:w="2176" w:type="dxa"/>
          </w:tcPr>
          <w:p w14:paraId="23BDCFA0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0.988 (0.925-1.000)</w:t>
            </w:r>
          </w:p>
        </w:tc>
        <w:tc>
          <w:tcPr>
            <w:tcW w:w="1701" w:type="dxa"/>
          </w:tcPr>
          <w:p w14:paraId="43D2E4C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0.952</w:t>
            </w:r>
          </w:p>
        </w:tc>
        <w:tc>
          <w:tcPr>
            <w:tcW w:w="1560" w:type="dxa"/>
          </w:tcPr>
          <w:p w14:paraId="0CA03E61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0.938</w:t>
            </w:r>
          </w:p>
        </w:tc>
        <w:tc>
          <w:tcPr>
            <w:tcW w:w="1275" w:type="dxa"/>
          </w:tcPr>
          <w:p w14:paraId="7A85C1A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560" w:type="dxa"/>
          </w:tcPr>
          <w:p w14:paraId="786379F6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0.938</w:t>
            </w:r>
          </w:p>
        </w:tc>
      </w:tr>
    </w:tbl>
    <w:p w14:paraId="1D919E6A">
      <w:pPr>
        <w:pStyle w:val="3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Notes:</w:t>
      </w:r>
      <w:r>
        <w:rPr>
          <w:rFonts w:ascii="Arial" w:hAnsi="Arial" w:cs="Arial"/>
          <w:sz w:val="20"/>
          <w:szCs w:val="20"/>
        </w:rPr>
        <w:t xml:space="preserve"> Cut-off values were determined by maximizing the Youden index (sensitivity + specificity − 1) from ROC analysis. For the combined model (COMB), the cut-off value represents the predicted probability threshold derived from the logistic regression model. Available-case analysis was used, and the sample size varied across predictors: Weight, BMI, and Ai variables (n = 30); triglycerides and RV/TLC (n = 24); X</w:t>
      </w:r>
      <w:r>
        <w:rPr>
          <w:rFonts w:hint="eastAsia" w:ascii="Arial" w:hAnsi="Arial" w:cs="Arial"/>
          <w:sz w:val="20"/>
          <w:szCs w:val="20"/>
          <w:vertAlign w:val="subscript"/>
        </w:rPr>
        <w:t>5</w:t>
      </w:r>
      <w:r>
        <w:rPr>
          <w:rFonts w:ascii="Arial" w:hAnsi="Arial" w:cs="Arial"/>
          <w:sz w:val="20"/>
          <w:szCs w:val="20"/>
        </w:rPr>
        <w:t xml:space="preserve"> and COMB (n = 21); and COL3 (n = 17).</w:t>
      </w:r>
    </w:p>
    <w:p w14:paraId="7676FFC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BT, bronchial thermoplasty; AUC, area under the curve; CI, confidence interval; COL3, collagen type III; IOD, integrated optical density; Ai, airway internal (luminal) area; Aw%, airway wall area percentage; RV, residual volume; TLC, total lung capacity; BMI, body mass index; X</w:t>
      </w:r>
      <w:r>
        <w:rPr>
          <w:rFonts w:ascii="Arial" w:hAnsi="Arial" w:cs="Arial"/>
          <w:sz w:val="20"/>
          <w:szCs w:val="20"/>
          <w:vertAlign w:val="subscript"/>
        </w:rPr>
        <w:t>5</w:t>
      </w:r>
      <w:r>
        <w:rPr>
          <w:rFonts w:ascii="Arial" w:hAnsi="Arial" w:cs="Arial"/>
          <w:sz w:val="20"/>
          <w:szCs w:val="20"/>
        </w:rPr>
        <w:t>, reactance at 5 Hz; COMB, combined model.</w:t>
      </w:r>
    </w:p>
    <w:bookmarkEnd w:id="6"/>
    <w:p w14:paraId="4E405D9F">
      <w:pPr>
        <w:pStyle w:val="3"/>
        <w:spacing w:line="480" w:lineRule="auto"/>
        <w:jc w:val="both"/>
        <w:rPr>
          <w:rFonts w:ascii="Arial" w:hAnsi="Arial" w:cs="Arial"/>
          <w:sz w:val="20"/>
          <w:szCs w:val="20"/>
        </w:rPr>
      </w:pPr>
      <w:bookmarkStart w:id="7" w:name="X5a0331832591dd0cefc2c1e194b1fd6864f28f3"/>
    </w:p>
    <w:bookmarkEnd w:id="7"/>
    <w:p w14:paraId="16548A3C">
      <w:pPr>
        <w:pStyle w:val="4"/>
        <w:spacing w:line="48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8" w:name="X7efffc9b6cc6ee9000d793c53e6d42e42b824d3"/>
      <w:r>
        <w:rPr>
          <w:rFonts w:ascii="Arial" w:hAnsi="Arial" w:cs="Arial"/>
          <w:b/>
          <w:bCs/>
          <w:color w:val="auto"/>
          <w:sz w:val="20"/>
          <w:szCs w:val="20"/>
        </w:rPr>
        <w:t>Table S</w:t>
      </w:r>
      <w:r>
        <w:rPr>
          <w:rFonts w:hint="eastAsia" w:ascii="Arial" w:hAnsi="Arial" w:cs="Arial"/>
          <w:b/>
          <w:bCs/>
          <w:color w:val="auto"/>
          <w:sz w:val="20"/>
          <w:szCs w:val="20"/>
        </w:rPr>
        <w:t>6</w:t>
      </w:r>
      <w:r>
        <w:rPr>
          <w:rFonts w:ascii="Arial" w:hAnsi="Arial" w:cs="Arial"/>
          <w:color w:val="auto"/>
          <w:sz w:val="20"/>
          <w:szCs w:val="20"/>
        </w:rPr>
        <w:t xml:space="preserve"> Multivariable logistic regression analysis for predicting BT response</w:t>
      </w:r>
      <w:r>
        <w:rPr>
          <w:rFonts w:ascii="Arial" w:hAnsi="Arial" w:cs="Arial" w:eastAsiaTheme="minorEastAsia"/>
          <w:b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(n = 21)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50"/>
        <w:gridCol w:w="828"/>
        <w:gridCol w:w="917"/>
        <w:gridCol w:w="1243"/>
        <w:gridCol w:w="2851"/>
      </w:tblGrid>
      <w:tr w14:paraId="088267E5">
        <w:tc>
          <w:tcPr>
            <w:tcW w:w="0" w:type="auto"/>
          </w:tcPr>
          <w:p w14:paraId="4447E1BC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0" w:type="auto"/>
          </w:tcPr>
          <w:p w14:paraId="14ABBD25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Coefficient</w:t>
            </w:r>
          </w:p>
        </w:tc>
        <w:tc>
          <w:tcPr>
            <w:tcW w:w="0" w:type="auto"/>
          </w:tcPr>
          <w:p w14:paraId="1B83F1BC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0" w:type="auto"/>
          </w:tcPr>
          <w:p w14:paraId="2FDD831A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0" w:type="auto"/>
          </w:tcPr>
          <w:p w14:paraId="5FFB5310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0" w:type="auto"/>
          </w:tcPr>
          <w:p w14:paraId="47AE65C1">
            <w:pPr>
              <w:pStyle w:val="31"/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95% CI</w:t>
            </w:r>
          </w:p>
        </w:tc>
      </w:tr>
      <w:tr w14:paraId="6E0A75E1">
        <w:tc>
          <w:tcPr>
            <w:tcW w:w="0" w:type="auto"/>
          </w:tcPr>
          <w:p w14:paraId="0DD87A4F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BMI (kg/m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4D8F26E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-0.074</w:t>
            </w:r>
          </w:p>
        </w:tc>
        <w:tc>
          <w:tcPr>
            <w:tcW w:w="0" w:type="auto"/>
          </w:tcPr>
          <w:p w14:paraId="51D9359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0.314</w:t>
            </w:r>
          </w:p>
        </w:tc>
        <w:tc>
          <w:tcPr>
            <w:tcW w:w="0" w:type="auto"/>
          </w:tcPr>
          <w:p w14:paraId="14EA7EB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0.815</w:t>
            </w:r>
          </w:p>
        </w:tc>
        <w:tc>
          <w:tcPr>
            <w:tcW w:w="0" w:type="auto"/>
          </w:tcPr>
          <w:p w14:paraId="030CBCB4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0.929</w:t>
            </w:r>
          </w:p>
        </w:tc>
        <w:tc>
          <w:tcPr>
            <w:tcW w:w="0" w:type="auto"/>
          </w:tcPr>
          <w:p w14:paraId="1AB00708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0.502 – 1.720</w:t>
            </w:r>
          </w:p>
        </w:tc>
      </w:tr>
      <w:tr w14:paraId="76BDF227">
        <w:trPr>
          <w:trHeight w:val="504" w:hRule="atLeast"/>
        </w:trPr>
        <w:tc>
          <w:tcPr>
            <w:tcW w:w="0" w:type="auto"/>
          </w:tcPr>
          <w:p w14:paraId="22591D85">
            <w:pPr>
              <w:pStyle w:val="31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(kPa/L/s)</w:t>
            </w:r>
          </w:p>
        </w:tc>
        <w:tc>
          <w:tcPr>
            <w:tcW w:w="0" w:type="auto"/>
          </w:tcPr>
          <w:p w14:paraId="4FCE36A1">
            <w:pPr>
              <w:pStyle w:val="31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-42.706</w:t>
            </w:r>
          </w:p>
        </w:tc>
        <w:tc>
          <w:tcPr>
            <w:tcW w:w="0" w:type="auto"/>
          </w:tcPr>
          <w:p w14:paraId="3512AAFC">
            <w:pPr>
              <w:pStyle w:val="31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34.513</w:t>
            </w:r>
          </w:p>
        </w:tc>
        <w:tc>
          <w:tcPr>
            <w:tcW w:w="0" w:type="auto"/>
          </w:tcPr>
          <w:p w14:paraId="28365FFD">
            <w:pPr>
              <w:pStyle w:val="31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0.216</w:t>
            </w:r>
          </w:p>
        </w:tc>
        <w:tc>
          <w:tcPr>
            <w:tcW w:w="0" w:type="auto"/>
          </w:tcPr>
          <w:p w14:paraId="490D299A">
            <w:pPr>
              <w:pStyle w:val="31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2.84 × 10</w:t>
            </w:r>
            <w:r>
              <w:rPr>
                <w:rFonts w:hint="eastAsia" w:ascii="Arial" w:hAnsi="Arial" w:cs="Arial"/>
                <w:sz w:val="20"/>
                <w:szCs w:val="20"/>
                <w:vertAlign w:val="superscript"/>
              </w:rPr>
              <w:t>-19</w:t>
            </w:r>
          </w:p>
        </w:tc>
        <w:tc>
          <w:tcPr>
            <w:tcW w:w="2851" w:type="dxa"/>
          </w:tcPr>
          <w:p w14:paraId="1901D7BB">
            <w:pPr>
              <w:pStyle w:val="31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 × 10</w:t>
            </w:r>
            <w:r>
              <w:rPr>
                <w:rFonts w:hint="eastAsia" w:ascii="Arial" w:hAnsi="Arial" w:cs="Arial"/>
                <w:sz w:val="20"/>
                <w:szCs w:val="20"/>
                <w:vertAlign w:val="superscript"/>
              </w:rPr>
              <w:t>-48</w:t>
            </w:r>
            <w:r>
              <w:rPr>
                <w:rFonts w:ascii="Arial" w:hAnsi="Arial" w:cs="Arial"/>
                <w:sz w:val="20"/>
                <w:szCs w:val="20"/>
              </w:rPr>
              <w:t xml:space="preserve"> – 6.77 × 10</w:t>
            </w:r>
            <w:r>
              <w:rPr>
                <w:rFonts w:hint="eastAsia" w:ascii="Arial" w:hAnsi="Arial" w:cs="Arial"/>
                <w:sz w:val="20"/>
                <w:szCs w:val="20"/>
                <w:vertAlign w:val="superscript"/>
              </w:rPr>
              <w:t>10</w:t>
            </w:r>
          </w:p>
        </w:tc>
      </w:tr>
      <w:tr w14:paraId="67E545C4">
        <w:tc>
          <w:tcPr>
            <w:tcW w:w="0" w:type="auto"/>
          </w:tcPr>
          <w:p w14:paraId="6FFFBE7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Ai3-6 (mm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13B0EF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0.673</w:t>
            </w:r>
          </w:p>
        </w:tc>
        <w:tc>
          <w:tcPr>
            <w:tcW w:w="0" w:type="auto"/>
          </w:tcPr>
          <w:p w14:paraId="11BAAA1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0.605</w:t>
            </w:r>
          </w:p>
        </w:tc>
        <w:tc>
          <w:tcPr>
            <w:tcW w:w="0" w:type="auto"/>
          </w:tcPr>
          <w:p w14:paraId="411C3EAC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0.266</w:t>
            </w:r>
          </w:p>
        </w:tc>
        <w:tc>
          <w:tcPr>
            <w:tcW w:w="0" w:type="auto"/>
          </w:tcPr>
          <w:p w14:paraId="739D3229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1.960</w:t>
            </w:r>
          </w:p>
        </w:tc>
        <w:tc>
          <w:tcPr>
            <w:tcW w:w="0" w:type="auto"/>
          </w:tcPr>
          <w:p w14:paraId="709A3B63">
            <w:pPr>
              <w:pStyle w:val="3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0.599 – 6.414</w:t>
            </w:r>
          </w:p>
        </w:tc>
      </w:tr>
      <w:bookmarkEnd w:id="0"/>
      <w:bookmarkEnd w:id="8"/>
    </w:tbl>
    <w:p w14:paraId="61B25355">
      <w:pPr>
        <w:pStyle w:val="3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Notes:</w:t>
      </w:r>
      <w:r>
        <w:rPr>
          <w:rFonts w:ascii="Arial" w:hAnsi="Arial" w:cs="Arial"/>
          <w:sz w:val="20"/>
          <w:szCs w:val="20"/>
        </w:rPr>
        <w:t xml:space="preserve"> The multivariable model used 21 complete cases (16 responders and 5 non-responders). Model performance metrics were as follows: apparent AUC = 0.988; LOOCV AUC = 0.750; AIC = 13.5; Pseudo R² = 0.763. The likelihood ratio test comparing the full model with the X</w:t>
      </w:r>
      <w:r>
        <w:rPr>
          <w:rFonts w:ascii="Arial" w:hAnsi="Arial" w:cs="Arial"/>
          <w:sz w:val="20"/>
          <w:szCs w:val="20"/>
          <w:vertAlign w:val="subscript"/>
        </w:rPr>
        <w:t>5</w:t>
      </w:r>
      <w:r>
        <w:rPr>
          <w:rFonts w:ascii="Arial" w:hAnsi="Arial" w:cs="Arial"/>
          <w:sz w:val="20"/>
          <w:szCs w:val="20"/>
        </w:rPr>
        <w:t xml:space="preserve">-only model yielded χ² = 4.53 and </w:t>
      </w:r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= 0.104.</w:t>
      </w:r>
    </w:p>
    <w:p w14:paraId="1133C9A2">
      <w:pPr>
        <w:pStyle w:val="3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SE, standard error; OR, odds ratio; CI, confidence interval; AUC, area under the curve; LOOCV, leave-one-out cross-validation; AIC, Akaike information criterion.</w:t>
      </w:r>
    </w:p>
    <w:p w14:paraId="0ACB18F5">
      <w:pPr>
        <w:pStyle w:val="3"/>
        <w:spacing w:line="480" w:lineRule="auto"/>
        <w:rPr>
          <w:rFonts w:ascii="Arial" w:hAnsi="Arial" w:cs="Arial"/>
          <w:sz w:val="20"/>
          <w:szCs w:val="20"/>
        </w:rPr>
      </w:pPr>
    </w:p>
    <w:p w14:paraId="2C891EF6">
      <w:pPr>
        <w:pStyle w:val="3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5270500" cy="1447800"/>
            <wp:effectExtent l="0" t="0" r="0" b="0"/>
            <wp:docPr id="774697521" name="图片 1" descr="黑暗里有灯光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97521" name="图片 1" descr="黑暗里有灯光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58070">
      <w:pPr>
        <w:pStyle w:val="3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Figure S1.</w:t>
      </w:r>
      <w:r>
        <w:rPr>
          <w:rFonts w:ascii="Arial" w:hAnsi="Arial" w:cs="Arial"/>
          <w:sz w:val="20"/>
          <w:szCs w:val="20"/>
        </w:rPr>
        <w:t xml:space="preserve"> Quantitative analysis of additional airway mucosal immunohistochemical markers in responders and non-responders to bronchial thermoplasty (BT). (A) α7-nicotinic acetylcholine receptor (α7nAChR), (B) Acetylcholine (ACh), (C) Heat shock protein 70 (HSP70), (D) α-smooth muscle actin (α-SMA). Data are presented as mean ± SD. ns, not significant.</w:t>
      </w:r>
    </w:p>
    <w:p w14:paraId="6DCCFD96">
      <w:pPr>
        <w:pStyle w:val="3"/>
        <w:spacing w:line="480" w:lineRule="auto"/>
        <w:rPr>
          <w:rFonts w:ascii="Arial" w:hAnsi="Arial" w:cs="Arial"/>
          <w:sz w:val="20"/>
          <w:szCs w:val="20"/>
        </w:rPr>
      </w:pPr>
    </w:p>
    <w:sectPr>
      <w:footerReference r:id="rId6" w:type="first"/>
      <w:footerReference r:id="rId4" w:type="default"/>
      <w:footerReference r:id="rId5" w:type="even"/>
      <w:footnotePr>
        <w:numRestart w:val="eachSect"/>
      </w:footnotePr>
      <w:pgSz w:w="12240" w:h="15840"/>
      <w:pgMar w:top="1701" w:right="1701" w:bottom="1701" w:left="1701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9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Georgia">
    <w:panose1 w:val="02040502050405090303"/>
    <w:charset w:val="00"/>
    <w:family w:val="roman"/>
    <w:pitch w:val="default"/>
    <w:sig w:usb0="00000287" w:usb1="00000000" w:usb2="00000000" w:usb3="00000000" w:csb0="2000009F" w:csb1="00000000"/>
  </w:font>
  <w:font w:name="Rockwell">
    <w:panose1 w:val="02060503020205020403"/>
    <w:charset w:val="00"/>
    <w:family w:val="roman"/>
    <w:pitch w:val="default"/>
    <w:sig w:usb0="810002EF" w:usb1="0000000A" w:usb2="00000000" w:usb3="00000000" w:csb0="000001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Italic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64ACA">
    <w:pPr>
      <w:pStyle w:val="17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51053022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D9AA6">
                          <w:pPr>
                            <w:spacing w:after="0"/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Information Classification: General" type="#_x0000_t202" style="position:absolute;left:0pt;height:25.55pt;width:164.2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0FaUHUAAAABAEAAA8AAAAAAAAAAQAgAAAAIgAA&#10;AGRycy9kb3ducmV2LnhtbFBLAQIUABQAAAAIAIdO4kCPO4lkRQIAAIkEAAAOAAAAAAAAAAEAIAAA&#10;ACMBAABkcnMvZTJvRG9jLnhtbFBLBQYAAAAABgAGAFkBAADa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1F4D9AA6">
                    <w:pPr>
                      <w:spacing w:after="0"/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3F062">
    <w:pPr>
      <w:pStyle w:val="17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211544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5AFC2">
                          <w:pPr>
                            <w:spacing w:after="0"/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25.55pt;width:164.2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9BWlB1AAAAAQBAAAPAAAAAAAAAAEAIAAAACIAAABk&#10;cnMvZG93bnJldi54bWxQSwECFAAUAAAACACHTuJA8QeowEMCAACIBAAADgAAAAAAAAABACAAAAAj&#10;AQAAZHJzL2Uyb0RvYy54bWxQSwUGAAAAAAYABgBZAQAA2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4CD5AFC2">
                    <w:pPr>
                      <w:spacing w:after="0"/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46EE8">
    <w:pPr>
      <w:pStyle w:val="1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07364747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F1193">
                          <w:pPr>
                            <w:spacing w:after="0"/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25.55pt;width:164.2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0FaUHUAAAABAEAAA8AAAAAAAAAAQAgAAAAIgAA&#10;AGRycy9kb3ducmV2LnhtbFBLAQIUABQAAAAIAIdO4kAWmcxIRQIAAIgEAAAOAAAAAAAAAAEAIAAA&#10;ACMBAABkcnMvZTJvRG9jLnhtbFBLBQYAAAAABgAGAFkBAADa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45CF1193">
                    <w:pPr>
                      <w:spacing w:after="0"/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3C"/>
    <w:rsid w:val="00006A15"/>
    <w:rsid w:val="000234F8"/>
    <w:rsid w:val="0006138F"/>
    <w:rsid w:val="000828F7"/>
    <w:rsid w:val="000C5972"/>
    <w:rsid w:val="000D0D29"/>
    <w:rsid w:val="000D115E"/>
    <w:rsid w:val="000F1DB2"/>
    <w:rsid w:val="000F3D40"/>
    <w:rsid w:val="00100A98"/>
    <w:rsid w:val="00122892"/>
    <w:rsid w:val="0014243A"/>
    <w:rsid w:val="001461D0"/>
    <w:rsid w:val="00166DC6"/>
    <w:rsid w:val="001A1454"/>
    <w:rsid w:val="001A45C7"/>
    <w:rsid w:val="001B2F5F"/>
    <w:rsid w:val="001B6077"/>
    <w:rsid w:val="001C23B1"/>
    <w:rsid w:val="00220036"/>
    <w:rsid w:val="00270E33"/>
    <w:rsid w:val="00286E6A"/>
    <w:rsid w:val="002B10A5"/>
    <w:rsid w:val="002D06C0"/>
    <w:rsid w:val="002F3B19"/>
    <w:rsid w:val="003049C7"/>
    <w:rsid w:val="003435C2"/>
    <w:rsid w:val="0036749E"/>
    <w:rsid w:val="003909C2"/>
    <w:rsid w:val="003979BC"/>
    <w:rsid w:val="003B6AEE"/>
    <w:rsid w:val="003C78D9"/>
    <w:rsid w:val="003D48F6"/>
    <w:rsid w:val="003E0FB8"/>
    <w:rsid w:val="003E59CB"/>
    <w:rsid w:val="003F2126"/>
    <w:rsid w:val="0041786E"/>
    <w:rsid w:val="00441573"/>
    <w:rsid w:val="00450FDC"/>
    <w:rsid w:val="0045290B"/>
    <w:rsid w:val="00453D92"/>
    <w:rsid w:val="004D685E"/>
    <w:rsid w:val="004F0089"/>
    <w:rsid w:val="00504B37"/>
    <w:rsid w:val="00552761"/>
    <w:rsid w:val="005B694A"/>
    <w:rsid w:val="005C2246"/>
    <w:rsid w:val="005D2A0D"/>
    <w:rsid w:val="005E4D1D"/>
    <w:rsid w:val="00616567"/>
    <w:rsid w:val="00630CE2"/>
    <w:rsid w:val="00643768"/>
    <w:rsid w:val="00645BBA"/>
    <w:rsid w:val="00647901"/>
    <w:rsid w:val="006573D4"/>
    <w:rsid w:val="00697F95"/>
    <w:rsid w:val="006B6576"/>
    <w:rsid w:val="00705D47"/>
    <w:rsid w:val="00715EBC"/>
    <w:rsid w:val="00735957"/>
    <w:rsid w:val="00794E8F"/>
    <w:rsid w:val="007B0658"/>
    <w:rsid w:val="007B2FD2"/>
    <w:rsid w:val="007C65B8"/>
    <w:rsid w:val="007E21E1"/>
    <w:rsid w:val="0080161F"/>
    <w:rsid w:val="008301A8"/>
    <w:rsid w:val="0087089A"/>
    <w:rsid w:val="00891721"/>
    <w:rsid w:val="008A3488"/>
    <w:rsid w:val="008C5DAD"/>
    <w:rsid w:val="009179A7"/>
    <w:rsid w:val="009301F8"/>
    <w:rsid w:val="009728AD"/>
    <w:rsid w:val="00996BD6"/>
    <w:rsid w:val="009A26D4"/>
    <w:rsid w:val="009C7AFD"/>
    <w:rsid w:val="00A912CB"/>
    <w:rsid w:val="00A92379"/>
    <w:rsid w:val="00AA31E6"/>
    <w:rsid w:val="00AB29D2"/>
    <w:rsid w:val="00B1260B"/>
    <w:rsid w:val="00B134A4"/>
    <w:rsid w:val="00B3613E"/>
    <w:rsid w:val="00B41E1D"/>
    <w:rsid w:val="00B77635"/>
    <w:rsid w:val="00BB7DB7"/>
    <w:rsid w:val="00BC71CA"/>
    <w:rsid w:val="00C378C0"/>
    <w:rsid w:val="00C47AE3"/>
    <w:rsid w:val="00C527D5"/>
    <w:rsid w:val="00C8750E"/>
    <w:rsid w:val="00C945C2"/>
    <w:rsid w:val="00C95A96"/>
    <w:rsid w:val="00CA3F87"/>
    <w:rsid w:val="00D16D33"/>
    <w:rsid w:val="00D36DD2"/>
    <w:rsid w:val="00D649D6"/>
    <w:rsid w:val="00D84A03"/>
    <w:rsid w:val="00DB5CB3"/>
    <w:rsid w:val="00DE1756"/>
    <w:rsid w:val="00DE4179"/>
    <w:rsid w:val="00E04B67"/>
    <w:rsid w:val="00E1213C"/>
    <w:rsid w:val="00E1281C"/>
    <w:rsid w:val="00E30B6B"/>
    <w:rsid w:val="00E30F9C"/>
    <w:rsid w:val="00E97D2F"/>
    <w:rsid w:val="00F70696"/>
    <w:rsid w:val="00F95605"/>
    <w:rsid w:val="00FC0E78"/>
    <w:rsid w:val="00FC42D5"/>
    <w:rsid w:val="0FBBA175"/>
    <w:rsid w:val="1A752366"/>
    <w:rsid w:val="3CA171A1"/>
    <w:rsid w:val="3E77AF0C"/>
    <w:rsid w:val="4B87AA4E"/>
    <w:rsid w:val="4F5F3C14"/>
    <w:rsid w:val="5733717F"/>
    <w:rsid w:val="59DAB780"/>
    <w:rsid w:val="5AB779B7"/>
    <w:rsid w:val="5BFFB5B0"/>
    <w:rsid w:val="5CFDA854"/>
    <w:rsid w:val="5D5D1A46"/>
    <w:rsid w:val="5F0F5D02"/>
    <w:rsid w:val="65F7985E"/>
    <w:rsid w:val="67EF77A6"/>
    <w:rsid w:val="68FB13DE"/>
    <w:rsid w:val="6BEF2CFE"/>
    <w:rsid w:val="7EC7028D"/>
    <w:rsid w:val="AD7A04CB"/>
    <w:rsid w:val="BB6D41BC"/>
    <w:rsid w:val="BD5F88E2"/>
    <w:rsid w:val="BF8D4CB0"/>
    <w:rsid w:val="BFB642BD"/>
    <w:rsid w:val="DE6B7708"/>
    <w:rsid w:val="DFE52E5F"/>
    <w:rsid w:val="DFEF6027"/>
    <w:rsid w:val="E5EF348B"/>
    <w:rsid w:val="EAE81186"/>
    <w:rsid w:val="EDDF15BB"/>
    <w:rsid w:val="F5CE422D"/>
    <w:rsid w:val="F9F3D803"/>
    <w:rsid w:val="FDFA3139"/>
    <w:rsid w:val="FE9B4B6D"/>
    <w:rsid w:val="FF5F02D7"/>
    <w:rsid w:val="FFF9F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link w:val="3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2"/>
    <w:basedOn w:val="1"/>
    <w:next w:val="3"/>
    <w:link w:val="3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3"/>
    <w:basedOn w:val="1"/>
    <w:next w:val="3"/>
    <w:link w:val="4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6">
    <w:name w:val="heading 4"/>
    <w:basedOn w:val="1"/>
    <w:next w:val="3"/>
    <w:link w:val="4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7">
    <w:name w:val="heading 5"/>
    <w:basedOn w:val="1"/>
    <w:next w:val="3"/>
    <w:link w:val="4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8">
    <w:name w:val="heading 6"/>
    <w:basedOn w:val="1"/>
    <w:next w:val="3"/>
    <w:link w:val="4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7"/>
    <w:basedOn w:val="1"/>
    <w:next w:val="3"/>
    <w:link w:val="4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3"/>
    <w:link w:val="4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3"/>
    <w:link w:val="4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5">
    <w:name w:val="Default Paragraph Font"/>
    <w:semiHidden/>
    <w:unhideWhenUsed/>
    <w:uiPriority w:val="1"/>
  </w:style>
  <w:style w:type="table" w:default="1" w:styleId="2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12">
    <w:name w:val="caption"/>
    <w:basedOn w:val="1"/>
    <w:link w:val="27"/>
    <w:uiPriority w:val="0"/>
    <w:pPr>
      <w:spacing w:after="120"/>
    </w:pPr>
    <w:rPr>
      <w:i/>
    </w:rPr>
  </w:style>
  <w:style w:type="paragraph" w:styleId="13">
    <w:name w:val="annotation text"/>
    <w:basedOn w:val="1"/>
    <w:link w:val="92"/>
    <w:uiPriority w:val="0"/>
  </w:style>
  <w:style w:type="paragraph" w:styleId="14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5">
    <w:name w:val="Date"/>
    <w:basedOn w:val="16"/>
    <w:next w:val="3"/>
    <w:qFormat/>
    <w:uiPriority w:val="0"/>
    <w:pPr>
      <w:keepNext/>
      <w:keepLines/>
    </w:pPr>
    <w:rPr>
      <w:sz w:val="24"/>
      <w:szCs w:val="24"/>
    </w:rPr>
  </w:style>
  <w:style w:type="paragraph" w:styleId="16">
    <w:name w:val="Title"/>
    <w:basedOn w:val="1"/>
    <w:next w:val="3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z w:val="56"/>
      <w:szCs w:val="56"/>
    </w:rPr>
  </w:style>
  <w:style w:type="paragraph" w:styleId="17">
    <w:name w:val="footer"/>
    <w:basedOn w:val="1"/>
    <w:link w:val="9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8">
    <w:name w:val="header"/>
    <w:basedOn w:val="1"/>
    <w:link w:val="9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Subtitle"/>
    <w:basedOn w:val="16"/>
    <w:next w:val="3"/>
    <w:link w:val="33"/>
    <w:qFormat/>
    <w:uiPriority w:val="11"/>
    <w:rPr>
      <w:spacing w:val="15"/>
      <w:sz w:val="28"/>
      <w:szCs w:val="28"/>
    </w:rPr>
  </w:style>
  <w:style w:type="paragraph" w:styleId="20">
    <w:name w:val="footnote text"/>
    <w:basedOn w:val="1"/>
    <w:unhideWhenUsed/>
    <w:qFormat/>
    <w:uiPriority w:val="9"/>
  </w:style>
  <w:style w:type="paragraph" w:styleId="21">
    <w:name w:val="Normal (Web)"/>
    <w:basedOn w:val="1"/>
    <w:uiPriority w:val="0"/>
    <w:rPr>
      <w:rFonts w:ascii="Times New Roman" w:hAnsi="Times New Roman" w:cs="Times New Roman"/>
    </w:rPr>
  </w:style>
  <w:style w:type="paragraph" w:styleId="22">
    <w:name w:val="annotation subject"/>
    <w:basedOn w:val="13"/>
    <w:next w:val="13"/>
    <w:link w:val="93"/>
    <w:uiPriority w:val="0"/>
    <w:rPr>
      <w:b/>
      <w:bCs/>
    </w:rPr>
  </w:style>
  <w:style w:type="table" w:styleId="24">
    <w:name w:val="Table Grid"/>
    <w:basedOn w:val="2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Hyperlink"/>
    <w:basedOn w:val="27"/>
    <w:uiPriority w:val="0"/>
    <w:rPr>
      <w:color w:val="156082" w:themeColor="accent1"/>
      <w14:textFill>
        <w14:solidFill>
          <w14:schemeClr w14:val="accent1"/>
        </w14:solidFill>
      </w14:textFill>
    </w:rPr>
  </w:style>
  <w:style w:type="character" w:customStyle="1" w:styleId="27">
    <w:name w:val="Caption Char"/>
    <w:basedOn w:val="25"/>
    <w:link w:val="12"/>
    <w:uiPriority w:val="0"/>
  </w:style>
  <w:style w:type="character" w:styleId="28">
    <w:name w:val="annotation reference"/>
    <w:basedOn w:val="25"/>
    <w:uiPriority w:val="0"/>
    <w:rPr>
      <w:sz w:val="21"/>
      <w:szCs w:val="21"/>
    </w:rPr>
  </w:style>
  <w:style w:type="character" w:styleId="29">
    <w:name w:val="footnote reference"/>
    <w:basedOn w:val="27"/>
    <w:uiPriority w:val="0"/>
    <w:rPr>
      <w:vertAlign w:val="superscript"/>
    </w:rPr>
  </w:style>
  <w:style w:type="paragraph" w:customStyle="1" w:styleId="30">
    <w:name w:val="First Paragraph"/>
    <w:basedOn w:val="3"/>
    <w:next w:val="3"/>
    <w:qFormat/>
    <w:uiPriority w:val="0"/>
  </w:style>
  <w:style w:type="paragraph" w:customStyle="1" w:styleId="31">
    <w:name w:val="Compact"/>
    <w:basedOn w:val="3"/>
    <w:qFormat/>
    <w:uiPriority w:val="0"/>
    <w:pPr>
      <w:spacing w:before="36" w:after="36"/>
    </w:pPr>
  </w:style>
  <w:style w:type="character" w:customStyle="1" w:styleId="32">
    <w:name w:val="Title Char"/>
    <w:basedOn w:val="25"/>
    <w:link w:val="16"/>
    <w:uiPriority w:val="10"/>
    <w:rPr>
      <w:rFonts w:asciiTheme="majorHAnsi" w:hAnsiTheme="majorHAnsi" w:eastAsiaTheme="majorEastAsia" w:cstheme="majorBidi"/>
      <w:sz w:val="56"/>
      <w:szCs w:val="56"/>
    </w:rPr>
  </w:style>
  <w:style w:type="character" w:customStyle="1" w:styleId="33">
    <w:name w:val="Subtitle Char"/>
    <w:basedOn w:val="25"/>
    <w:link w:val="19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4">
    <w:name w:val="Author"/>
    <w:basedOn w:val="16"/>
    <w:next w:val="3"/>
    <w:qFormat/>
    <w:uiPriority w:val="0"/>
    <w:pPr>
      <w:keepNext/>
      <w:keepLines/>
    </w:pPr>
    <w:rPr>
      <w:sz w:val="24"/>
      <w:szCs w:val="24"/>
    </w:rPr>
  </w:style>
  <w:style w:type="paragraph" w:customStyle="1" w:styleId="35">
    <w:name w:val="Abstract Title"/>
    <w:basedOn w:val="1"/>
    <w:next w:val="36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36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7">
    <w:name w:val="Bibliography1"/>
    <w:basedOn w:val="1"/>
    <w:qFormat/>
    <w:uiPriority w:val="0"/>
  </w:style>
  <w:style w:type="character" w:customStyle="1" w:styleId="38">
    <w:name w:val="Heading 1 Char"/>
    <w:basedOn w:val="2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9">
    <w:name w:val="Heading 2 Char"/>
    <w:basedOn w:val="2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40">
    <w:name w:val="Heading 3 Char"/>
    <w:basedOn w:val="25"/>
    <w:link w:val="5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41">
    <w:name w:val="Heading 4 Char"/>
    <w:basedOn w:val="25"/>
    <w:link w:val="6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42">
    <w:name w:val="Heading 5 Char"/>
    <w:basedOn w:val="25"/>
    <w:link w:val="7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43">
    <w:name w:val="Heading 6 Char"/>
    <w:basedOn w:val="25"/>
    <w:link w:val="8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4">
    <w:name w:val="Heading 7 Char"/>
    <w:basedOn w:val="25"/>
    <w:link w:val="9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5">
    <w:name w:val="Heading 8 Char"/>
    <w:basedOn w:val="25"/>
    <w:link w:val="10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Heading 9 Char"/>
    <w:basedOn w:val="25"/>
    <w:link w:val="11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7">
    <w:name w:val="Footnote Block Text"/>
    <w:basedOn w:val="20"/>
    <w:next w:val="20"/>
    <w:unhideWhenUsed/>
    <w:qFormat/>
    <w:uiPriority w:val="9"/>
    <w:pPr>
      <w:spacing w:before="100" w:after="100"/>
      <w:ind w:left="480" w:right="480"/>
    </w:pPr>
  </w:style>
  <w:style w:type="table" w:customStyle="1" w:styleId="4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9">
    <w:name w:val="Definition Term"/>
    <w:basedOn w:val="1"/>
    <w:next w:val="50"/>
    <w:uiPriority w:val="0"/>
    <w:pPr>
      <w:keepNext/>
      <w:keepLines/>
      <w:spacing w:after="0"/>
    </w:pPr>
    <w:rPr>
      <w:b/>
    </w:rPr>
  </w:style>
  <w:style w:type="paragraph" w:customStyle="1" w:styleId="50">
    <w:name w:val="Definition"/>
    <w:basedOn w:val="1"/>
    <w:uiPriority w:val="0"/>
  </w:style>
  <w:style w:type="paragraph" w:customStyle="1" w:styleId="51">
    <w:name w:val="Table Caption"/>
    <w:basedOn w:val="12"/>
    <w:uiPriority w:val="0"/>
    <w:pPr>
      <w:keepNext/>
    </w:pPr>
  </w:style>
  <w:style w:type="paragraph" w:customStyle="1" w:styleId="52">
    <w:name w:val="Image Caption"/>
    <w:basedOn w:val="12"/>
    <w:uiPriority w:val="0"/>
  </w:style>
  <w:style w:type="paragraph" w:customStyle="1" w:styleId="53">
    <w:name w:val="Figure"/>
    <w:basedOn w:val="1"/>
    <w:uiPriority w:val="0"/>
  </w:style>
  <w:style w:type="paragraph" w:customStyle="1" w:styleId="54">
    <w:name w:val="Captioned Figure"/>
    <w:basedOn w:val="53"/>
    <w:uiPriority w:val="0"/>
    <w:pPr>
      <w:keepNext/>
    </w:pPr>
  </w:style>
  <w:style w:type="character" w:customStyle="1" w:styleId="55">
    <w:name w:val="Verbatim Char"/>
    <w:basedOn w:val="27"/>
    <w:link w:val="56"/>
    <w:uiPriority w:val="0"/>
    <w:rPr>
      <w:rFonts w:ascii="Consolas" w:hAnsi="Consolas"/>
      <w:sz w:val="22"/>
    </w:rPr>
  </w:style>
  <w:style w:type="paragraph" w:customStyle="1" w:styleId="56">
    <w:name w:val="Source Code"/>
    <w:basedOn w:val="1"/>
    <w:link w:val="55"/>
    <w:uiPriority w:val="0"/>
    <w:pPr>
      <w:wordWrap w:val="0"/>
    </w:pPr>
  </w:style>
  <w:style w:type="character" w:customStyle="1" w:styleId="57">
    <w:name w:val="Section Number"/>
    <w:basedOn w:val="27"/>
    <w:uiPriority w:val="0"/>
  </w:style>
  <w:style w:type="paragraph" w:customStyle="1" w:styleId="58">
    <w:name w:val="TOC Heading1"/>
    <w:basedOn w:val="2"/>
    <w:next w:val="3"/>
    <w:unhideWhenUsed/>
    <w:qFormat/>
    <w:uiPriority w:val="39"/>
    <w:pPr>
      <w:spacing w:before="240" w:line="259" w:lineRule="auto"/>
      <w:outlineLvl w:val="9"/>
    </w:pPr>
  </w:style>
  <w:style w:type="character" w:customStyle="1" w:styleId="59">
    <w:name w:val="KeywordTok"/>
    <w:basedOn w:val="55"/>
    <w:uiPriority w:val="0"/>
    <w:rPr>
      <w:rFonts w:ascii="Consolas" w:hAnsi="Consolas"/>
      <w:b/>
      <w:color w:val="007020"/>
      <w:sz w:val="22"/>
    </w:rPr>
  </w:style>
  <w:style w:type="character" w:customStyle="1" w:styleId="60">
    <w:name w:val="DataTypeTok"/>
    <w:basedOn w:val="55"/>
    <w:uiPriority w:val="0"/>
    <w:rPr>
      <w:rFonts w:ascii="Consolas" w:hAnsi="Consolas"/>
      <w:color w:val="902000"/>
      <w:sz w:val="22"/>
    </w:rPr>
  </w:style>
  <w:style w:type="character" w:customStyle="1" w:styleId="61">
    <w:name w:val="DecValTok"/>
    <w:basedOn w:val="55"/>
    <w:uiPriority w:val="0"/>
    <w:rPr>
      <w:rFonts w:ascii="Consolas" w:hAnsi="Consolas"/>
      <w:color w:val="40A070"/>
      <w:sz w:val="22"/>
    </w:rPr>
  </w:style>
  <w:style w:type="character" w:customStyle="1" w:styleId="62">
    <w:name w:val="BaseNTok"/>
    <w:basedOn w:val="55"/>
    <w:uiPriority w:val="0"/>
    <w:rPr>
      <w:rFonts w:ascii="Consolas" w:hAnsi="Consolas"/>
      <w:color w:val="40A070"/>
      <w:sz w:val="22"/>
    </w:rPr>
  </w:style>
  <w:style w:type="character" w:customStyle="1" w:styleId="63">
    <w:name w:val="FloatTok"/>
    <w:basedOn w:val="55"/>
    <w:uiPriority w:val="0"/>
    <w:rPr>
      <w:rFonts w:ascii="Consolas" w:hAnsi="Consolas"/>
      <w:color w:val="40A070"/>
      <w:sz w:val="22"/>
    </w:rPr>
  </w:style>
  <w:style w:type="character" w:customStyle="1" w:styleId="64">
    <w:name w:val="ConstantTok"/>
    <w:basedOn w:val="55"/>
    <w:uiPriority w:val="0"/>
    <w:rPr>
      <w:rFonts w:ascii="Consolas" w:hAnsi="Consolas"/>
      <w:color w:val="880000"/>
      <w:sz w:val="22"/>
    </w:rPr>
  </w:style>
  <w:style w:type="character" w:customStyle="1" w:styleId="65">
    <w:name w:val="CharTok"/>
    <w:basedOn w:val="55"/>
    <w:uiPriority w:val="0"/>
    <w:rPr>
      <w:rFonts w:ascii="Consolas" w:hAnsi="Consolas"/>
      <w:color w:val="4070A0"/>
      <w:sz w:val="22"/>
    </w:rPr>
  </w:style>
  <w:style w:type="character" w:customStyle="1" w:styleId="66">
    <w:name w:val="SpecialCharTok"/>
    <w:basedOn w:val="55"/>
    <w:uiPriority w:val="0"/>
    <w:rPr>
      <w:rFonts w:ascii="Consolas" w:hAnsi="Consolas"/>
      <w:color w:val="4070A0"/>
      <w:sz w:val="22"/>
    </w:rPr>
  </w:style>
  <w:style w:type="character" w:customStyle="1" w:styleId="67">
    <w:name w:val="StringTok"/>
    <w:basedOn w:val="55"/>
    <w:uiPriority w:val="0"/>
    <w:rPr>
      <w:rFonts w:ascii="Consolas" w:hAnsi="Consolas"/>
      <w:color w:val="4070A0"/>
      <w:sz w:val="22"/>
    </w:rPr>
  </w:style>
  <w:style w:type="character" w:customStyle="1" w:styleId="68">
    <w:name w:val="VerbatimStringTok"/>
    <w:basedOn w:val="55"/>
    <w:uiPriority w:val="0"/>
    <w:rPr>
      <w:rFonts w:ascii="Consolas" w:hAnsi="Consolas"/>
      <w:color w:val="4070A0"/>
      <w:sz w:val="22"/>
    </w:rPr>
  </w:style>
  <w:style w:type="character" w:customStyle="1" w:styleId="69">
    <w:name w:val="SpecialStringTok"/>
    <w:basedOn w:val="55"/>
    <w:uiPriority w:val="0"/>
    <w:rPr>
      <w:rFonts w:ascii="Consolas" w:hAnsi="Consolas"/>
      <w:color w:val="BB6688"/>
      <w:sz w:val="22"/>
    </w:rPr>
  </w:style>
  <w:style w:type="character" w:customStyle="1" w:styleId="70">
    <w:name w:val="ImportTok"/>
    <w:basedOn w:val="55"/>
    <w:uiPriority w:val="0"/>
    <w:rPr>
      <w:rFonts w:ascii="Consolas" w:hAnsi="Consolas"/>
      <w:b/>
      <w:color w:val="008000"/>
      <w:sz w:val="22"/>
    </w:rPr>
  </w:style>
  <w:style w:type="character" w:customStyle="1" w:styleId="71">
    <w:name w:val="CommentTok"/>
    <w:basedOn w:val="55"/>
    <w:uiPriority w:val="0"/>
    <w:rPr>
      <w:rFonts w:ascii="Consolas" w:hAnsi="Consolas"/>
      <w:i/>
      <w:color w:val="60A0B0"/>
      <w:sz w:val="22"/>
    </w:rPr>
  </w:style>
  <w:style w:type="character" w:customStyle="1" w:styleId="72">
    <w:name w:val="DocumentationTok"/>
    <w:basedOn w:val="55"/>
    <w:uiPriority w:val="0"/>
    <w:rPr>
      <w:rFonts w:ascii="Consolas" w:hAnsi="Consolas"/>
      <w:i/>
      <w:color w:val="BA2121"/>
      <w:sz w:val="22"/>
    </w:rPr>
  </w:style>
  <w:style w:type="character" w:customStyle="1" w:styleId="73">
    <w:name w:val="AnnotationTok"/>
    <w:basedOn w:val="55"/>
    <w:uiPriority w:val="0"/>
    <w:rPr>
      <w:rFonts w:ascii="Consolas" w:hAnsi="Consolas"/>
      <w:b/>
      <w:i/>
      <w:color w:val="60A0B0"/>
      <w:sz w:val="22"/>
    </w:rPr>
  </w:style>
  <w:style w:type="character" w:customStyle="1" w:styleId="74">
    <w:name w:val="CommentVarTok"/>
    <w:basedOn w:val="55"/>
    <w:uiPriority w:val="0"/>
    <w:rPr>
      <w:rFonts w:ascii="Consolas" w:hAnsi="Consolas"/>
      <w:b/>
      <w:i/>
      <w:color w:val="60A0B0"/>
      <w:sz w:val="22"/>
    </w:rPr>
  </w:style>
  <w:style w:type="character" w:customStyle="1" w:styleId="75">
    <w:name w:val="OtherTok"/>
    <w:basedOn w:val="55"/>
    <w:uiPriority w:val="0"/>
    <w:rPr>
      <w:rFonts w:ascii="Consolas" w:hAnsi="Consolas"/>
      <w:color w:val="007020"/>
      <w:sz w:val="22"/>
    </w:rPr>
  </w:style>
  <w:style w:type="character" w:customStyle="1" w:styleId="76">
    <w:name w:val="FunctionTok"/>
    <w:basedOn w:val="55"/>
    <w:uiPriority w:val="0"/>
    <w:rPr>
      <w:rFonts w:ascii="Consolas" w:hAnsi="Consolas"/>
      <w:color w:val="06287E"/>
      <w:sz w:val="22"/>
    </w:rPr>
  </w:style>
  <w:style w:type="character" w:customStyle="1" w:styleId="77">
    <w:name w:val="VariableTok"/>
    <w:basedOn w:val="55"/>
    <w:uiPriority w:val="0"/>
    <w:rPr>
      <w:rFonts w:ascii="Consolas" w:hAnsi="Consolas"/>
      <w:color w:val="19177C"/>
      <w:sz w:val="22"/>
    </w:rPr>
  </w:style>
  <w:style w:type="character" w:customStyle="1" w:styleId="78">
    <w:name w:val="ControlFlowTok"/>
    <w:basedOn w:val="55"/>
    <w:uiPriority w:val="0"/>
    <w:rPr>
      <w:rFonts w:ascii="Consolas" w:hAnsi="Consolas"/>
      <w:b/>
      <w:color w:val="007020"/>
      <w:sz w:val="22"/>
    </w:rPr>
  </w:style>
  <w:style w:type="character" w:customStyle="1" w:styleId="79">
    <w:name w:val="OperatorTok"/>
    <w:basedOn w:val="55"/>
    <w:uiPriority w:val="0"/>
    <w:rPr>
      <w:rFonts w:ascii="Consolas" w:hAnsi="Consolas"/>
      <w:color w:val="666666"/>
      <w:sz w:val="22"/>
    </w:rPr>
  </w:style>
  <w:style w:type="character" w:customStyle="1" w:styleId="80">
    <w:name w:val="BuiltInTok"/>
    <w:basedOn w:val="55"/>
    <w:uiPriority w:val="0"/>
    <w:rPr>
      <w:rFonts w:ascii="Consolas" w:hAnsi="Consolas"/>
      <w:color w:val="008000"/>
      <w:sz w:val="22"/>
    </w:rPr>
  </w:style>
  <w:style w:type="character" w:customStyle="1" w:styleId="81">
    <w:name w:val="ExtensionTok"/>
    <w:basedOn w:val="55"/>
    <w:uiPriority w:val="0"/>
    <w:rPr>
      <w:rFonts w:ascii="Consolas" w:hAnsi="Consolas"/>
      <w:sz w:val="22"/>
    </w:rPr>
  </w:style>
  <w:style w:type="character" w:customStyle="1" w:styleId="82">
    <w:name w:val="PreprocessorTok"/>
    <w:basedOn w:val="55"/>
    <w:uiPriority w:val="0"/>
    <w:rPr>
      <w:rFonts w:ascii="Consolas" w:hAnsi="Consolas"/>
      <w:color w:val="BC7A00"/>
      <w:sz w:val="22"/>
    </w:rPr>
  </w:style>
  <w:style w:type="character" w:customStyle="1" w:styleId="83">
    <w:name w:val="AttributeTok"/>
    <w:basedOn w:val="55"/>
    <w:uiPriority w:val="0"/>
    <w:rPr>
      <w:rFonts w:ascii="Consolas" w:hAnsi="Consolas"/>
      <w:color w:val="7D9029"/>
      <w:sz w:val="22"/>
    </w:rPr>
  </w:style>
  <w:style w:type="character" w:customStyle="1" w:styleId="84">
    <w:name w:val="RegionMarkerTok"/>
    <w:basedOn w:val="55"/>
    <w:uiPriority w:val="0"/>
    <w:rPr>
      <w:rFonts w:ascii="Consolas" w:hAnsi="Consolas"/>
      <w:sz w:val="22"/>
    </w:rPr>
  </w:style>
  <w:style w:type="character" w:customStyle="1" w:styleId="85">
    <w:name w:val="InformationTok"/>
    <w:basedOn w:val="55"/>
    <w:uiPriority w:val="0"/>
    <w:rPr>
      <w:rFonts w:ascii="Consolas" w:hAnsi="Consolas"/>
      <w:b/>
      <w:i/>
      <w:color w:val="60A0B0"/>
      <w:sz w:val="22"/>
    </w:rPr>
  </w:style>
  <w:style w:type="character" w:customStyle="1" w:styleId="86">
    <w:name w:val="WarningTok"/>
    <w:basedOn w:val="55"/>
    <w:uiPriority w:val="0"/>
    <w:rPr>
      <w:rFonts w:ascii="Consolas" w:hAnsi="Consolas"/>
      <w:b/>
      <w:i/>
      <w:color w:val="60A0B0"/>
      <w:sz w:val="22"/>
    </w:rPr>
  </w:style>
  <w:style w:type="character" w:customStyle="1" w:styleId="87">
    <w:name w:val="AlertTok"/>
    <w:basedOn w:val="55"/>
    <w:uiPriority w:val="0"/>
    <w:rPr>
      <w:rFonts w:ascii="Consolas" w:hAnsi="Consolas"/>
      <w:b/>
      <w:color w:val="FF0000"/>
      <w:sz w:val="22"/>
    </w:rPr>
  </w:style>
  <w:style w:type="character" w:customStyle="1" w:styleId="88">
    <w:name w:val="ErrorTok"/>
    <w:basedOn w:val="55"/>
    <w:uiPriority w:val="0"/>
    <w:rPr>
      <w:rFonts w:ascii="Consolas" w:hAnsi="Consolas"/>
      <w:b/>
      <w:color w:val="FF0000"/>
      <w:sz w:val="22"/>
    </w:rPr>
  </w:style>
  <w:style w:type="character" w:customStyle="1" w:styleId="89">
    <w:name w:val="NormalTok"/>
    <w:basedOn w:val="55"/>
    <w:uiPriority w:val="0"/>
    <w:rPr>
      <w:rFonts w:ascii="Consolas" w:hAnsi="Consolas"/>
      <w:sz w:val="22"/>
    </w:rPr>
  </w:style>
  <w:style w:type="character" w:customStyle="1" w:styleId="90">
    <w:name w:val="Header Char"/>
    <w:basedOn w:val="25"/>
    <w:link w:val="18"/>
    <w:uiPriority w:val="0"/>
    <w:rPr>
      <w:sz w:val="18"/>
      <w:szCs w:val="18"/>
    </w:rPr>
  </w:style>
  <w:style w:type="character" w:customStyle="1" w:styleId="91">
    <w:name w:val="Footer Char"/>
    <w:basedOn w:val="25"/>
    <w:link w:val="17"/>
    <w:uiPriority w:val="0"/>
    <w:rPr>
      <w:sz w:val="18"/>
      <w:szCs w:val="18"/>
    </w:rPr>
  </w:style>
  <w:style w:type="character" w:customStyle="1" w:styleId="92">
    <w:name w:val="Comment Text Char"/>
    <w:basedOn w:val="25"/>
    <w:link w:val="13"/>
    <w:uiPriority w:val="0"/>
  </w:style>
  <w:style w:type="character" w:customStyle="1" w:styleId="93">
    <w:name w:val="Comment Subject Char"/>
    <w:basedOn w:val="92"/>
    <w:link w:val="22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tyleName="APA" SelectedStyle="/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9A00A1-5206-084B-8952-F4317797F5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1324</Words>
  <Characters>7548</Characters>
  <Lines>62</Lines>
  <Paragraphs>17</Paragraphs>
  <TotalTime>6</TotalTime>
  <ScaleCrop>false</ScaleCrop>
  <LinksUpToDate>false</LinksUpToDate>
  <CharactersWithSpaces>8855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2026-04-20T10:21:00Z</dcterms:created>
  <dc:creator>嘉 潘</dc:creator>
  <cp:lastModifiedBy>潘嘉</cp:lastModifiedBy>
  <dcterms:modified xsi:type="dcterms:W3CDTF">2026-04-24T01:25:18Z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BE54CAE0F817BF2FFE55EA696D806A76_43</vt:lpwstr>
  </property>
  <property fmtid="{D5CDD505-2E9C-101B-9397-08002B2CF9AE}" pid="4" name="ClassificationContentMarkingFooterShapeIds">
    <vt:lpwstr>1847e48b,91118f2,685ef2de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2026-04-20T02:21:31Z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8e88ba3a-b687-4245-b834-b339253f5f91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