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9E8D4" w14:textId="37C07E09" w:rsidR="000F6C2B" w:rsidRPr="00BE7FE6" w:rsidRDefault="000F6C2B" w:rsidP="000F6C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r w:rsidRPr="00BE7FE6">
        <w:rPr>
          <w:rFonts w:ascii="Times New Roman" w:hAnsi="Times New Roman" w:cs="Times New Roman"/>
          <w:sz w:val="24"/>
          <w:szCs w:val="24"/>
        </w:rPr>
        <w:t>Article</w:t>
      </w:r>
    </w:p>
    <w:p w14:paraId="795C33ED" w14:textId="6A599E86" w:rsidR="007463BA" w:rsidRPr="004C47E3" w:rsidRDefault="007463BA" w:rsidP="006C4A3E">
      <w:pPr>
        <w:tabs>
          <w:tab w:val="right" w:pos="723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E3">
        <w:rPr>
          <w:rFonts w:ascii="Times New Roman" w:hAnsi="Times New Roman" w:cs="Times New Roman"/>
          <w:b/>
          <w:sz w:val="24"/>
          <w:szCs w:val="24"/>
          <w:lang w:val="en-US"/>
        </w:rPr>
        <w:t>Immunomodulat</w:t>
      </w:r>
      <w:r w:rsidR="00830974">
        <w:rPr>
          <w:rFonts w:ascii="Times New Roman" w:hAnsi="Times New Roman" w:cs="Times New Roman"/>
          <w:b/>
          <w:sz w:val="24"/>
          <w:szCs w:val="24"/>
          <w:lang w:val="en-US"/>
        </w:rPr>
        <w:t>ory</w:t>
      </w:r>
      <w:r w:rsidRPr="004C47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0974">
        <w:rPr>
          <w:rFonts w:ascii="Times New Roman" w:hAnsi="Times New Roman" w:cs="Times New Roman"/>
          <w:b/>
          <w:sz w:val="24"/>
          <w:szCs w:val="24"/>
          <w:lang w:val="en-US"/>
        </w:rPr>
        <w:t>properties</w:t>
      </w:r>
      <w:r w:rsidRPr="004C47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probiotic complex ProbioSEB </w:t>
      </w:r>
      <w:r w:rsidR="00AB1711" w:rsidRPr="004C47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CSC3 </w:t>
      </w:r>
      <w:r w:rsidRPr="004C47E3">
        <w:rPr>
          <w:rFonts w:ascii="Times New Roman" w:hAnsi="Times New Roman" w:cs="Times New Roman"/>
          <w:b/>
          <w:sz w:val="24"/>
          <w:szCs w:val="24"/>
          <w:lang w:val="en-US"/>
        </w:rPr>
        <w:t>in healthy adults: A prospective, interventional, randomized, double-blinded, parallel-group, placebo-controlled clinical study</w:t>
      </w:r>
    </w:p>
    <w:p w14:paraId="7A049282" w14:textId="37166EA7" w:rsidR="00F52755" w:rsidRDefault="00F52755">
      <w:pPr>
        <w:rPr>
          <w:rFonts w:ascii="Times New Roman" w:hAnsi="Times New Roman" w:cs="Times New Roman"/>
          <w:b/>
          <w:sz w:val="24"/>
          <w:szCs w:val="24"/>
        </w:rPr>
      </w:pPr>
    </w:p>
    <w:p w14:paraId="166A4B98" w14:textId="7165CCE5" w:rsidR="00D75F72" w:rsidRDefault="00D75F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2715D" w14:textId="6673E682" w:rsidR="00585D02" w:rsidRDefault="00585D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5EEE62" w14:textId="5FEBE151" w:rsidR="00585D02" w:rsidRDefault="00585D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FD7B5" w14:textId="77777777" w:rsidR="00585D02" w:rsidRDefault="00585D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0EA0C" w14:textId="68734834" w:rsidR="00D75F72" w:rsidRPr="007C5B15" w:rsidRDefault="00D75F72" w:rsidP="00D75F72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5B15">
        <w:rPr>
          <w:rFonts w:ascii="Times New Roman" w:hAnsi="Times New Roman" w:cs="Times New Roman"/>
          <w:sz w:val="24"/>
          <w:szCs w:val="24"/>
          <w:lang w:val="en-US"/>
        </w:rPr>
        <w:t xml:space="preserve">Total Number of Pages: </w:t>
      </w:r>
      <w:r w:rsidR="00BC582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016FCC78" w14:textId="77777777" w:rsidR="00D75F72" w:rsidRPr="007C5B15" w:rsidRDefault="00D75F72" w:rsidP="00D75F72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5B15">
        <w:rPr>
          <w:rFonts w:ascii="Times New Roman" w:hAnsi="Times New Roman" w:cs="Times New Roman"/>
          <w:sz w:val="24"/>
          <w:szCs w:val="24"/>
          <w:lang w:val="en-US"/>
        </w:rPr>
        <w:t>Total number of Figures: 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3903BFAE" w14:textId="2C348058" w:rsidR="00D75F72" w:rsidRPr="007C5B15" w:rsidRDefault="00D75F72" w:rsidP="00D75F72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5B15">
        <w:rPr>
          <w:rFonts w:ascii="Times New Roman" w:hAnsi="Times New Roman" w:cs="Times New Roman"/>
          <w:sz w:val="24"/>
          <w:szCs w:val="24"/>
          <w:lang w:val="en-US"/>
        </w:rPr>
        <w:t>Total number of Tables: 0</w:t>
      </w:r>
      <w:r w:rsidR="00EE6FE4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21D5D4B" w14:textId="6CDBB9C7" w:rsidR="006872F8" w:rsidRDefault="00687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115FB1" w14:textId="77777777" w:rsidR="00D75F72" w:rsidRDefault="00D75F72">
      <w:pPr>
        <w:rPr>
          <w:rFonts w:ascii="Times New Roman" w:hAnsi="Times New Roman" w:cs="Times New Roman"/>
          <w:sz w:val="24"/>
          <w:szCs w:val="24"/>
        </w:rPr>
        <w:sectPr w:rsidR="00D75F72" w:rsidSect="00845B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96C2BD" w14:textId="5DE5542D" w:rsidR="00F52755" w:rsidRDefault="00924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Results</w:t>
      </w:r>
    </w:p>
    <w:p w14:paraId="43534499" w14:textId="2224EA7A" w:rsidR="002446F6" w:rsidRDefault="002446F6" w:rsidP="002446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5D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="00D072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CONSORT checklist </w:t>
      </w:r>
      <w:r w:rsidRPr="00D56B93">
        <w:rPr>
          <w:rFonts w:ascii="Times New Roman" w:hAnsi="Times New Roman" w:cs="Times New Roman"/>
          <w:sz w:val="24"/>
          <w:szCs w:val="24"/>
        </w:rPr>
        <w:t>of information</w:t>
      </w:r>
      <w:r>
        <w:rPr>
          <w:rFonts w:ascii="Times New Roman" w:hAnsi="Times New Roman" w:cs="Times New Roman"/>
          <w:sz w:val="24"/>
          <w:szCs w:val="24"/>
        </w:rPr>
        <w:t xml:space="preserve"> for the current clinical trial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69"/>
        <w:gridCol w:w="1149"/>
        <w:gridCol w:w="9447"/>
        <w:gridCol w:w="1393"/>
      </w:tblGrid>
      <w:tr w:rsidR="0078234D" w:rsidRPr="002B023F" w14:paraId="58DC7522" w14:textId="77777777" w:rsidTr="009E774B">
        <w:tc>
          <w:tcPr>
            <w:tcW w:w="7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8CCE2" w14:textId="77777777" w:rsidR="0078234D" w:rsidRPr="002B023F" w:rsidRDefault="0078234D" w:rsidP="009E774B">
            <w:pPr>
              <w:pStyle w:val="TableHeader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Section/Topic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8CD32" w14:textId="77777777" w:rsidR="0078234D" w:rsidRPr="002B023F" w:rsidRDefault="0078234D" w:rsidP="009E774B">
            <w:pPr>
              <w:pStyle w:val="TableHeader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Item No</w:t>
            </w:r>
          </w:p>
        </w:tc>
        <w:tc>
          <w:tcPr>
            <w:tcW w:w="33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4E1DC" w14:textId="77777777" w:rsidR="0078234D" w:rsidRPr="002B023F" w:rsidRDefault="0078234D" w:rsidP="009E774B">
            <w:pPr>
              <w:pStyle w:val="TableHeader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Checklist item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9A7F1" w14:textId="77777777" w:rsidR="0078234D" w:rsidRPr="002B023F" w:rsidRDefault="0078234D" w:rsidP="009E774B">
            <w:pPr>
              <w:pStyle w:val="TableHeader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Reported on page No</w:t>
            </w:r>
          </w:p>
        </w:tc>
      </w:tr>
      <w:tr w:rsidR="0078234D" w:rsidRPr="002B023F" w14:paraId="6D6E226E" w14:textId="77777777" w:rsidTr="009E774B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6761E" w14:textId="77777777" w:rsidR="0078234D" w:rsidRPr="002B023F" w:rsidRDefault="0078234D" w:rsidP="009E774B">
            <w:pPr>
              <w:pStyle w:val="TableSubHead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Title and abstract</w:t>
            </w:r>
          </w:p>
        </w:tc>
      </w:tr>
      <w:tr w:rsidR="0078234D" w:rsidRPr="002B023F" w14:paraId="2D1EAA47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352BC561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B3FF7F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018EE3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Identification as a randomised trial in the title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7770B" w14:textId="1C47CDB4" w:rsidR="0078234D" w:rsidRPr="002B023F" w:rsidRDefault="00C7416F" w:rsidP="00602EE0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34D" w:rsidRPr="002B023F" w14:paraId="073052CD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0C77320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3C5D30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673ED4F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Structured summary of trial design, methods, results, and conclusions (for specific guidance see CONSORT for abstracts)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D04DC" w14:textId="5E6181E6" w:rsidR="0078234D" w:rsidRPr="002B023F" w:rsidRDefault="00C7416F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34D" w:rsidRPr="002B023F" w14:paraId="6D9822D3" w14:textId="77777777" w:rsidTr="009E774B">
        <w:tc>
          <w:tcPr>
            <w:tcW w:w="5000" w:type="pct"/>
            <w:gridSpan w:val="4"/>
            <w:shd w:val="clear" w:color="auto" w:fill="auto"/>
            <w:vAlign w:val="center"/>
          </w:tcPr>
          <w:p w14:paraId="63E54515" w14:textId="77777777" w:rsidR="0078234D" w:rsidRPr="002B023F" w:rsidRDefault="0078234D" w:rsidP="009E774B">
            <w:pPr>
              <w:pStyle w:val="TableSubHead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Introduction</w:t>
            </w:r>
          </w:p>
        </w:tc>
      </w:tr>
      <w:tr w:rsidR="0078234D" w:rsidRPr="002B023F" w14:paraId="77AD7897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007CDD9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Background and objectives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14D6A61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21F6EF7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Scientific background and explanation of rationale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E9B6E" w14:textId="48005786" w:rsidR="0078234D" w:rsidRPr="002B023F" w:rsidRDefault="001F1A33" w:rsidP="00C7416F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74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34D" w:rsidRPr="002B023F" w14:paraId="62CBDFFD" w14:textId="77777777" w:rsidTr="009E774B">
        <w:trPr>
          <w:trHeight w:val="413"/>
        </w:trPr>
        <w:tc>
          <w:tcPr>
            <w:tcW w:w="705" w:type="pct"/>
            <w:vMerge/>
            <w:shd w:val="clear" w:color="auto" w:fill="auto"/>
            <w:vAlign w:val="center"/>
          </w:tcPr>
          <w:p w14:paraId="54F82A72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F813F5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2C67C3F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Specific objectives or hypotheses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5F95B" w14:textId="0B40C11D" w:rsidR="0078234D" w:rsidRPr="002B023F" w:rsidRDefault="00C7416F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34D" w:rsidRPr="002B023F" w14:paraId="7E696C96" w14:textId="77777777" w:rsidTr="009E774B">
        <w:tc>
          <w:tcPr>
            <w:tcW w:w="5000" w:type="pct"/>
            <w:gridSpan w:val="4"/>
            <w:shd w:val="clear" w:color="auto" w:fill="auto"/>
            <w:vAlign w:val="center"/>
          </w:tcPr>
          <w:p w14:paraId="425CD523" w14:textId="77777777" w:rsidR="0078234D" w:rsidRPr="002B023F" w:rsidRDefault="0078234D" w:rsidP="009E774B">
            <w:pPr>
              <w:pStyle w:val="TableSubHead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Methods</w:t>
            </w:r>
          </w:p>
        </w:tc>
      </w:tr>
      <w:tr w:rsidR="0078234D" w:rsidRPr="002B023F" w14:paraId="1CFADEDB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2D77C4A2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Trial design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BF445B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2AE382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Description of trial design (such as parallel, factorial) including allocation ratio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8CB0" w14:textId="048C6CA5" w:rsidR="0078234D" w:rsidRPr="002B023F" w:rsidRDefault="00B11C53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78234D" w:rsidRPr="002B023F" w14:paraId="206091FF" w14:textId="77777777" w:rsidTr="009E774B">
        <w:trPr>
          <w:trHeight w:val="305"/>
        </w:trPr>
        <w:tc>
          <w:tcPr>
            <w:tcW w:w="705" w:type="pct"/>
            <w:vMerge/>
            <w:shd w:val="clear" w:color="auto" w:fill="auto"/>
            <w:vAlign w:val="center"/>
          </w:tcPr>
          <w:p w14:paraId="5F4443C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8E86AC4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6754B7F8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Important changes to methods after trial commencement (such as eligibility criteria), with reasons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28BF9" w14:textId="66960AB6" w:rsidR="0078234D" w:rsidRPr="002B023F" w:rsidRDefault="00B11C53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78234D" w:rsidRPr="002B023F" w14:paraId="3C9C1855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33CDA281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2DFF18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4427B0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Eligibility criteria for participants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67610" w14:textId="54C000BF" w:rsidR="0078234D" w:rsidRPr="002B023F" w:rsidRDefault="00B11C53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34D" w:rsidRPr="002B023F" w14:paraId="19D25E20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4B5E4A8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B5DC1C1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6DF097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Settings and locations where the data were collected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AF9EA" w14:textId="7A00A8AD" w:rsidR="0078234D" w:rsidRPr="002B023F" w:rsidRDefault="00B11C53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78234D" w:rsidRPr="002B023F" w14:paraId="00D00A0E" w14:textId="77777777" w:rsidTr="009E774B">
        <w:tc>
          <w:tcPr>
            <w:tcW w:w="705" w:type="pct"/>
            <w:shd w:val="clear" w:color="auto" w:fill="auto"/>
            <w:vAlign w:val="center"/>
          </w:tcPr>
          <w:p w14:paraId="3671BC7B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Interventions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4587FC4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22A6E2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18460" w14:textId="5E5888AA" w:rsidR="0078234D" w:rsidRPr="002B023F" w:rsidRDefault="00FC0F5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78234D" w:rsidRPr="002B023F" w14:paraId="5A16E656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481E70E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2DD837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709A3B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Completely defined pre-specified primary and secondary outcome measures, including how and when they were assessed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B108D" w14:textId="78114A62" w:rsidR="0078234D" w:rsidRPr="002B023F" w:rsidRDefault="001232D6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34D" w:rsidRPr="002B023F" w14:paraId="07DCEBC5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3B8F476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2B35CA4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35F5BCB8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Any changes to trial outcomes after the trial commenced, with reasons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5C114" w14:textId="797E9917" w:rsidR="0078234D" w:rsidRPr="002B023F" w:rsidRDefault="001232D6" w:rsidP="006F3701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C52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34D" w:rsidRPr="002B023F" w14:paraId="03E18EFE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414D8D54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733A22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72E0E625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How sample size was determined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9FED2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55E68EDC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7F374B6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755E52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0543C39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When applicable, explanation of any interim analyses and stopping guidelines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3057F" w14:textId="58EECB4A" w:rsidR="0078234D" w:rsidRPr="002B023F" w:rsidRDefault="00E3654C" w:rsidP="0047055E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78234D" w:rsidRPr="002B023F" w14:paraId="1EC1458C" w14:textId="77777777" w:rsidTr="009E774B">
        <w:tc>
          <w:tcPr>
            <w:tcW w:w="705" w:type="pct"/>
            <w:shd w:val="clear" w:color="auto" w:fill="auto"/>
            <w:vAlign w:val="center"/>
          </w:tcPr>
          <w:p w14:paraId="090370D5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Randomisation: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40C45DD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auto"/>
            <w:vAlign w:val="center"/>
          </w:tcPr>
          <w:p w14:paraId="45E108C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982F1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1C754033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7795D835" w14:textId="77777777" w:rsidR="0078234D" w:rsidRPr="002B023F" w:rsidRDefault="0078234D" w:rsidP="009E774B">
            <w:pPr>
              <w:spacing w:after="80"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Sequence generation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A946CF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3B25993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Method used to generate the random allocation sequence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4EB57" w14:textId="0A19C9A6" w:rsidR="0078234D" w:rsidRPr="002B023F" w:rsidRDefault="00625DA4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34D" w:rsidRPr="002B023F" w14:paraId="72365959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592CA4F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0C179A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396531B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Type of randomisation; details of any restriction (such as blocking and block size)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22EB2" w14:textId="7CED63CE" w:rsidR="0078234D" w:rsidRPr="002B023F" w:rsidRDefault="00625DA4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34D" w:rsidRPr="002B023F" w14:paraId="402293AE" w14:textId="77777777" w:rsidTr="009E774B">
        <w:tc>
          <w:tcPr>
            <w:tcW w:w="705" w:type="pct"/>
            <w:shd w:val="clear" w:color="auto" w:fill="auto"/>
            <w:vAlign w:val="center"/>
          </w:tcPr>
          <w:p w14:paraId="2A0EA0BF" w14:textId="77777777" w:rsidR="0078234D" w:rsidRPr="002B023F" w:rsidRDefault="0078234D" w:rsidP="009E774B">
            <w:pPr>
              <w:spacing w:after="80"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Allocation concealment mechanism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E398B25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09BB00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DE9F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5A39D" w14:textId="76E1EEAE" w:rsidR="0078234D" w:rsidRPr="002B023F" w:rsidRDefault="003B5AFC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78234D" w:rsidRPr="002B023F" w14:paraId="68CC6C9E" w14:textId="77777777" w:rsidTr="009E774B">
        <w:tc>
          <w:tcPr>
            <w:tcW w:w="705" w:type="pct"/>
            <w:shd w:val="clear" w:color="auto" w:fill="auto"/>
            <w:vAlign w:val="center"/>
          </w:tcPr>
          <w:p w14:paraId="0988454B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BD701D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26FA7A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4FE8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3AC1BD5E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056FD47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Blinding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E36EF1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11a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0C7F03A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AC26D" w14:textId="0F9678BA" w:rsidR="0078234D" w:rsidRPr="002B023F" w:rsidRDefault="003B5AFC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78234D" w:rsidRPr="002B023F" w14:paraId="56166E2C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358A9D0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1B72C9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11b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0B36CA9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If relevant, description of the similarity of interventions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7CB7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539D61E2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358D802D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Statistical methods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07B114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C534702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Statistical methods used to compare groups for primary and secondary outcomes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7ECA0" w14:textId="0FFECFA5" w:rsidR="0078234D" w:rsidRPr="002B023F" w:rsidRDefault="003B5AFC" w:rsidP="00553FEE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78234D" w:rsidRPr="002B023F" w14:paraId="13AF1377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57C0F7F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0F4A50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12b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646CCF05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Methods for additional analyses, such as subgroup analyses and adjusted analyses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ED0DA" w14:textId="2196BA68" w:rsidR="0078234D" w:rsidRPr="002B023F" w:rsidRDefault="003B5AFC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78234D" w:rsidRPr="002B023F" w14:paraId="5FC4063C" w14:textId="77777777" w:rsidTr="009E774B">
        <w:tc>
          <w:tcPr>
            <w:tcW w:w="5000" w:type="pct"/>
            <w:gridSpan w:val="4"/>
            <w:shd w:val="clear" w:color="auto" w:fill="auto"/>
            <w:vAlign w:val="center"/>
          </w:tcPr>
          <w:p w14:paraId="3E8A6EA8" w14:textId="77777777" w:rsidR="0078234D" w:rsidRPr="002B023F" w:rsidRDefault="0078234D" w:rsidP="009E774B">
            <w:pPr>
              <w:pStyle w:val="TableSubHead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Results</w:t>
            </w:r>
          </w:p>
        </w:tc>
      </w:tr>
      <w:tr w:rsidR="0078234D" w:rsidRPr="002B023F" w14:paraId="288E528B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7E301884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Participant flow (a diagram is strongly recommended)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6296F4D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13a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4E9F8D7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2629F" w14:textId="0C809AD4" w:rsidR="0078234D" w:rsidRPr="002B023F" w:rsidRDefault="007E55F2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78234D" w:rsidRPr="002B023F" w14:paraId="62EDE8CE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77015DB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A75DAD4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13b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6658AF4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For each group, losses and exclusions after randomisation,</w:t>
            </w:r>
            <w:r w:rsidRPr="002B023F" w:rsidDel="00646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together with reasons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96D2A" w14:textId="071896D3" w:rsidR="0078234D" w:rsidRPr="002B023F" w:rsidRDefault="00492FCF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78234D" w:rsidRPr="002B023F" w14:paraId="535F1E30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5C090D1D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Recruitment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248E90D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14a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2221778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Dates defining the periods of recruitment and follow-up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468A3" w14:textId="6909F845" w:rsidR="0078234D" w:rsidRPr="002B023F" w:rsidRDefault="000D74A2" w:rsidP="00220CCF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34D" w:rsidRPr="002B023F" w14:paraId="4FB347BB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031603B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E9922A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14b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3D329B9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Why the trial ended or was stopped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492D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688018A8" w14:textId="77777777" w:rsidTr="009E774B">
        <w:tc>
          <w:tcPr>
            <w:tcW w:w="705" w:type="pct"/>
            <w:shd w:val="clear" w:color="auto" w:fill="auto"/>
            <w:vAlign w:val="center"/>
          </w:tcPr>
          <w:p w14:paraId="2BD3BF28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Baseline data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5591C6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76A45298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A table showing baseline demographic and clinical characteristics for each group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178B3" w14:textId="3E8657AB" w:rsidR="0078234D" w:rsidRPr="002B023F" w:rsidRDefault="0078234D" w:rsidP="0054487C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1FE48BBB" w14:textId="77777777" w:rsidTr="009E774B">
        <w:tc>
          <w:tcPr>
            <w:tcW w:w="705" w:type="pct"/>
            <w:shd w:val="clear" w:color="auto" w:fill="auto"/>
            <w:vAlign w:val="center"/>
          </w:tcPr>
          <w:p w14:paraId="153ED6A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Numbers analysed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6BC79B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27952C4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17E3C" w14:textId="40AE344B" w:rsidR="0078234D" w:rsidRPr="002B023F" w:rsidRDefault="000D74A2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78234D" w:rsidRPr="002B023F" w14:paraId="38172DC5" w14:textId="77777777" w:rsidTr="009E774B">
        <w:tc>
          <w:tcPr>
            <w:tcW w:w="705" w:type="pct"/>
            <w:vMerge w:val="restart"/>
            <w:shd w:val="clear" w:color="auto" w:fill="auto"/>
            <w:vAlign w:val="center"/>
          </w:tcPr>
          <w:p w14:paraId="1DD146C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Outcomes and estimation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095CCFD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0DE5C75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C8495" w14:textId="220BC826" w:rsidR="0078234D" w:rsidRPr="002B023F" w:rsidRDefault="000D74A2" w:rsidP="000D74A2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78234D" w:rsidRPr="002B023F" w14:paraId="52CC66CF" w14:textId="77777777" w:rsidTr="009E774B">
        <w:tc>
          <w:tcPr>
            <w:tcW w:w="705" w:type="pct"/>
            <w:vMerge/>
            <w:shd w:val="clear" w:color="auto" w:fill="auto"/>
            <w:vAlign w:val="center"/>
          </w:tcPr>
          <w:p w14:paraId="6C43B46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C6DE64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17b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F29326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bCs/>
                <w:sz w:val="24"/>
                <w:szCs w:val="24"/>
              </w:rPr>
              <w:t>For binary outcomes, presentation of both absolute and relative effect sizes is recommended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F5AD5" w14:textId="62315D5F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7CC842CC" w14:textId="77777777" w:rsidTr="009E774B">
        <w:tc>
          <w:tcPr>
            <w:tcW w:w="705" w:type="pct"/>
            <w:shd w:val="clear" w:color="auto" w:fill="auto"/>
            <w:vAlign w:val="center"/>
          </w:tcPr>
          <w:p w14:paraId="0690ED57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Ancillary analyses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0EDE9CB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422EB34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0ED9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78679859" w14:textId="77777777" w:rsidTr="009E774B">
        <w:tc>
          <w:tcPr>
            <w:tcW w:w="705" w:type="pct"/>
            <w:shd w:val="clear" w:color="auto" w:fill="auto"/>
            <w:vAlign w:val="center"/>
          </w:tcPr>
          <w:p w14:paraId="29B7971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Harms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32C9831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60D737D0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All important harms or unintended effects in each group (for specific guidance see CONSORT for harms)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50041" w14:textId="4A607B6F" w:rsidR="0078234D" w:rsidRPr="002B023F" w:rsidRDefault="000D74A2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78234D" w:rsidRPr="002B023F" w14:paraId="48D411CA" w14:textId="77777777" w:rsidTr="009E774B">
        <w:tc>
          <w:tcPr>
            <w:tcW w:w="5000" w:type="pct"/>
            <w:gridSpan w:val="4"/>
            <w:shd w:val="clear" w:color="auto" w:fill="auto"/>
            <w:vAlign w:val="center"/>
          </w:tcPr>
          <w:p w14:paraId="394C8D43" w14:textId="77777777" w:rsidR="0078234D" w:rsidRPr="002B023F" w:rsidRDefault="0078234D" w:rsidP="009E774B">
            <w:pPr>
              <w:pStyle w:val="TableSubHead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Discussion</w:t>
            </w:r>
          </w:p>
        </w:tc>
      </w:tr>
      <w:tr w:rsidR="0078234D" w:rsidRPr="002B023F" w14:paraId="15B506D1" w14:textId="77777777" w:rsidTr="009E774B">
        <w:tc>
          <w:tcPr>
            <w:tcW w:w="705" w:type="pct"/>
            <w:shd w:val="clear" w:color="auto" w:fill="auto"/>
            <w:vAlign w:val="center"/>
          </w:tcPr>
          <w:p w14:paraId="0ABB530B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F6D8C9C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38B81EA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Trial limitations, addressing sources of potential bias, imprecision, and, if relevant, multiplicity of analyses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DC32B" w14:textId="7E74DA72" w:rsidR="0078234D" w:rsidRPr="002B023F" w:rsidRDefault="00E65231" w:rsidP="00B95F05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78234D" w:rsidRPr="002B023F" w14:paraId="022913ED" w14:textId="77777777" w:rsidTr="009E774B">
        <w:tc>
          <w:tcPr>
            <w:tcW w:w="705" w:type="pct"/>
            <w:shd w:val="clear" w:color="auto" w:fill="auto"/>
            <w:vAlign w:val="center"/>
          </w:tcPr>
          <w:p w14:paraId="5CD32A42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Generalisability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C0917D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73E57D15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Generalisability (external validity, applicability) of the trial findings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C7BE0" w14:textId="22527D86" w:rsidR="0078234D" w:rsidRPr="002B023F" w:rsidRDefault="00E65231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</w:tr>
      <w:tr w:rsidR="0078234D" w:rsidRPr="002B023F" w14:paraId="51EEA637" w14:textId="77777777" w:rsidTr="009E774B">
        <w:tc>
          <w:tcPr>
            <w:tcW w:w="705" w:type="pct"/>
            <w:shd w:val="clear" w:color="auto" w:fill="auto"/>
            <w:vAlign w:val="center"/>
          </w:tcPr>
          <w:p w14:paraId="7CEE0C8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362FE3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7C07CA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AA3E7" w14:textId="3F17982B" w:rsidR="0078234D" w:rsidRPr="002B023F" w:rsidRDefault="009569F5" w:rsidP="002219DA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</w:tr>
      <w:tr w:rsidR="0078234D" w:rsidRPr="002B023F" w14:paraId="12487E47" w14:textId="77777777" w:rsidTr="009E774B">
        <w:tc>
          <w:tcPr>
            <w:tcW w:w="4501" w:type="pct"/>
            <w:gridSpan w:val="3"/>
            <w:shd w:val="clear" w:color="auto" w:fill="auto"/>
            <w:vAlign w:val="center"/>
          </w:tcPr>
          <w:p w14:paraId="4B6B68E4" w14:textId="77777777" w:rsidR="0078234D" w:rsidRPr="002B023F" w:rsidRDefault="0078234D" w:rsidP="009E774B">
            <w:pPr>
              <w:pStyle w:val="TableSubHead"/>
              <w:spacing w:after="80" w:line="360" w:lineRule="auto"/>
              <w:rPr>
                <w:szCs w:val="24"/>
              </w:rPr>
            </w:pPr>
            <w:r w:rsidRPr="002B023F">
              <w:rPr>
                <w:szCs w:val="24"/>
              </w:rPr>
              <w:t>Other information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3D5A8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4F622E84" w14:textId="77777777" w:rsidTr="009E774B">
        <w:tc>
          <w:tcPr>
            <w:tcW w:w="705" w:type="pct"/>
            <w:shd w:val="clear" w:color="auto" w:fill="auto"/>
            <w:vAlign w:val="center"/>
          </w:tcPr>
          <w:p w14:paraId="0221212B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C022B0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0A38FB5F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Registration number and name of trial registry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177F" w14:textId="61F4E90F" w:rsidR="0078234D" w:rsidRPr="002B023F" w:rsidRDefault="009569F5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34D" w:rsidRPr="002B023F" w14:paraId="56EC6F60" w14:textId="77777777" w:rsidTr="009E774B">
        <w:tc>
          <w:tcPr>
            <w:tcW w:w="705" w:type="pct"/>
            <w:shd w:val="clear" w:color="auto" w:fill="auto"/>
            <w:vAlign w:val="center"/>
          </w:tcPr>
          <w:p w14:paraId="049F4D75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E6B2A43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2041455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Where the full trial protocol can be accessed, if available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E4EAA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2B023F" w14:paraId="78226F97" w14:textId="77777777" w:rsidTr="009E774B"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79A8BE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B5CF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3A1E56" w14:textId="77777777" w:rsidR="0078234D" w:rsidRPr="002B023F" w:rsidRDefault="0078234D" w:rsidP="009E774B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2B023F">
              <w:rPr>
                <w:rFonts w:ascii="Times New Roman" w:hAnsi="Times New Roman" w:cs="Times New Roman"/>
                <w:sz w:val="24"/>
                <w:szCs w:val="24"/>
              </w:rPr>
              <w:t xml:space="preserve">Sources of funding </w:t>
            </w:r>
            <w:r w:rsidRPr="002B023F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and other support (such as supply of drugs), role of funders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AAA255" w14:textId="1D4CEA93" w:rsidR="0078234D" w:rsidRPr="002B023F" w:rsidRDefault="0078234D" w:rsidP="003021B6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0D40F" w14:textId="77777777" w:rsidR="0078234D" w:rsidRDefault="0078234D" w:rsidP="001215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7FA43" w14:textId="29AEE1F8" w:rsidR="0078234D" w:rsidRDefault="007823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0C9495" w14:textId="574712C1" w:rsidR="0078234D" w:rsidRPr="00C408A5" w:rsidRDefault="0078234D" w:rsidP="0078234D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D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9F6D45">
        <w:rPr>
          <w:rFonts w:ascii="Times New Roman" w:hAnsi="Times New Roman" w:cs="Times New Roman"/>
          <w:b/>
          <w:sz w:val="24"/>
          <w:szCs w:val="24"/>
        </w:rPr>
        <w:t>:</w:t>
      </w:r>
      <w:r w:rsidRPr="00C408A5">
        <w:rPr>
          <w:rFonts w:ascii="Times New Roman" w:hAnsi="Times New Roman" w:cs="Times New Roman"/>
          <w:sz w:val="24"/>
          <w:szCs w:val="24"/>
        </w:rPr>
        <w:t xml:space="preserve"> Schedule of events for the clinical study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4585"/>
        <w:gridCol w:w="1390"/>
        <w:gridCol w:w="1107"/>
        <w:gridCol w:w="1731"/>
        <w:gridCol w:w="2259"/>
        <w:gridCol w:w="1133"/>
        <w:gridCol w:w="1753"/>
      </w:tblGrid>
      <w:tr w:rsidR="0078234D" w:rsidRPr="00065551" w14:paraId="1BC132E8" w14:textId="77777777" w:rsidTr="009E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4ACE9E0" w14:textId="77777777" w:rsidR="0078234D" w:rsidRPr="002A6111" w:rsidRDefault="0078234D" w:rsidP="000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Study procedure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89516BB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Visit 1</w:t>
            </w:r>
          </w:p>
          <w:p w14:paraId="3A95F467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(Screening) Day (-) 14</w:t>
            </w:r>
          </w:p>
        </w:tc>
        <w:tc>
          <w:tcPr>
            <w:tcW w:w="1107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5CDDF8C" w14:textId="77777777" w:rsidR="0078234D" w:rsidRPr="0006555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Run in day(-14) to day 0</w:t>
            </w: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605C650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Visit 2</w:t>
            </w:r>
          </w:p>
          <w:p w14:paraId="0695DDB5" w14:textId="0F70448B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(Baseline)</w:t>
            </w:r>
          </w:p>
          <w:p w14:paraId="3E6718C9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2259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42E9B0F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Visit 3</w:t>
            </w:r>
            <w:r w:rsidRPr="002A61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  <w:p w14:paraId="5AFF3F3A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(Day of assessment) Day 35±1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D29776E" w14:textId="77777777" w:rsidR="0078234D" w:rsidRPr="0006555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Washout period (21 days)</w:t>
            </w: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AD764E5" w14:textId="77777777" w:rsidR="0078234D" w:rsidRPr="002A611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Visit 4</w:t>
            </w:r>
          </w:p>
          <w:p w14:paraId="044665EF" w14:textId="77777777" w:rsidR="0078234D" w:rsidRPr="00065551" w:rsidRDefault="0078234D" w:rsidP="00065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sz w:val="24"/>
                <w:szCs w:val="24"/>
              </w:rPr>
              <w:t>(EOS)/ follow-up Day 56±1</w:t>
            </w:r>
          </w:p>
        </w:tc>
      </w:tr>
      <w:tr w:rsidR="0078234D" w:rsidRPr="00065551" w14:paraId="480D1C13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AA0C8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702D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679D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7E1C1" w14:textId="77777777" w:rsidR="0078234D" w:rsidRPr="002A611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1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C7C5C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BA7B2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7D2C0485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AD886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Inclusion and exclusion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15B6D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D6121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4047B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CC630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C01AA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8DBFA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2CCD2A8E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1CB66871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Screening and enrolment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CD16FED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29BF8568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36DA400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103956D7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02C52A7C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0FB893F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3D937B10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55E64CF2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Demographic details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F22C510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73EEFF41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2C357FA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B12D2F0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C32EEBE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8FDD9A5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314B1DCD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5DE4F2D9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Vital signs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3454719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03C562E0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66EE837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7CF72B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5C702C5F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6630F3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78234D" w:rsidRPr="00065551" w14:paraId="64B22EA7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29C30822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Anthropometric </w:t>
            </w: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1BBED8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55752AAD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AF31042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9C36C8D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49281605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1E18B85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78234D" w:rsidRPr="00065551" w14:paraId="2471BCC4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22B4A57F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Physical examination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3DB109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64BD6D13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20E64B1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D39BEA2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7B5308A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B7F79D5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78234D" w:rsidRPr="00065551" w14:paraId="13CAF6FA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3A63839F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Medical/Surgical/Medication history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6BD2B21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722C4596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77678F7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70B5DBF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5A181CD6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A171D46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36CD0490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6C71818D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Concomitant medications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983E8EB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348B7263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4B012D5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1CF7189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E436DC9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BD789C5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78234D" w:rsidRPr="00065551" w14:paraId="5055C11F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7234D26A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Eligibility re-evaluation and randomization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791EFF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14A70B75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76F53DB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4F0D5EC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64B7EA7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9467DD2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3FF131D3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04DEA851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WURSS-24 Questionnaire </w:t>
            </w: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a</w:t>
            </w:r>
          </w:p>
          <w:p w14:paraId="6CEBEE09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Dispensing/review/collection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217BB78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537FA928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3895712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6DE2AD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341DBFF6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45A1C00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78234D" w:rsidRPr="00065551" w14:paraId="056E1DD1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23112F04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HRQoL Questionnaire (PHQ-15 &amp; SF-20)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456B3E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33300B9B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53A0A3B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EA759DE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52F6AB8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71E0336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78234D" w:rsidRPr="00065551" w14:paraId="698C9217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6C7A7D51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Clinical laboratory </w:t>
            </w: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226749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085317D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6C5CD1F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D5B0571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47EC782C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5CB0BB2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692BB0CA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50CD61CF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Urine pregnancy test </w:t>
            </w: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22E19CA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6DA0412F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7F18A02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484831CA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4AADBAA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9B9D4F5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2CC2DCC0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4C2A23E7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Tolerability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B02BB0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0C88BF7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52587AD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3BD2DD1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23780B07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F4BDF50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5489D305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4A9B7FAD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Study product dispensing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A7DE617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5AF0DCD1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5541D4F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6F5424E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9FD85AC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DFE016F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36760E7D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46713C89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Treatment duration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12C25D2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15B398CC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  <w:vAlign w:val="center"/>
          </w:tcPr>
          <w:p w14:paraId="25F983BB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(Day 1 to 35)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703F760F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DA10CD4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74AA7E20" w14:textId="77777777" w:rsidTr="009E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6A169358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Study product compliance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F1F912C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79114F00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810A352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21563F0F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04BDD3C2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1715A86" w14:textId="77777777" w:rsidR="0078234D" w:rsidRPr="00065551" w:rsidRDefault="0078234D" w:rsidP="00065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4D" w:rsidRPr="00065551" w14:paraId="050742CF" w14:textId="77777777" w:rsidTr="009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  <w:vAlign w:val="center"/>
          </w:tcPr>
          <w:p w14:paraId="4BB57B5A" w14:textId="77777777" w:rsidR="0078234D" w:rsidRPr="00065551" w:rsidRDefault="0078234D" w:rsidP="0006555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b w:val="0"/>
                <w:sz w:val="24"/>
                <w:szCs w:val="24"/>
              </w:rPr>
              <w:t>AE’s and SAE’s (SE)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C49F61A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14:paraId="0C730516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396D4F7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C74D582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92FA488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3C7DA1C" w14:textId="77777777" w:rsidR="0078234D" w:rsidRPr="00065551" w:rsidRDefault="0078234D" w:rsidP="00065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51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</w:tbl>
    <w:p w14:paraId="351FB3BF" w14:textId="386C2841" w:rsidR="0078234D" w:rsidRDefault="00785076" w:rsidP="00121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D6">
        <w:rPr>
          <w:rFonts w:ascii="Times New Roman" w:hAnsi="Times New Roman" w:cs="Times New Roman"/>
          <w:szCs w:val="24"/>
        </w:rPr>
        <w:t xml:space="preserve">×– </w:t>
      </w:r>
      <w:r w:rsidR="00AA60B4">
        <w:rPr>
          <w:rFonts w:ascii="Times New Roman" w:hAnsi="Times New Roman" w:cs="Times New Roman"/>
          <w:szCs w:val="24"/>
        </w:rPr>
        <w:t>Symbol i</w:t>
      </w:r>
      <w:r w:rsidR="005760A1">
        <w:rPr>
          <w:rFonts w:ascii="Times New Roman" w:hAnsi="Times New Roman" w:cs="Times New Roman"/>
          <w:szCs w:val="24"/>
        </w:rPr>
        <w:t>ndicates</w:t>
      </w:r>
      <w:r w:rsidRPr="009B33D6">
        <w:rPr>
          <w:rFonts w:ascii="Times New Roman" w:hAnsi="Times New Roman" w:cs="Times New Roman"/>
          <w:szCs w:val="24"/>
        </w:rPr>
        <w:t xml:space="preserve"> that the</w:t>
      </w:r>
      <w:r w:rsidR="00C711B1">
        <w:rPr>
          <w:rFonts w:ascii="Times New Roman" w:hAnsi="Times New Roman" w:cs="Times New Roman"/>
          <w:szCs w:val="24"/>
        </w:rPr>
        <w:t xml:space="preserve"> corresponding</w:t>
      </w:r>
      <w:r w:rsidRPr="009B33D6">
        <w:rPr>
          <w:rFonts w:ascii="Times New Roman" w:hAnsi="Times New Roman" w:cs="Times New Roman"/>
          <w:szCs w:val="24"/>
        </w:rPr>
        <w:t xml:space="preserve"> study procedure was conducted on that visit;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892EEF">
        <w:rPr>
          <w:rFonts w:ascii="Times New Roman" w:hAnsi="Times New Roman" w:cs="Times New Roman"/>
          <w:szCs w:val="24"/>
        </w:rPr>
        <w:t xml:space="preserve">(-) – a minus sign </w:t>
      </w:r>
      <w:r w:rsidR="00892EEF" w:rsidRPr="00892EEF">
        <w:rPr>
          <w:rFonts w:ascii="Times New Roman" w:hAnsi="Times New Roman" w:cs="Times New Roman"/>
          <w:iCs/>
          <w:szCs w:val="24"/>
        </w:rPr>
        <w:t>used for pre-treatment screening days to distinguish them from treatment days</w:t>
      </w:r>
      <w:r w:rsidR="00892EEF">
        <w:rPr>
          <w:rFonts w:ascii="Times New Roman" w:hAnsi="Times New Roman" w:cs="Times New Roman"/>
          <w:iCs/>
          <w:szCs w:val="24"/>
        </w:rPr>
        <w:t>;</w:t>
      </w:r>
      <w:r w:rsidR="00892EEF" w:rsidRPr="00892EEF">
        <w:rPr>
          <w:rFonts w:ascii="Times New Roman" w:hAnsi="Times New Roman" w:cs="Times New Roman"/>
          <w:i/>
          <w:iCs/>
          <w:szCs w:val="24"/>
        </w:rPr>
        <w:t> </w:t>
      </w:r>
      <w:r w:rsidR="0078234D" w:rsidRPr="00042550">
        <w:rPr>
          <w:rFonts w:ascii="Times New Roman" w:hAnsi="Times New Roman" w:cs="Times New Roman"/>
          <w:szCs w:val="24"/>
          <w:vertAlign w:val="superscript"/>
        </w:rPr>
        <w:t>a</w:t>
      </w:r>
      <w:r w:rsidR="0078234D" w:rsidRPr="00042550">
        <w:rPr>
          <w:rFonts w:ascii="Times New Roman" w:hAnsi="Times New Roman" w:cs="Times New Roman"/>
          <w:szCs w:val="24"/>
        </w:rPr>
        <w:t xml:space="preserve"> – Assessment will be done on daily basis throughout the study duration from visit 1 to visit 4; </w:t>
      </w:r>
      <w:r w:rsidR="0078234D" w:rsidRPr="00042550">
        <w:rPr>
          <w:rFonts w:ascii="Times New Roman" w:hAnsi="Times New Roman" w:cs="Times New Roman"/>
          <w:szCs w:val="24"/>
          <w:vertAlign w:val="superscript"/>
        </w:rPr>
        <w:t>b</w:t>
      </w:r>
      <w:r w:rsidR="0078234D" w:rsidRPr="00042550">
        <w:rPr>
          <w:rFonts w:ascii="Times New Roman" w:hAnsi="Times New Roman" w:cs="Times New Roman"/>
          <w:szCs w:val="24"/>
        </w:rPr>
        <w:t xml:space="preserve"> – Weight, height, body mass index, body circumference (arm, waist, hip and calf), waist to hip r</w:t>
      </w:r>
      <w:bookmarkStart w:id="0" w:name="_GoBack"/>
      <w:bookmarkEnd w:id="0"/>
      <w:r w:rsidR="0078234D" w:rsidRPr="00042550">
        <w:rPr>
          <w:rFonts w:ascii="Times New Roman" w:hAnsi="Times New Roman" w:cs="Times New Roman"/>
          <w:szCs w:val="24"/>
        </w:rPr>
        <w:t xml:space="preserve">atio; </w:t>
      </w:r>
      <w:r w:rsidR="0078234D" w:rsidRPr="00042550">
        <w:rPr>
          <w:rFonts w:ascii="Times New Roman" w:hAnsi="Times New Roman" w:cs="Times New Roman"/>
          <w:szCs w:val="24"/>
          <w:vertAlign w:val="superscript"/>
        </w:rPr>
        <w:t>c</w:t>
      </w:r>
      <w:r w:rsidR="0078234D" w:rsidRPr="00042550">
        <w:rPr>
          <w:rFonts w:ascii="Times New Roman" w:hAnsi="Times New Roman" w:cs="Times New Roman"/>
          <w:szCs w:val="24"/>
        </w:rPr>
        <w:t xml:space="preserve"> – As per protocol (Appendix-2); </w:t>
      </w:r>
      <w:r w:rsidR="0078234D" w:rsidRPr="00042550">
        <w:rPr>
          <w:rFonts w:ascii="Times New Roman" w:hAnsi="Times New Roman" w:cs="Times New Roman"/>
          <w:szCs w:val="24"/>
          <w:vertAlign w:val="superscript"/>
        </w:rPr>
        <w:t>d</w:t>
      </w:r>
      <w:r w:rsidR="0078234D" w:rsidRPr="00042550">
        <w:rPr>
          <w:rFonts w:ascii="Times New Roman" w:hAnsi="Times New Roman" w:cs="Times New Roman"/>
          <w:szCs w:val="24"/>
        </w:rPr>
        <w:t xml:space="preserve"> – Applicable for female patients of reproductive age; </w:t>
      </w:r>
      <w:r w:rsidR="0078234D" w:rsidRPr="00042550">
        <w:rPr>
          <w:rFonts w:ascii="Times New Roman" w:hAnsi="Times New Roman" w:cs="Times New Roman"/>
          <w:szCs w:val="24"/>
          <w:vertAlign w:val="superscript"/>
        </w:rPr>
        <w:t>e</w:t>
      </w:r>
      <w:r w:rsidR="0078234D" w:rsidRPr="00042550">
        <w:rPr>
          <w:rFonts w:ascii="Times New Roman" w:hAnsi="Times New Roman" w:cs="Times New Roman"/>
          <w:szCs w:val="24"/>
        </w:rPr>
        <w:t xml:space="preserve"> – Visit 3 can be on the last day of treatment or within 24 hours after the last done. Appendix 2: Haematological – Complete blood count, differential blood count, platelets; Biochemical tests – SGOT, SGPT, serum creatinine, blood urea nitrogen, random blood sugar, total cholesterol, total albumin, and globulin; C-reactive protein; Immunoglobulins – Serum Ig G, nasal Ig A, serum Ig M; Other immune markers – Serum IFN-γ, IL-4, and IL-10; Innate immunity - NK (CD16, CD56) cells population; Adaptive immunity -  Cell population of peripheral blood TH (CD3+), Tc (CD3+, CD8+), B (CD19); and serum cortisol</w:t>
      </w:r>
    </w:p>
    <w:p w14:paraId="111F3713" w14:textId="0053078B" w:rsidR="001215DA" w:rsidRDefault="001215DA" w:rsidP="001215DA">
      <w:pPr>
        <w:jc w:val="both"/>
        <w:rPr>
          <w:rFonts w:ascii="Times New Roman" w:hAnsi="Times New Roman" w:cs="Times New Roman"/>
          <w:sz w:val="24"/>
          <w:szCs w:val="24"/>
        </w:rPr>
      </w:pPr>
      <w:r w:rsidRPr="00D072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6D1306" w:rsidRPr="00D07215">
        <w:rPr>
          <w:rFonts w:ascii="Times New Roman" w:hAnsi="Times New Roman" w:cs="Times New Roman"/>
          <w:b/>
          <w:sz w:val="24"/>
          <w:szCs w:val="24"/>
        </w:rPr>
        <w:t>S</w:t>
      </w:r>
      <w:r w:rsidR="00F76283">
        <w:rPr>
          <w:rFonts w:ascii="Times New Roman" w:hAnsi="Times New Roman" w:cs="Times New Roman"/>
          <w:b/>
          <w:sz w:val="24"/>
          <w:szCs w:val="24"/>
        </w:rPr>
        <w:t>3</w:t>
      </w:r>
      <w:r w:rsidRPr="00D072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Changes in physical parameters of subjects after intervention with the ProbioSEB CSC3 and placebo at the start of treatment (SOT) to the </w:t>
      </w:r>
      <w:r w:rsidRPr="00C408A5">
        <w:rPr>
          <w:rFonts w:ascii="Times New Roman" w:hAnsi="Times New Roman" w:cs="Times New Roman"/>
          <w:sz w:val="24"/>
          <w:szCs w:val="24"/>
        </w:rPr>
        <w:t>end of treatment (EOT).</w:t>
      </w:r>
      <w:r>
        <w:rPr>
          <w:rFonts w:ascii="Times New Roman" w:hAnsi="Times New Roman" w:cs="Times New Roman"/>
          <w:sz w:val="24"/>
          <w:szCs w:val="24"/>
        </w:rPr>
        <w:t xml:space="preserve"> Results expressed as mean±SD</w:t>
      </w: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2976"/>
        <w:gridCol w:w="2127"/>
        <w:gridCol w:w="1561"/>
        <w:gridCol w:w="1415"/>
        <w:gridCol w:w="1845"/>
        <w:gridCol w:w="1558"/>
        <w:gridCol w:w="1418"/>
        <w:gridCol w:w="1058"/>
      </w:tblGrid>
      <w:tr w:rsidR="001215DA" w:rsidRPr="00C408A5" w14:paraId="69CBD091" w14:textId="77777777" w:rsidTr="00E57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75908EDE" w14:textId="77777777" w:rsidR="001215DA" w:rsidRPr="004F0962" w:rsidRDefault="001215DA" w:rsidP="00E5710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Safety parameters</w:t>
            </w:r>
          </w:p>
        </w:tc>
        <w:tc>
          <w:tcPr>
            <w:tcW w:w="1828" w:type="pct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45C5D8FA" w14:textId="77777777" w:rsidR="001215DA" w:rsidRPr="004F0962" w:rsidRDefault="001215DA" w:rsidP="00E571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ProbioSEB CSC3</w:t>
            </w:r>
          </w:p>
        </w:tc>
        <w:tc>
          <w:tcPr>
            <w:tcW w:w="1727" w:type="pct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5221D240" w14:textId="77777777" w:rsidR="001215DA" w:rsidRPr="004F0962" w:rsidRDefault="001215DA" w:rsidP="00E571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379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768BBC82" w14:textId="77777777" w:rsidR="001215DA" w:rsidRPr="004F0962" w:rsidRDefault="001215DA" w:rsidP="00E571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p-value (Inter group)</w:t>
            </w:r>
          </w:p>
        </w:tc>
      </w:tr>
      <w:tr w:rsidR="00E57107" w:rsidRPr="00C408A5" w14:paraId="265E5D56" w14:textId="77777777" w:rsidTr="00E5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0D48EE" w14:textId="77777777" w:rsidR="001215DA" w:rsidRPr="004F0962" w:rsidRDefault="001215DA" w:rsidP="00E5710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14:paraId="57B3AEC5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SOT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14:paraId="2344B361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14:paraId="1DA254BA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EOT-SOT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779917CB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SOT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</w:tcPr>
          <w:p w14:paraId="4732B7BD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14:paraId="7FBFA433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EOT-SOT</w:t>
            </w:r>
          </w:p>
        </w:tc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0B30DC" w14:textId="77777777" w:rsidR="001215DA" w:rsidRPr="004F0962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107" w:rsidRPr="00C408A5" w14:paraId="02398839" w14:textId="77777777" w:rsidTr="00E5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tcBorders>
              <w:top w:val="single" w:sz="4" w:space="0" w:color="auto"/>
            </w:tcBorders>
            <w:shd w:val="clear" w:color="auto" w:fill="auto"/>
          </w:tcPr>
          <w:p w14:paraId="3D1790EB" w14:textId="77777777" w:rsidR="001215DA" w:rsidRPr="00E57107" w:rsidRDefault="001215DA" w:rsidP="00E571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Systolic Blood pressure (mmHG)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</w:tcPr>
          <w:p w14:paraId="4C1F5BF7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123.91 ± 4.67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</w:tcPr>
          <w:p w14:paraId="6A17EF57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89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14:paraId="3345C9ED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-8.02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6.38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</w:tcPr>
          <w:p w14:paraId="17606377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122.8 ± 4.08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</w:tcPr>
          <w:p w14:paraId="67D481F4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.66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</w:tcPr>
          <w:p w14:paraId="5E8A508B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-2.18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6.91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7B40DBB4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0.001</w:t>
            </w:r>
          </w:p>
        </w:tc>
      </w:tr>
      <w:tr w:rsidR="00E57107" w:rsidRPr="00C408A5" w14:paraId="04CB1779" w14:textId="77777777" w:rsidTr="00E5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shd w:val="clear" w:color="auto" w:fill="auto"/>
          </w:tcPr>
          <w:p w14:paraId="742BA1AF" w14:textId="77777777" w:rsidR="001215DA" w:rsidRPr="00E57107" w:rsidRDefault="001215DA" w:rsidP="00E571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Diastolic Blood pressure (mmHG)</w:t>
            </w:r>
          </w:p>
        </w:tc>
        <w:tc>
          <w:tcPr>
            <w:tcW w:w="762" w:type="pct"/>
            <w:shd w:val="clear" w:color="auto" w:fill="auto"/>
          </w:tcPr>
          <w:p w14:paraId="48E6B282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78.16 ± 3.89</w:t>
            </w:r>
          </w:p>
        </w:tc>
        <w:tc>
          <w:tcPr>
            <w:tcW w:w="559" w:type="pct"/>
            <w:shd w:val="clear" w:color="auto" w:fill="auto"/>
          </w:tcPr>
          <w:p w14:paraId="555B006A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71.3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 ±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507" w:type="pct"/>
            <w:shd w:val="clear" w:color="auto" w:fill="auto"/>
          </w:tcPr>
          <w:p w14:paraId="1F2BBE86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-6.84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5.21</w:t>
            </w:r>
          </w:p>
        </w:tc>
        <w:tc>
          <w:tcPr>
            <w:tcW w:w="661" w:type="pct"/>
            <w:shd w:val="clear" w:color="auto" w:fill="auto"/>
          </w:tcPr>
          <w:p w14:paraId="6C38D040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77.66 ± 3.36</w:t>
            </w:r>
          </w:p>
        </w:tc>
        <w:tc>
          <w:tcPr>
            <w:tcW w:w="558" w:type="pct"/>
            <w:shd w:val="clear" w:color="auto" w:fill="auto"/>
          </w:tcPr>
          <w:p w14:paraId="5A9A2295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508" w:type="pct"/>
            <w:shd w:val="clear" w:color="auto" w:fill="auto"/>
          </w:tcPr>
          <w:p w14:paraId="662D875E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-1.25 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6.26</w:t>
            </w:r>
          </w:p>
        </w:tc>
        <w:tc>
          <w:tcPr>
            <w:tcW w:w="379" w:type="pct"/>
            <w:shd w:val="clear" w:color="auto" w:fill="auto"/>
          </w:tcPr>
          <w:p w14:paraId="7BAF07CC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0.001</w:t>
            </w:r>
          </w:p>
        </w:tc>
      </w:tr>
      <w:tr w:rsidR="00E57107" w:rsidRPr="00C408A5" w14:paraId="65CC4C10" w14:textId="77777777" w:rsidTr="00E5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shd w:val="clear" w:color="auto" w:fill="auto"/>
          </w:tcPr>
          <w:p w14:paraId="7E5021E5" w14:textId="77777777" w:rsidR="001215DA" w:rsidRPr="00E57107" w:rsidRDefault="001215DA" w:rsidP="00E571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Pulse rate (beats/min)</w:t>
            </w:r>
          </w:p>
        </w:tc>
        <w:tc>
          <w:tcPr>
            <w:tcW w:w="762" w:type="pct"/>
            <w:shd w:val="clear" w:color="auto" w:fill="auto"/>
          </w:tcPr>
          <w:p w14:paraId="63313D15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79.48 ± 1.99</w:t>
            </w:r>
          </w:p>
        </w:tc>
        <w:tc>
          <w:tcPr>
            <w:tcW w:w="559" w:type="pct"/>
            <w:shd w:val="clear" w:color="auto" w:fill="auto"/>
          </w:tcPr>
          <w:p w14:paraId="7301483C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2.07</w:t>
            </w:r>
          </w:p>
        </w:tc>
        <w:tc>
          <w:tcPr>
            <w:tcW w:w="507" w:type="pct"/>
            <w:shd w:val="clear" w:color="auto" w:fill="auto"/>
          </w:tcPr>
          <w:p w14:paraId="133D1E6F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-1.84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2.61</w:t>
            </w:r>
          </w:p>
        </w:tc>
        <w:tc>
          <w:tcPr>
            <w:tcW w:w="661" w:type="pct"/>
            <w:shd w:val="clear" w:color="auto" w:fill="auto"/>
          </w:tcPr>
          <w:p w14:paraId="2AC54CE3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79.75 ± 2.22</w:t>
            </w:r>
          </w:p>
        </w:tc>
        <w:tc>
          <w:tcPr>
            <w:tcW w:w="558" w:type="pct"/>
            <w:shd w:val="clear" w:color="auto" w:fill="auto"/>
          </w:tcPr>
          <w:p w14:paraId="6E235BA8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508" w:type="pct"/>
            <w:shd w:val="clear" w:color="auto" w:fill="auto"/>
          </w:tcPr>
          <w:p w14:paraId="5D8028E7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-1.61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3.64</w:t>
            </w:r>
          </w:p>
        </w:tc>
        <w:tc>
          <w:tcPr>
            <w:tcW w:w="379" w:type="pct"/>
            <w:shd w:val="clear" w:color="auto" w:fill="auto"/>
          </w:tcPr>
          <w:p w14:paraId="18ADFCEA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0.415</w:t>
            </w:r>
          </w:p>
        </w:tc>
      </w:tr>
      <w:tr w:rsidR="00E57107" w:rsidRPr="00C408A5" w14:paraId="5D57212C" w14:textId="77777777" w:rsidTr="00E5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shd w:val="clear" w:color="auto" w:fill="auto"/>
          </w:tcPr>
          <w:p w14:paraId="698EDE59" w14:textId="77777777" w:rsidR="001215DA" w:rsidRPr="00E57107" w:rsidRDefault="001215DA" w:rsidP="00E571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Respiration rate (breaths/minute)</w:t>
            </w:r>
          </w:p>
        </w:tc>
        <w:tc>
          <w:tcPr>
            <w:tcW w:w="762" w:type="pct"/>
            <w:shd w:val="clear" w:color="auto" w:fill="auto"/>
          </w:tcPr>
          <w:p w14:paraId="28F4E2B0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18.86 ± 1.34</w:t>
            </w:r>
          </w:p>
        </w:tc>
        <w:tc>
          <w:tcPr>
            <w:tcW w:w="559" w:type="pct"/>
            <w:shd w:val="clear" w:color="auto" w:fill="auto"/>
          </w:tcPr>
          <w:p w14:paraId="55A9320F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1.47</w:t>
            </w:r>
          </w:p>
        </w:tc>
        <w:tc>
          <w:tcPr>
            <w:tcW w:w="507" w:type="pct"/>
            <w:shd w:val="clear" w:color="auto" w:fill="auto"/>
          </w:tcPr>
          <w:p w14:paraId="56F24529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-1.39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2.07</w:t>
            </w:r>
          </w:p>
        </w:tc>
        <w:tc>
          <w:tcPr>
            <w:tcW w:w="661" w:type="pct"/>
            <w:shd w:val="clear" w:color="auto" w:fill="auto"/>
          </w:tcPr>
          <w:p w14:paraId="27541C53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18.23 ± 1.16</w:t>
            </w:r>
          </w:p>
        </w:tc>
        <w:tc>
          <w:tcPr>
            <w:tcW w:w="558" w:type="pct"/>
            <w:shd w:val="clear" w:color="auto" w:fill="auto"/>
          </w:tcPr>
          <w:p w14:paraId="60CF5B3E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508" w:type="pct"/>
            <w:shd w:val="clear" w:color="auto" w:fill="auto"/>
          </w:tcPr>
          <w:p w14:paraId="0DEC311E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1.98</w:t>
            </w:r>
          </w:p>
        </w:tc>
        <w:tc>
          <w:tcPr>
            <w:tcW w:w="379" w:type="pct"/>
            <w:shd w:val="clear" w:color="auto" w:fill="auto"/>
          </w:tcPr>
          <w:p w14:paraId="39250C56" w14:textId="77777777" w:rsidR="001215DA" w:rsidRPr="00EB4105" w:rsidRDefault="001215DA" w:rsidP="00E57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0.037</w:t>
            </w:r>
          </w:p>
        </w:tc>
      </w:tr>
      <w:tr w:rsidR="00E57107" w:rsidRPr="00C408A5" w14:paraId="25000F6E" w14:textId="77777777" w:rsidTr="00E5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shd w:val="clear" w:color="auto" w:fill="auto"/>
          </w:tcPr>
          <w:p w14:paraId="72A07E55" w14:textId="77777777" w:rsidR="001215DA" w:rsidRPr="00E57107" w:rsidRDefault="001215DA" w:rsidP="00E571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Temperature (ºF)</w:t>
            </w:r>
          </w:p>
        </w:tc>
        <w:tc>
          <w:tcPr>
            <w:tcW w:w="762" w:type="pct"/>
            <w:shd w:val="clear" w:color="auto" w:fill="auto"/>
          </w:tcPr>
          <w:p w14:paraId="121B6B8F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98.10 ± 0.36</w:t>
            </w:r>
          </w:p>
        </w:tc>
        <w:tc>
          <w:tcPr>
            <w:tcW w:w="559" w:type="pct"/>
            <w:shd w:val="clear" w:color="auto" w:fill="auto"/>
          </w:tcPr>
          <w:p w14:paraId="40F9F6FC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507" w:type="pct"/>
            <w:shd w:val="clear" w:color="auto" w:fill="auto"/>
          </w:tcPr>
          <w:p w14:paraId="5084F790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0.44</w:t>
            </w:r>
          </w:p>
        </w:tc>
        <w:tc>
          <w:tcPr>
            <w:tcW w:w="661" w:type="pct"/>
            <w:shd w:val="clear" w:color="auto" w:fill="auto"/>
          </w:tcPr>
          <w:p w14:paraId="181A3D3C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98.49 ± 0.30</w:t>
            </w:r>
          </w:p>
        </w:tc>
        <w:tc>
          <w:tcPr>
            <w:tcW w:w="558" w:type="pct"/>
            <w:shd w:val="clear" w:color="auto" w:fill="auto"/>
          </w:tcPr>
          <w:p w14:paraId="41ABEC2E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 0.3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14:paraId="7B908230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-0.02</w:t>
            </w:r>
            <w:r w:rsidRPr="00EB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0.43</w:t>
            </w:r>
          </w:p>
        </w:tc>
        <w:tc>
          <w:tcPr>
            <w:tcW w:w="379" w:type="pct"/>
            <w:shd w:val="clear" w:color="auto" w:fill="auto"/>
          </w:tcPr>
          <w:p w14:paraId="71DF77B3" w14:textId="77777777" w:rsidR="001215DA" w:rsidRPr="00EB4105" w:rsidRDefault="001215DA" w:rsidP="00E57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0.815</w:t>
            </w:r>
          </w:p>
        </w:tc>
      </w:tr>
    </w:tbl>
    <w:p w14:paraId="3F6621E9" w14:textId="77777777" w:rsidR="00FF759D" w:rsidRDefault="00FF7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942AAC" w14:textId="350B000C" w:rsidR="007F5824" w:rsidRDefault="006D1306" w:rsidP="006D1306">
      <w:pPr>
        <w:jc w:val="both"/>
        <w:rPr>
          <w:rFonts w:ascii="Times New Roman" w:hAnsi="Times New Roman" w:cs="Times New Roman"/>
          <w:sz w:val="24"/>
          <w:szCs w:val="24"/>
        </w:rPr>
      </w:pPr>
      <w:r w:rsidRPr="00D07215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F76283">
        <w:rPr>
          <w:rFonts w:ascii="Times New Roman" w:hAnsi="Times New Roman" w:cs="Times New Roman"/>
          <w:b/>
          <w:sz w:val="24"/>
          <w:szCs w:val="24"/>
        </w:rPr>
        <w:t>4</w:t>
      </w:r>
      <w:r w:rsidRPr="00D072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Changes in </w:t>
      </w:r>
      <w:r w:rsidRPr="00C408A5">
        <w:rPr>
          <w:rFonts w:ascii="Times New Roman" w:hAnsi="Times New Roman" w:cs="Times New Roman"/>
          <w:sz w:val="24"/>
          <w:szCs w:val="24"/>
        </w:rPr>
        <w:t>haematological</w:t>
      </w:r>
      <w:r>
        <w:rPr>
          <w:rFonts w:ascii="Times New Roman" w:hAnsi="Times New Roman" w:cs="Times New Roman"/>
          <w:sz w:val="24"/>
          <w:szCs w:val="24"/>
        </w:rPr>
        <w:t xml:space="preserve"> and biochemical parameters of subjects after intervention with the ProbioSEB CSC3 and placebo at the start of treatment (SOT) to the </w:t>
      </w:r>
      <w:r w:rsidRPr="00C408A5">
        <w:rPr>
          <w:rFonts w:ascii="Times New Roman" w:hAnsi="Times New Roman" w:cs="Times New Roman"/>
          <w:sz w:val="24"/>
          <w:szCs w:val="24"/>
        </w:rPr>
        <w:t>end of treatment (EOT).</w:t>
      </w:r>
      <w:r>
        <w:rPr>
          <w:rFonts w:ascii="Times New Roman" w:hAnsi="Times New Roman" w:cs="Times New Roman"/>
          <w:sz w:val="24"/>
          <w:szCs w:val="24"/>
        </w:rPr>
        <w:t xml:space="preserve"> Results expressed as mean±SD</w:t>
      </w: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2787"/>
        <w:gridCol w:w="2035"/>
        <w:gridCol w:w="1700"/>
        <w:gridCol w:w="1563"/>
        <w:gridCol w:w="1700"/>
        <w:gridCol w:w="1558"/>
        <w:gridCol w:w="1563"/>
        <w:gridCol w:w="1052"/>
      </w:tblGrid>
      <w:tr w:rsidR="007F5824" w:rsidRPr="00C408A5" w14:paraId="7F1E8260" w14:textId="77777777" w:rsidTr="00E91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435ECE3" w14:textId="77777777" w:rsidR="007F5824" w:rsidRPr="004F0962" w:rsidRDefault="007F5824" w:rsidP="00E91E7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Safety parameters</w:t>
            </w:r>
          </w:p>
        </w:tc>
        <w:tc>
          <w:tcPr>
            <w:tcW w:w="1897" w:type="pct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3CDA997" w14:textId="77777777" w:rsidR="007F5824" w:rsidRPr="004F0962" w:rsidRDefault="007F5824" w:rsidP="00E9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ProbioSEB CSC3</w:t>
            </w:r>
          </w:p>
        </w:tc>
        <w:tc>
          <w:tcPr>
            <w:tcW w:w="1727" w:type="pct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3EFD9B4" w14:textId="77777777" w:rsidR="007F5824" w:rsidRPr="004F0962" w:rsidRDefault="007F5824" w:rsidP="00E9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378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37F8BAE" w14:textId="77777777" w:rsidR="007F5824" w:rsidRPr="004F0962" w:rsidRDefault="007F5824" w:rsidP="00E9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sz w:val="24"/>
                <w:szCs w:val="24"/>
              </w:rPr>
              <w:t>p-value (Inter group)</w:t>
            </w:r>
          </w:p>
        </w:tc>
      </w:tr>
      <w:tr w:rsidR="000560C9" w:rsidRPr="00C408A5" w14:paraId="72FED14E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C99EE" w14:textId="77777777" w:rsidR="007F5824" w:rsidRPr="004F0962" w:rsidRDefault="007F5824" w:rsidP="00E91E7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A1F71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SOT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5260B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2E5E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EOT-SOT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C92BA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SOT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EDD1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15BB1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62">
              <w:rPr>
                <w:rFonts w:ascii="Times New Roman" w:hAnsi="Times New Roman" w:cs="Times New Roman"/>
                <w:b/>
                <w:sz w:val="24"/>
                <w:szCs w:val="24"/>
              </w:rPr>
              <w:t>EOT-SOT</w:t>
            </w:r>
          </w:p>
        </w:tc>
        <w:tc>
          <w:tcPr>
            <w:tcW w:w="3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77D4D" w14:textId="77777777" w:rsidR="007F5824" w:rsidRPr="004F0962" w:rsidRDefault="007F5824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0C9" w:rsidRPr="00300222" w14:paraId="3796E9E0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F5E8D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Hemoglobin (g/dL)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B1EF7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14.29 ± 0.85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FB81C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14.78 ± 0.70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6BD80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0.49 ± 1.06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09B3D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14.12 ± 1.03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02E6E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14.73 ± 0.76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1FF71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0.61 ± 1.3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13E7C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0.639</w:t>
            </w:r>
          </w:p>
        </w:tc>
      </w:tr>
      <w:tr w:rsidR="000560C9" w:rsidRPr="00300222" w14:paraId="4F6CD990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33970427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RBC (millions/cumm)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387147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5.17 ± 0.72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0294AA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4.79 ± 0.46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B221408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- 0.38±0.78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5673A32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5.20 ± 0.68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43047FD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4.89 ± 0.52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B4674C0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- 0.31 ± 0.64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8F9BA4C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0.667</w:t>
            </w:r>
          </w:p>
        </w:tc>
      </w:tr>
      <w:tr w:rsidR="00E91E70" w:rsidRPr="00300222" w14:paraId="0A09EA43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1DE34EFE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WBC (cells/cumm)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45A2C68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7541.18 ± 885.76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2666C39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8064.77 ± 1040.09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E528366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523.59 ± 1109.16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E87BED8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7736.39 ± 969.92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8B12655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8183.75 ± 740.76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F1857C2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447.36 ± 1244.92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3EB6EE3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0.762</w:t>
            </w:r>
          </w:p>
        </w:tc>
      </w:tr>
      <w:tr w:rsidR="000560C9" w:rsidRPr="00300222" w14:paraId="2D6735EE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396CC01E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Neutrophils (%)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C130615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49.61 ± 5.08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0DD1C8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51.39 ± 3.29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D9C837E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1.77 ± 3.89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86D5CCD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48.77 ± 4.76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68E111E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52.14 ± 4.47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3339446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3.36 ± 5.63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CCC1C52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0.127</w:t>
            </w:r>
          </w:p>
        </w:tc>
      </w:tr>
      <w:tr w:rsidR="00E91E70" w:rsidRPr="00300222" w14:paraId="192D5789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6B8CB184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Lymphocytes (%)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F830ECA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40.93 ± 3.72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1DB1C59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40.82 ± 3.47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DDB4851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-0.11 ± 3.49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07217EE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41.23 ± 4.31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40CCA65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40.34 ± 3.88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BD62B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- 0.89 ± 3.34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418151D6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0.292</w:t>
            </w:r>
          </w:p>
        </w:tc>
      </w:tr>
      <w:tr w:rsidR="000560C9" w:rsidRPr="00300222" w14:paraId="5611B601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7B83DF9C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Monocytes (%)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D265065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5.93 ± 2.20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1E6FBC0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4.82 ± 1.40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554AC0C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-1.11 ± 2.63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C592425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6.09 ± 1.34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2CC8CD7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5.16 ± 1.63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C43CF12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-0.93 ± 1.92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06BE3DF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0.712</w:t>
            </w:r>
          </w:p>
        </w:tc>
      </w:tr>
      <w:tr w:rsidR="00E91E70" w:rsidRPr="00300222" w14:paraId="14542DBA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008035F5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Eosinophils (%)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1A2B991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3.07 ± 1.34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AB5C70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3.05 ± 1.12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AA1CE5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-0.02 ± 1.52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C765F57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2.91 ± 1.41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4343DC2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3.11 ± 1.10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3321B4F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 ± 1.46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444E8BC0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0.475</w:t>
            </w:r>
          </w:p>
        </w:tc>
      </w:tr>
      <w:tr w:rsidR="000560C9" w:rsidRPr="00300222" w14:paraId="349C0498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7C6AFE66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Basophils (%)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FAE9A5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0.36 ± 0.61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8641595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0.57 ± 0.87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29CD963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 ± 0.85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64C5FCB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0.61 ± 0.78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B03A465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0.61 ± 0.81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5C692A1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 ± 0.81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DF3FF76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0.251</w:t>
            </w:r>
          </w:p>
        </w:tc>
      </w:tr>
      <w:tr w:rsidR="00E91E70" w:rsidRPr="00300222" w14:paraId="6FAB33E3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606913EF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Platelet count (×10ˆ5 cells/cumm)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A2E9410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3.12 ± 0.8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7F2F44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2.96 ± 0.58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E92A9DA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- 0.16 ± 0.59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B8AEA69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3.27 ± 0.72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B4F8C4C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2.90 ± 0.52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5C60465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-0.37 ± 0.67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38A366CA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</w:t>
            </w:r>
          </w:p>
        </w:tc>
      </w:tr>
      <w:tr w:rsidR="000560C9" w:rsidRPr="00300222" w14:paraId="65AB012D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15F289DF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SGOT (IU/L)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49FF3FA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29.57 ± 2.68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75F67A1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27.56 ± 2.23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21772F8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- 2.02 ± 2.68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8A241A6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29.87 ± 3.09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3BD67EE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28.14 ± 3.27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448F225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- 1.74 ± 3.64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D7E69BB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0.683</w:t>
            </w:r>
          </w:p>
        </w:tc>
      </w:tr>
      <w:tr w:rsidR="00E91E70" w:rsidRPr="00300222" w14:paraId="5AE27678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6C58F7CF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SGPT (IU/L)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C279F96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33.84 ± 4.02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721F9D0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30.33 ± 2.79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D795C81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-3.52 ± 4.02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3DEA6B0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35.84 ± 3.19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FADA85F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31.22 ± 2.63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42116DD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- 4.62 ± 3.78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476C14E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0.189</w:t>
            </w:r>
          </w:p>
        </w:tc>
      </w:tr>
      <w:tr w:rsidR="000560C9" w:rsidRPr="00300222" w14:paraId="2BA680B5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3CE7CF15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Serum creatininie (mg/dl)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4002B47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1.17 ± 0.30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58903AF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1.10 ± 0.25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45F0F96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-0.08 ± 0.37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DE5E47B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1.26 ± 0.36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77B073E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1.11 ± 0.28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5D1B714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- 0.15 ± 0.36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9696724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0.328</w:t>
            </w:r>
          </w:p>
        </w:tc>
      </w:tr>
      <w:tr w:rsidR="00E91E70" w:rsidRPr="00300222" w14:paraId="798846AF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2DA4752C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BUN (mg/dL)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92FF586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14.06 ± 3.28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FEAD5A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14.79 ± 1.97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F13DF9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0.73 ± 2.65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8761905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14.07 ± 1.98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5AABB3E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14.96 ± 2.16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1DE1EFA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0.89 ± 1.73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31573490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0.73</w:t>
            </w:r>
          </w:p>
        </w:tc>
      </w:tr>
      <w:tr w:rsidR="000560C9" w:rsidRPr="00300222" w14:paraId="2229D210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7C0CA7A0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RBS (mg/dL)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C878F4D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112.45 ± 9.04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7913F4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116.55 ± 9.36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A35A3D8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4.09 ± 8.48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6DB6484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111.66 ± 7.41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9AC0DFF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116.80 ± 9.65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8A1B4A6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5.14 ± 8.09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E9C02F1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0.557</w:t>
            </w:r>
          </w:p>
        </w:tc>
      </w:tr>
      <w:tr w:rsidR="00E91E70" w:rsidRPr="00300222" w14:paraId="1E7191C9" w14:textId="77777777" w:rsidTr="00E91E7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396C629D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Total cholesterol (mg/dL)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E1000B9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169.55 ± 8.82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6F86AF6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173.24 ± 10.42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32C2A38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3.7 ± 12.22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05C91CA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168.11 ±</w:t>
            </w:r>
            <w:r w:rsidRPr="00C4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1</w:t>
            </w: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51DE5A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174.07 ± 8.13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1CC1916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5.95 ± 12.45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DEB142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0.393</w:t>
            </w:r>
          </w:p>
        </w:tc>
      </w:tr>
      <w:tr w:rsidR="000560C9" w:rsidRPr="00300222" w14:paraId="58EF3408" w14:textId="77777777" w:rsidTr="00E9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05F28F89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Total albumin (g/dL)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5792122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3.68 ± 0.48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2F8EF31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4.21 ± 0.47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2FCFC7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0.53 ± 0.67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E6E8759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3.72 ± 0.47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14B2F8E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4.25 ± 0.35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C6C4CB4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0.53 ± 0.53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1C7615F" w14:textId="77777777" w:rsidR="001215DA" w:rsidRPr="00300222" w:rsidRDefault="001215DA" w:rsidP="00E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0.97</w:t>
            </w:r>
          </w:p>
        </w:tc>
      </w:tr>
      <w:tr w:rsidR="00E91E70" w:rsidRPr="00300222" w14:paraId="4733C8CE" w14:textId="77777777" w:rsidTr="00E91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shd w:val="clear" w:color="auto" w:fill="auto"/>
            <w:vAlign w:val="center"/>
          </w:tcPr>
          <w:p w14:paraId="6BABEB6D" w14:textId="77777777" w:rsidR="001215DA" w:rsidRPr="00E57107" w:rsidRDefault="001215DA" w:rsidP="00E91E70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</w:pPr>
            <w:r w:rsidRPr="00E5710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n-IN"/>
              </w:rPr>
              <w:t>Globulin (g/dL)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D73A13F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3.4 ± 0.48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7FDB00D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3.21 ± 0.25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A57A51B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- 0.19 ± 0.53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F65FA77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3.31 ± 0.41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646723C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3.2 ± 0.39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7993AD1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- 0.11 ± 0.37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C7247A7" w14:textId="77777777" w:rsidR="001215DA" w:rsidRPr="00300222" w:rsidRDefault="001215DA" w:rsidP="00E9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0.41</w:t>
            </w:r>
          </w:p>
        </w:tc>
      </w:tr>
    </w:tbl>
    <w:p w14:paraId="08FF9618" w14:textId="77777777" w:rsidR="001215DA" w:rsidRPr="001215DA" w:rsidRDefault="001215DA">
      <w:pPr>
        <w:rPr>
          <w:rFonts w:ascii="Times New Roman" w:hAnsi="Times New Roman" w:cs="Times New Roman"/>
          <w:sz w:val="24"/>
          <w:szCs w:val="24"/>
        </w:rPr>
      </w:pPr>
    </w:p>
    <w:sectPr w:rsidR="001215DA" w:rsidRPr="001215DA" w:rsidSect="001215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60C6D" w14:textId="77777777" w:rsidR="002229F1" w:rsidRDefault="002229F1" w:rsidP="003F729E">
      <w:pPr>
        <w:spacing w:after="0" w:line="240" w:lineRule="auto"/>
      </w:pPr>
      <w:r>
        <w:separator/>
      </w:r>
    </w:p>
  </w:endnote>
  <w:endnote w:type="continuationSeparator" w:id="0">
    <w:p w14:paraId="7847E24C" w14:textId="77777777" w:rsidR="002229F1" w:rsidRDefault="002229F1" w:rsidP="003F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B3600" w14:textId="77777777" w:rsidR="002229F1" w:rsidRDefault="002229F1" w:rsidP="003F729E">
      <w:pPr>
        <w:spacing w:after="0" w:line="240" w:lineRule="auto"/>
      </w:pPr>
      <w:r>
        <w:separator/>
      </w:r>
    </w:p>
  </w:footnote>
  <w:footnote w:type="continuationSeparator" w:id="0">
    <w:p w14:paraId="3F9043BE" w14:textId="77777777" w:rsidR="002229F1" w:rsidRDefault="002229F1" w:rsidP="003F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B25EA"/>
    <w:multiLevelType w:val="multilevel"/>
    <w:tmpl w:val="71C8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F1C0D"/>
    <w:multiLevelType w:val="multilevel"/>
    <w:tmpl w:val="A15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ztjAzNDa0NDEyMzBV0lEKTi0uzszPAykwNK8FACyMfmQtAAAA"/>
  </w:docVars>
  <w:rsids>
    <w:rsidRoot w:val="003407AA"/>
    <w:rsid w:val="00000F2D"/>
    <w:rsid w:val="00004932"/>
    <w:rsid w:val="0001081E"/>
    <w:rsid w:val="0001225D"/>
    <w:rsid w:val="00012F62"/>
    <w:rsid w:val="0001413E"/>
    <w:rsid w:val="00014530"/>
    <w:rsid w:val="00016A92"/>
    <w:rsid w:val="00016BD2"/>
    <w:rsid w:val="00017DEC"/>
    <w:rsid w:val="00021211"/>
    <w:rsid w:val="000229D4"/>
    <w:rsid w:val="00024129"/>
    <w:rsid w:val="00024503"/>
    <w:rsid w:val="00025A82"/>
    <w:rsid w:val="00025B81"/>
    <w:rsid w:val="00027CCD"/>
    <w:rsid w:val="000301D9"/>
    <w:rsid w:val="000307B8"/>
    <w:rsid w:val="000310B5"/>
    <w:rsid w:val="00034497"/>
    <w:rsid w:val="00041505"/>
    <w:rsid w:val="00042550"/>
    <w:rsid w:val="00042C09"/>
    <w:rsid w:val="000437A0"/>
    <w:rsid w:val="0005214F"/>
    <w:rsid w:val="00053A24"/>
    <w:rsid w:val="00053EFC"/>
    <w:rsid w:val="0005440E"/>
    <w:rsid w:val="00054A36"/>
    <w:rsid w:val="00054FB7"/>
    <w:rsid w:val="000560C9"/>
    <w:rsid w:val="000577C9"/>
    <w:rsid w:val="0005795B"/>
    <w:rsid w:val="000601D1"/>
    <w:rsid w:val="00064DE9"/>
    <w:rsid w:val="00065551"/>
    <w:rsid w:val="00073281"/>
    <w:rsid w:val="0007593B"/>
    <w:rsid w:val="000768A2"/>
    <w:rsid w:val="00076B3D"/>
    <w:rsid w:val="000773E0"/>
    <w:rsid w:val="000813B8"/>
    <w:rsid w:val="00082F15"/>
    <w:rsid w:val="0008575C"/>
    <w:rsid w:val="00086AD7"/>
    <w:rsid w:val="00090D32"/>
    <w:rsid w:val="00090E8F"/>
    <w:rsid w:val="0009382F"/>
    <w:rsid w:val="00095B85"/>
    <w:rsid w:val="000A041D"/>
    <w:rsid w:val="000A64F3"/>
    <w:rsid w:val="000B2993"/>
    <w:rsid w:val="000B47F1"/>
    <w:rsid w:val="000B5C4B"/>
    <w:rsid w:val="000B5D6C"/>
    <w:rsid w:val="000C132A"/>
    <w:rsid w:val="000C1A9C"/>
    <w:rsid w:val="000C1DA4"/>
    <w:rsid w:val="000C23ED"/>
    <w:rsid w:val="000C2FD2"/>
    <w:rsid w:val="000C4B68"/>
    <w:rsid w:val="000C4BF1"/>
    <w:rsid w:val="000C5D85"/>
    <w:rsid w:val="000D28AD"/>
    <w:rsid w:val="000D3FF8"/>
    <w:rsid w:val="000D4547"/>
    <w:rsid w:val="000D6218"/>
    <w:rsid w:val="000D74A2"/>
    <w:rsid w:val="000E1081"/>
    <w:rsid w:val="000E1AD8"/>
    <w:rsid w:val="000E2822"/>
    <w:rsid w:val="000E4009"/>
    <w:rsid w:val="000F280C"/>
    <w:rsid w:val="000F43A1"/>
    <w:rsid w:val="000F5668"/>
    <w:rsid w:val="000F66E6"/>
    <w:rsid w:val="000F6C2B"/>
    <w:rsid w:val="000F7DE6"/>
    <w:rsid w:val="00102A64"/>
    <w:rsid w:val="0010496E"/>
    <w:rsid w:val="00106A60"/>
    <w:rsid w:val="00111A35"/>
    <w:rsid w:val="00114658"/>
    <w:rsid w:val="00114977"/>
    <w:rsid w:val="00114B4B"/>
    <w:rsid w:val="00114F6C"/>
    <w:rsid w:val="00117AB2"/>
    <w:rsid w:val="00120CE1"/>
    <w:rsid w:val="00120DC7"/>
    <w:rsid w:val="001215DA"/>
    <w:rsid w:val="001227DE"/>
    <w:rsid w:val="00122A91"/>
    <w:rsid w:val="001232D6"/>
    <w:rsid w:val="00127257"/>
    <w:rsid w:val="001413CD"/>
    <w:rsid w:val="00141739"/>
    <w:rsid w:val="00142B75"/>
    <w:rsid w:val="00142BDF"/>
    <w:rsid w:val="0014437F"/>
    <w:rsid w:val="00144E1D"/>
    <w:rsid w:val="001476F7"/>
    <w:rsid w:val="00150843"/>
    <w:rsid w:val="00150987"/>
    <w:rsid w:val="0015584E"/>
    <w:rsid w:val="00156606"/>
    <w:rsid w:val="00156677"/>
    <w:rsid w:val="00156BC4"/>
    <w:rsid w:val="00156CD0"/>
    <w:rsid w:val="001618B1"/>
    <w:rsid w:val="001640AC"/>
    <w:rsid w:val="00165BEA"/>
    <w:rsid w:val="00165FA8"/>
    <w:rsid w:val="00170963"/>
    <w:rsid w:val="001748D4"/>
    <w:rsid w:val="001757CC"/>
    <w:rsid w:val="00176C76"/>
    <w:rsid w:val="001820FB"/>
    <w:rsid w:val="00182A59"/>
    <w:rsid w:val="001836BA"/>
    <w:rsid w:val="0018581F"/>
    <w:rsid w:val="001904D8"/>
    <w:rsid w:val="00196391"/>
    <w:rsid w:val="00197CD0"/>
    <w:rsid w:val="001A00E6"/>
    <w:rsid w:val="001A03DA"/>
    <w:rsid w:val="001A07B9"/>
    <w:rsid w:val="001A3178"/>
    <w:rsid w:val="001A3AA6"/>
    <w:rsid w:val="001A4B9E"/>
    <w:rsid w:val="001A54AD"/>
    <w:rsid w:val="001B33D4"/>
    <w:rsid w:val="001B4134"/>
    <w:rsid w:val="001B4159"/>
    <w:rsid w:val="001B5F04"/>
    <w:rsid w:val="001B65E2"/>
    <w:rsid w:val="001B794F"/>
    <w:rsid w:val="001C375B"/>
    <w:rsid w:val="001D248D"/>
    <w:rsid w:val="001D3B8D"/>
    <w:rsid w:val="001E24F3"/>
    <w:rsid w:val="001E2CC0"/>
    <w:rsid w:val="001F11E9"/>
    <w:rsid w:val="001F1A33"/>
    <w:rsid w:val="001F5D54"/>
    <w:rsid w:val="001F655E"/>
    <w:rsid w:val="001F6BF7"/>
    <w:rsid w:val="001F7B8C"/>
    <w:rsid w:val="002002CD"/>
    <w:rsid w:val="00200D22"/>
    <w:rsid w:val="00200E94"/>
    <w:rsid w:val="00202622"/>
    <w:rsid w:val="00203B12"/>
    <w:rsid w:val="002115EF"/>
    <w:rsid w:val="00212DDD"/>
    <w:rsid w:val="00215695"/>
    <w:rsid w:val="00220CCF"/>
    <w:rsid w:val="002213AE"/>
    <w:rsid w:val="002219DA"/>
    <w:rsid w:val="002229F1"/>
    <w:rsid w:val="00223988"/>
    <w:rsid w:val="002311EB"/>
    <w:rsid w:val="0023264A"/>
    <w:rsid w:val="002341DF"/>
    <w:rsid w:val="002345F7"/>
    <w:rsid w:val="00235F31"/>
    <w:rsid w:val="002371BC"/>
    <w:rsid w:val="00241499"/>
    <w:rsid w:val="00242C02"/>
    <w:rsid w:val="002446F6"/>
    <w:rsid w:val="00247346"/>
    <w:rsid w:val="0025012A"/>
    <w:rsid w:val="00252F85"/>
    <w:rsid w:val="002550AA"/>
    <w:rsid w:val="0026065C"/>
    <w:rsid w:val="002610BC"/>
    <w:rsid w:val="00261CD5"/>
    <w:rsid w:val="00264623"/>
    <w:rsid w:val="0026664C"/>
    <w:rsid w:val="00267D2D"/>
    <w:rsid w:val="00267E2E"/>
    <w:rsid w:val="002704DB"/>
    <w:rsid w:val="00270A2F"/>
    <w:rsid w:val="002729E2"/>
    <w:rsid w:val="00274496"/>
    <w:rsid w:val="00275E24"/>
    <w:rsid w:val="00276950"/>
    <w:rsid w:val="00282602"/>
    <w:rsid w:val="0028595C"/>
    <w:rsid w:val="00290042"/>
    <w:rsid w:val="00293233"/>
    <w:rsid w:val="00293646"/>
    <w:rsid w:val="00294A63"/>
    <w:rsid w:val="002959ED"/>
    <w:rsid w:val="00297287"/>
    <w:rsid w:val="002A523C"/>
    <w:rsid w:val="002A6111"/>
    <w:rsid w:val="002B0B89"/>
    <w:rsid w:val="002B0DAA"/>
    <w:rsid w:val="002B1504"/>
    <w:rsid w:val="002B16A2"/>
    <w:rsid w:val="002B16E4"/>
    <w:rsid w:val="002B3483"/>
    <w:rsid w:val="002B3A53"/>
    <w:rsid w:val="002B773C"/>
    <w:rsid w:val="002C02D6"/>
    <w:rsid w:val="002C0679"/>
    <w:rsid w:val="002C1006"/>
    <w:rsid w:val="002C2887"/>
    <w:rsid w:val="002C30D0"/>
    <w:rsid w:val="002C572F"/>
    <w:rsid w:val="002D0076"/>
    <w:rsid w:val="002D0CAA"/>
    <w:rsid w:val="002D35D1"/>
    <w:rsid w:val="002D4447"/>
    <w:rsid w:val="002E0C31"/>
    <w:rsid w:val="002E7BDA"/>
    <w:rsid w:val="002E7DB6"/>
    <w:rsid w:val="002F08F3"/>
    <w:rsid w:val="002F1217"/>
    <w:rsid w:val="002F5906"/>
    <w:rsid w:val="002F5EAC"/>
    <w:rsid w:val="003007BC"/>
    <w:rsid w:val="003021B6"/>
    <w:rsid w:val="003048E3"/>
    <w:rsid w:val="00304C30"/>
    <w:rsid w:val="00304E3C"/>
    <w:rsid w:val="00306350"/>
    <w:rsid w:val="003069D8"/>
    <w:rsid w:val="00306C7F"/>
    <w:rsid w:val="00307CE8"/>
    <w:rsid w:val="00307D25"/>
    <w:rsid w:val="00311643"/>
    <w:rsid w:val="00311B06"/>
    <w:rsid w:val="003146A0"/>
    <w:rsid w:val="00321C96"/>
    <w:rsid w:val="003225FA"/>
    <w:rsid w:val="00323437"/>
    <w:rsid w:val="00323C3C"/>
    <w:rsid w:val="00324471"/>
    <w:rsid w:val="00326847"/>
    <w:rsid w:val="00334216"/>
    <w:rsid w:val="00336994"/>
    <w:rsid w:val="003407AA"/>
    <w:rsid w:val="003414B6"/>
    <w:rsid w:val="00341828"/>
    <w:rsid w:val="00341AFE"/>
    <w:rsid w:val="00343298"/>
    <w:rsid w:val="0034727F"/>
    <w:rsid w:val="003545AF"/>
    <w:rsid w:val="00354B40"/>
    <w:rsid w:val="00354C94"/>
    <w:rsid w:val="00354F91"/>
    <w:rsid w:val="003610E3"/>
    <w:rsid w:val="003612CC"/>
    <w:rsid w:val="00363217"/>
    <w:rsid w:val="00363C0E"/>
    <w:rsid w:val="00363DC2"/>
    <w:rsid w:val="00364B73"/>
    <w:rsid w:val="0036712C"/>
    <w:rsid w:val="003715E0"/>
    <w:rsid w:val="00371AC5"/>
    <w:rsid w:val="003775B6"/>
    <w:rsid w:val="00381962"/>
    <w:rsid w:val="0038542F"/>
    <w:rsid w:val="00385C5D"/>
    <w:rsid w:val="00390DE8"/>
    <w:rsid w:val="00394E9C"/>
    <w:rsid w:val="00394F1D"/>
    <w:rsid w:val="00395429"/>
    <w:rsid w:val="00395879"/>
    <w:rsid w:val="003977D1"/>
    <w:rsid w:val="003A089A"/>
    <w:rsid w:val="003A106A"/>
    <w:rsid w:val="003A4401"/>
    <w:rsid w:val="003A508F"/>
    <w:rsid w:val="003A7CCE"/>
    <w:rsid w:val="003B36C0"/>
    <w:rsid w:val="003B405D"/>
    <w:rsid w:val="003B50C3"/>
    <w:rsid w:val="003B57F3"/>
    <w:rsid w:val="003B5AFC"/>
    <w:rsid w:val="003B6418"/>
    <w:rsid w:val="003C0261"/>
    <w:rsid w:val="003C09BD"/>
    <w:rsid w:val="003C0A0D"/>
    <w:rsid w:val="003C12C3"/>
    <w:rsid w:val="003C36C1"/>
    <w:rsid w:val="003C5968"/>
    <w:rsid w:val="003C5D3F"/>
    <w:rsid w:val="003C7721"/>
    <w:rsid w:val="003D064D"/>
    <w:rsid w:val="003D71B1"/>
    <w:rsid w:val="003E19A7"/>
    <w:rsid w:val="003E35B9"/>
    <w:rsid w:val="003E5CDA"/>
    <w:rsid w:val="003E7500"/>
    <w:rsid w:val="003E7C9B"/>
    <w:rsid w:val="003F3539"/>
    <w:rsid w:val="003F7087"/>
    <w:rsid w:val="003F729E"/>
    <w:rsid w:val="004040C0"/>
    <w:rsid w:val="0040696F"/>
    <w:rsid w:val="00411DE4"/>
    <w:rsid w:val="00420088"/>
    <w:rsid w:val="00420CB6"/>
    <w:rsid w:val="004228C8"/>
    <w:rsid w:val="0042540D"/>
    <w:rsid w:val="00425BBA"/>
    <w:rsid w:val="00425CD5"/>
    <w:rsid w:val="00427076"/>
    <w:rsid w:val="00431D98"/>
    <w:rsid w:val="00431DFF"/>
    <w:rsid w:val="0043248B"/>
    <w:rsid w:val="00433FBC"/>
    <w:rsid w:val="00434555"/>
    <w:rsid w:val="00437CF4"/>
    <w:rsid w:val="00440A3F"/>
    <w:rsid w:val="00442571"/>
    <w:rsid w:val="004425A9"/>
    <w:rsid w:val="00442F6F"/>
    <w:rsid w:val="00443AE0"/>
    <w:rsid w:val="00454AF2"/>
    <w:rsid w:val="00455145"/>
    <w:rsid w:val="0045600D"/>
    <w:rsid w:val="004619C7"/>
    <w:rsid w:val="004656EF"/>
    <w:rsid w:val="0047055E"/>
    <w:rsid w:val="00470720"/>
    <w:rsid w:val="00470AF0"/>
    <w:rsid w:val="00471022"/>
    <w:rsid w:val="004737EF"/>
    <w:rsid w:val="00473A04"/>
    <w:rsid w:val="0047570D"/>
    <w:rsid w:val="004807FB"/>
    <w:rsid w:val="00481F09"/>
    <w:rsid w:val="00483143"/>
    <w:rsid w:val="00485C68"/>
    <w:rsid w:val="004860AB"/>
    <w:rsid w:val="004901C5"/>
    <w:rsid w:val="004907A5"/>
    <w:rsid w:val="00490E0B"/>
    <w:rsid w:val="00492FCF"/>
    <w:rsid w:val="0049348D"/>
    <w:rsid w:val="004934BD"/>
    <w:rsid w:val="004943B1"/>
    <w:rsid w:val="00494DCF"/>
    <w:rsid w:val="004959BB"/>
    <w:rsid w:val="004A0AB4"/>
    <w:rsid w:val="004A2E8E"/>
    <w:rsid w:val="004A332C"/>
    <w:rsid w:val="004A56ED"/>
    <w:rsid w:val="004B25E3"/>
    <w:rsid w:val="004B59F4"/>
    <w:rsid w:val="004B6192"/>
    <w:rsid w:val="004C159C"/>
    <w:rsid w:val="004C47E3"/>
    <w:rsid w:val="004C5810"/>
    <w:rsid w:val="004C7265"/>
    <w:rsid w:val="004D0081"/>
    <w:rsid w:val="004D1356"/>
    <w:rsid w:val="004D4210"/>
    <w:rsid w:val="004D4F35"/>
    <w:rsid w:val="004D765F"/>
    <w:rsid w:val="004E276F"/>
    <w:rsid w:val="004E333D"/>
    <w:rsid w:val="004E52B6"/>
    <w:rsid w:val="004E7462"/>
    <w:rsid w:val="004F0962"/>
    <w:rsid w:val="004F10E5"/>
    <w:rsid w:val="004F229A"/>
    <w:rsid w:val="004F3446"/>
    <w:rsid w:val="004F4E65"/>
    <w:rsid w:val="004F69BA"/>
    <w:rsid w:val="0050004C"/>
    <w:rsid w:val="0050098A"/>
    <w:rsid w:val="00501AF8"/>
    <w:rsid w:val="00502B80"/>
    <w:rsid w:val="0050310A"/>
    <w:rsid w:val="0050497A"/>
    <w:rsid w:val="00505F97"/>
    <w:rsid w:val="005061C1"/>
    <w:rsid w:val="005065FF"/>
    <w:rsid w:val="00510E3B"/>
    <w:rsid w:val="00514070"/>
    <w:rsid w:val="00516344"/>
    <w:rsid w:val="00520DA3"/>
    <w:rsid w:val="00522939"/>
    <w:rsid w:val="00522B4A"/>
    <w:rsid w:val="00526E43"/>
    <w:rsid w:val="00527B01"/>
    <w:rsid w:val="0053019E"/>
    <w:rsid w:val="00531919"/>
    <w:rsid w:val="00532FFC"/>
    <w:rsid w:val="00534C2F"/>
    <w:rsid w:val="0053770C"/>
    <w:rsid w:val="00540064"/>
    <w:rsid w:val="00540DC9"/>
    <w:rsid w:val="00542934"/>
    <w:rsid w:val="0054327A"/>
    <w:rsid w:val="00543575"/>
    <w:rsid w:val="00543C12"/>
    <w:rsid w:val="0054487C"/>
    <w:rsid w:val="00545881"/>
    <w:rsid w:val="0054603C"/>
    <w:rsid w:val="00546063"/>
    <w:rsid w:val="00546864"/>
    <w:rsid w:val="00553FEE"/>
    <w:rsid w:val="00556CF3"/>
    <w:rsid w:val="00556FB7"/>
    <w:rsid w:val="005577C8"/>
    <w:rsid w:val="005577D6"/>
    <w:rsid w:val="005601CE"/>
    <w:rsid w:val="00561174"/>
    <w:rsid w:val="00566BA3"/>
    <w:rsid w:val="00571201"/>
    <w:rsid w:val="005745AE"/>
    <w:rsid w:val="005747BA"/>
    <w:rsid w:val="005759F8"/>
    <w:rsid w:val="005760A1"/>
    <w:rsid w:val="0058016C"/>
    <w:rsid w:val="00584428"/>
    <w:rsid w:val="0058448D"/>
    <w:rsid w:val="005852CA"/>
    <w:rsid w:val="00585D02"/>
    <w:rsid w:val="00590D0C"/>
    <w:rsid w:val="00591479"/>
    <w:rsid w:val="0059331E"/>
    <w:rsid w:val="00593C25"/>
    <w:rsid w:val="005949B2"/>
    <w:rsid w:val="00597FDF"/>
    <w:rsid w:val="005A51B4"/>
    <w:rsid w:val="005A5CAF"/>
    <w:rsid w:val="005A664B"/>
    <w:rsid w:val="005B0B1C"/>
    <w:rsid w:val="005B101D"/>
    <w:rsid w:val="005B2F6E"/>
    <w:rsid w:val="005B30A0"/>
    <w:rsid w:val="005B47FB"/>
    <w:rsid w:val="005B7126"/>
    <w:rsid w:val="005C5795"/>
    <w:rsid w:val="005D0791"/>
    <w:rsid w:val="005D108F"/>
    <w:rsid w:val="005D1C82"/>
    <w:rsid w:val="005E078C"/>
    <w:rsid w:val="005E50C2"/>
    <w:rsid w:val="005F0414"/>
    <w:rsid w:val="005F0E8C"/>
    <w:rsid w:val="005F0FB8"/>
    <w:rsid w:val="005F10F0"/>
    <w:rsid w:val="005F155B"/>
    <w:rsid w:val="005F2432"/>
    <w:rsid w:val="005F3CA1"/>
    <w:rsid w:val="005F5E1C"/>
    <w:rsid w:val="005F7F96"/>
    <w:rsid w:val="00602354"/>
    <w:rsid w:val="00602EE0"/>
    <w:rsid w:val="0060414B"/>
    <w:rsid w:val="006056C8"/>
    <w:rsid w:val="006062DD"/>
    <w:rsid w:val="00611BB9"/>
    <w:rsid w:val="0061554E"/>
    <w:rsid w:val="006160BF"/>
    <w:rsid w:val="00616E01"/>
    <w:rsid w:val="00621D4F"/>
    <w:rsid w:val="00622076"/>
    <w:rsid w:val="00625DA4"/>
    <w:rsid w:val="00631E36"/>
    <w:rsid w:val="00632913"/>
    <w:rsid w:val="00634D11"/>
    <w:rsid w:val="00635375"/>
    <w:rsid w:val="00640537"/>
    <w:rsid w:val="006414D4"/>
    <w:rsid w:val="00641900"/>
    <w:rsid w:val="006423AD"/>
    <w:rsid w:val="00643F8A"/>
    <w:rsid w:val="00646F1A"/>
    <w:rsid w:val="006533E8"/>
    <w:rsid w:val="00655FCD"/>
    <w:rsid w:val="006564AA"/>
    <w:rsid w:val="00666E8A"/>
    <w:rsid w:val="0066782C"/>
    <w:rsid w:val="00670FCA"/>
    <w:rsid w:val="00671490"/>
    <w:rsid w:val="00672345"/>
    <w:rsid w:val="00673952"/>
    <w:rsid w:val="006761CF"/>
    <w:rsid w:val="00676971"/>
    <w:rsid w:val="00684FA7"/>
    <w:rsid w:val="006864E5"/>
    <w:rsid w:val="00686A4E"/>
    <w:rsid w:val="006872F8"/>
    <w:rsid w:val="0069013B"/>
    <w:rsid w:val="00694736"/>
    <w:rsid w:val="00696405"/>
    <w:rsid w:val="00697831"/>
    <w:rsid w:val="006A0013"/>
    <w:rsid w:val="006A43FB"/>
    <w:rsid w:val="006A558A"/>
    <w:rsid w:val="006A6157"/>
    <w:rsid w:val="006A6A2A"/>
    <w:rsid w:val="006A6F90"/>
    <w:rsid w:val="006B216C"/>
    <w:rsid w:val="006B298B"/>
    <w:rsid w:val="006B41B9"/>
    <w:rsid w:val="006C1349"/>
    <w:rsid w:val="006C4A3E"/>
    <w:rsid w:val="006C5400"/>
    <w:rsid w:val="006C5B1F"/>
    <w:rsid w:val="006C652F"/>
    <w:rsid w:val="006C77F0"/>
    <w:rsid w:val="006C7E6E"/>
    <w:rsid w:val="006D1306"/>
    <w:rsid w:val="006D3472"/>
    <w:rsid w:val="006D58B6"/>
    <w:rsid w:val="006D635C"/>
    <w:rsid w:val="006E0735"/>
    <w:rsid w:val="006E07F6"/>
    <w:rsid w:val="006E0D52"/>
    <w:rsid w:val="006E4318"/>
    <w:rsid w:val="006F00C0"/>
    <w:rsid w:val="006F0B4A"/>
    <w:rsid w:val="006F0E7B"/>
    <w:rsid w:val="006F274B"/>
    <w:rsid w:val="006F3701"/>
    <w:rsid w:val="006F6183"/>
    <w:rsid w:val="006F78C9"/>
    <w:rsid w:val="007008F0"/>
    <w:rsid w:val="00700D55"/>
    <w:rsid w:val="00701F21"/>
    <w:rsid w:val="00704D68"/>
    <w:rsid w:val="00712D64"/>
    <w:rsid w:val="007175CD"/>
    <w:rsid w:val="00717AE9"/>
    <w:rsid w:val="007210AD"/>
    <w:rsid w:val="007222A9"/>
    <w:rsid w:val="0072379E"/>
    <w:rsid w:val="007245B9"/>
    <w:rsid w:val="00725F26"/>
    <w:rsid w:val="00725F2A"/>
    <w:rsid w:val="00726833"/>
    <w:rsid w:val="00727861"/>
    <w:rsid w:val="007345F2"/>
    <w:rsid w:val="007362A9"/>
    <w:rsid w:val="00736A21"/>
    <w:rsid w:val="007375C2"/>
    <w:rsid w:val="007410C4"/>
    <w:rsid w:val="0074175F"/>
    <w:rsid w:val="00741BC3"/>
    <w:rsid w:val="00744A79"/>
    <w:rsid w:val="007463BA"/>
    <w:rsid w:val="00747CAE"/>
    <w:rsid w:val="00750506"/>
    <w:rsid w:val="007515BC"/>
    <w:rsid w:val="00755339"/>
    <w:rsid w:val="007563E4"/>
    <w:rsid w:val="00756616"/>
    <w:rsid w:val="0075790C"/>
    <w:rsid w:val="007641F8"/>
    <w:rsid w:val="00765D1A"/>
    <w:rsid w:val="00770365"/>
    <w:rsid w:val="0077087E"/>
    <w:rsid w:val="007727D4"/>
    <w:rsid w:val="00780B2B"/>
    <w:rsid w:val="0078234D"/>
    <w:rsid w:val="0078450D"/>
    <w:rsid w:val="00785076"/>
    <w:rsid w:val="0078633F"/>
    <w:rsid w:val="00787568"/>
    <w:rsid w:val="007916BA"/>
    <w:rsid w:val="007939CD"/>
    <w:rsid w:val="00794324"/>
    <w:rsid w:val="007948B9"/>
    <w:rsid w:val="00795601"/>
    <w:rsid w:val="007A1686"/>
    <w:rsid w:val="007A3980"/>
    <w:rsid w:val="007A3F79"/>
    <w:rsid w:val="007A519B"/>
    <w:rsid w:val="007A5BCD"/>
    <w:rsid w:val="007B1298"/>
    <w:rsid w:val="007B2C26"/>
    <w:rsid w:val="007C0736"/>
    <w:rsid w:val="007C2C68"/>
    <w:rsid w:val="007C349A"/>
    <w:rsid w:val="007C5D16"/>
    <w:rsid w:val="007D698F"/>
    <w:rsid w:val="007E4506"/>
    <w:rsid w:val="007E55F2"/>
    <w:rsid w:val="007F0D8E"/>
    <w:rsid w:val="007F0DB6"/>
    <w:rsid w:val="007F1451"/>
    <w:rsid w:val="007F1D6E"/>
    <w:rsid w:val="007F1FD3"/>
    <w:rsid w:val="007F22BA"/>
    <w:rsid w:val="007F3196"/>
    <w:rsid w:val="007F5824"/>
    <w:rsid w:val="007F7DF9"/>
    <w:rsid w:val="00801241"/>
    <w:rsid w:val="008017B7"/>
    <w:rsid w:val="00801F2A"/>
    <w:rsid w:val="00802FC9"/>
    <w:rsid w:val="0080425E"/>
    <w:rsid w:val="008044A5"/>
    <w:rsid w:val="00804E97"/>
    <w:rsid w:val="00806546"/>
    <w:rsid w:val="00810432"/>
    <w:rsid w:val="00811910"/>
    <w:rsid w:val="008139DF"/>
    <w:rsid w:val="00815583"/>
    <w:rsid w:val="0081605D"/>
    <w:rsid w:val="008171F1"/>
    <w:rsid w:val="0082051D"/>
    <w:rsid w:val="00821311"/>
    <w:rsid w:val="00821D67"/>
    <w:rsid w:val="008227D4"/>
    <w:rsid w:val="00822886"/>
    <w:rsid w:val="00824FBC"/>
    <w:rsid w:val="008260B0"/>
    <w:rsid w:val="00830974"/>
    <w:rsid w:val="0083100E"/>
    <w:rsid w:val="0083208B"/>
    <w:rsid w:val="008369E7"/>
    <w:rsid w:val="00836A75"/>
    <w:rsid w:val="00836E61"/>
    <w:rsid w:val="008409A6"/>
    <w:rsid w:val="00840CF2"/>
    <w:rsid w:val="0084176E"/>
    <w:rsid w:val="0084480E"/>
    <w:rsid w:val="00845374"/>
    <w:rsid w:val="00845BF2"/>
    <w:rsid w:val="00846781"/>
    <w:rsid w:val="00846C60"/>
    <w:rsid w:val="00853E2F"/>
    <w:rsid w:val="008551F7"/>
    <w:rsid w:val="0085630E"/>
    <w:rsid w:val="00857B19"/>
    <w:rsid w:val="00861F3C"/>
    <w:rsid w:val="00863810"/>
    <w:rsid w:val="00865B86"/>
    <w:rsid w:val="008665AD"/>
    <w:rsid w:val="008753D5"/>
    <w:rsid w:val="00876BDB"/>
    <w:rsid w:val="0088288D"/>
    <w:rsid w:val="00884522"/>
    <w:rsid w:val="008856A7"/>
    <w:rsid w:val="00885B46"/>
    <w:rsid w:val="00885D9A"/>
    <w:rsid w:val="00886E09"/>
    <w:rsid w:val="00890F55"/>
    <w:rsid w:val="008916DC"/>
    <w:rsid w:val="00892425"/>
    <w:rsid w:val="00892EEF"/>
    <w:rsid w:val="0089777F"/>
    <w:rsid w:val="008A05F0"/>
    <w:rsid w:val="008A3CD1"/>
    <w:rsid w:val="008A4243"/>
    <w:rsid w:val="008A54EA"/>
    <w:rsid w:val="008A6B2C"/>
    <w:rsid w:val="008A71A9"/>
    <w:rsid w:val="008B55DA"/>
    <w:rsid w:val="008B580B"/>
    <w:rsid w:val="008B655C"/>
    <w:rsid w:val="008B6EF1"/>
    <w:rsid w:val="008B7DBB"/>
    <w:rsid w:val="008B7EE9"/>
    <w:rsid w:val="008C2422"/>
    <w:rsid w:val="008C73D6"/>
    <w:rsid w:val="008C75B3"/>
    <w:rsid w:val="008D04B0"/>
    <w:rsid w:val="008D1F46"/>
    <w:rsid w:val="008D23E6"/>
    <w:rsid w:val="008D38DF"/>
    <w:rsid w:val="008D4F30"/>
    <w:rsid w:val="008D51A2"/>
    <w:rsid w:val="008D56EE"/>
    <w:rsid w:val="008D5740"/>
    <w:rsid w:val="008E051E"/>
    <w:rsid w:val="008E14BC"/>
    <w:rsid w:val="008E1877"/>
    <w:rsid w:val="008E3A68"/>
    <w:rsid w:val="008E4AB9"/>
    <w:rsid w:val="008E7E51"/>
    <w:rsid w:val="008F0DDD"/>
    <w:rsid w:val="008F1B10"/>
    <w:rsid w:val="00901FAE"/>
    <w:rsid w:val="00902C4E"/>
    <w:rsid w:val="00906BB1"/>
    <w:rsid w:val="00906F1C"/>
    <w:rsid w:val="00907ABA"/>
    <w:rsid w:val="00910EC8"/>
    <w:rsid w:val="00911AE8"/>
    <w:rsid w:val="009151CD"/>
    <w:rsid w:val="00915309"/>
    <w:rsid w:val="009153B1"/>
    <w:rsid w:val="009170AE"/>
    <w:rsid w:val="009207F8"/>
    <w:rsid w:val="00920D30"/>
    <w:rsid w:val="00923455"/>
    <w:rsid w:val="00923EFF"/>
    <w:rsid w:val="00924D85"/>
    <w:rsid w:val="0092615E"/>
    <w:rsid w:val="009265F8"/>
    <w:rsid w:val="009271CC"/>
    <w:rsid w:val="00930B98"/>
    <w:rsid w:val="00932972"/>
    <w:rsid w:val="009336FA"/>
    <w:rsid w:val="00940EB1"/>
    <w:rsid w:val="009427C4"/>
    <w:rsid w:val="009438D0"/>
    <w:rsid w:val="00953B43"/>
    <w:rsid w:val="00953CDC"/>
    <w:rsid w:val="00954249"/>
    <w:rsid w:val="009569F5"/>
    <w:rsid w:val="009608B5"/>
    <w:rsid w:val="009614AE"/>
    <w:rsid w:val="00963D3A"/>
    <w:rsid w:val="009660D2"/>
    <w:rsid w:val="00970FE7"/>
    <w:rsid w:val="00972A15"/>
    <w:rsid w:val="009755CE"/>
    <w:rsid w:val="00975EDE"/>
    <w:rsid w:val="009766CC"/>
    <w:rsid w:val="00980D4E"/>
    <w:rsid w:val="009834B6"/>
    <w:rsid w:val="00987E93"/>
    <w:rsid w:val="009927D3"/>
    <w:rsid w:val="00993446"/>
    <w:rsid w:val="0099384E"/>
    <w:rsid w:val="0099461B"/>
    <w:rsid w:val="00996D8E"/>
    <w:rsid w:val="009A1417"/>
    <w:rsid w:val="009A14B0"/>
    <w:rsid w:val="009A4CFE"/>
    <w:rsid w:val="009A5890"/>
    <w:rsid w:val="009B0BF3"/>
    <w:rsid w:val="009B33D6"/>
    <w:rsid w:val="009B440A"/>
    <w:rsid w:val="009B569D"/>
    <w:rsid w:val="009C0DF1"/>
    <w:rsid w:val="009C2799"/>
    <w:rsid w:val="009D0100"/>
    <w:rsid w:val="009D5365"/>
    <w:rsid w:val="009D7394"/>
    <w:rsid w:val="009E02AC"/>
    <w:rsid w:val="009E2E5B"/>
    <w:rsid w:val="009E41EC"/>
    <w:rsid w:val="009E457E"/>
    <w:rsid w:val="009E5303"/>
    <w:rsid w:val="009E5EF2"/>
    <w:rsid w:val="009E7239"/>
    <w:rsid w:val="009E774B"/>
    <w:rsid w:val="009F214D"/>
    <w:rsid w:val="009F5FC0"/>
    <w:rsid w:val="00A02259"/>
    <w:rsid w:val="00A02987"/>
    <w:rsid w:val="00A052B4"/>
    <w:rsid w:val="00A10650"/>
    <w:rsid w:val="00A1456E"/>
    <w:rsid w:val="00A15997"/>
    <w:rsid w:val="00A22B23"/>
    <w:rsid w:val="00A272C1"/>
    <w:rsid w:val="00A33D67"/>
    <w:rsid w:val="00A34056"/>
    <w:rsid w:val="00A373FE"/>
    <w:rsid w:val="00A40054"/>
    <w:rsid w:val="00A40546"/>
    <w:rsid w:val="00A40798"/>
    <w:rsid w:val="00A40E0F"/>
    <w:rsid w:val="00A42E8D"/>
    <w:rsid w:val="00A43460"/>
    <w:rsid w:val="00A43B9E"/>
    <w:rsid w:val="00A57075"/>
    <w:rsid w:val="00A62A96"/>
    <w:rsid w:val="00A642CC"/>
    <w:rsid w:val="00A6512E"/>
    <w:rsid w:val="00A71161"/>
    <w:rsid w:val="00A711A3"/>
    <w:rsid w:val="00A72389"/>
    <w:rsid w:val="00A737A4"/>
    <w:rsid w:val="00A74257"/>
    <w:rsid w:val="00A805A2"/>
    <w:rsid w:val="00A8237D"/>
    <w:rsid w:val="00A8263D"/>
    <w:rsid w:val="00A83432"/>
    <w:rsid w:val="00A865A5"/>
    <w:rsid w:val="00A90F70"/>
    <w:rsid w:val="00A911E9"/>
    <w:rsid w:val="00A937F4"/>
    <w:rsid w:val="00A9492B"/>
    <w:rsid w:val="00A95280"/>
    <w:rsid w:val="00A9625C"/>
    <w:rsid w:val="00A964D3"/>
    <w:rsid w:val="00AA3DDB"/>
    <w:rsid w:val="00AA60B4"/>
    <w:rsid w:val="00AB1711"/>
    <w:rsid w:val="00AB214E"/>
    <w:rsid w:val="00AB4449"/>
    <w:rsid w:val="00AB5E2E"/>
    <w:rsid w:val="00AB76CB"/>
    <w:rsid w:val="00AC497E"/>
    <w:rsid w:val="00AC53C9"/>
    <w:rsid w:val="00AC57B8"/>
    <w:rsid w:val="00AC5983"/>
    <w:rsid w:val="00AC59B1"/>
    <w:rsid w:val="00AD1E4F"/>
    <w:rsid w:val="00AD2FFA"/>
    <w:rsid w:val="00AD31B4"/>
    <w:rsid w:val="00AD392C"/>
    <w:rsid w:val="00AD39AC"/>
    <w:rsid w:val="00AD4B8E"/>
    <w:rsid w:val="00AD6E90"/>
    <w:rsid w:val="00AE0797"/>
    <w:rsid w:val="00AE222C"/>
    <w:rsid w:val="00AE7674"/>
    <w:rsid w:val="00AE7CE0"/>
    <w:rsid w:val="00AF19F6"/>
    <w:rsid w:val="00AF3145"/>
    <w:rsid w:val="00AF531E"/>
    <w:rsid w:val="00AF551A"/>
    <w:rsid w:val="00AF60FB"/>
    <w:rsid w:val="00B02DEA"/>
    <w:rsid w:val="00B0323B"/>
    <w:rsid w:val="00B04099"/>
    <w:rsid w:val="00B04846"/>
    <w:rsid w:val="00B110BC"/>
    <w:rsid w:val="00B1157B"/>
    <w:rsid w:val="00B11C53"/>
    <w:rsid w:val="00B14BC3"/>
    <w:rsid w:val="00B16E16"/>
    <w:rsid w:val="00B17090"/>
    <w:rsid w:val="00B201D2"/>
    <w:rsid w:val="00B22E9A"/>
    <w:rsid w:val="00B23A53"/>
    <w:rsid w:val="00B24A7F"/>
    <w:rsid w:val="00B262B6"/>
    <w:rsid w:val="00B3101D"/>
    <w:rsid w:val="00B31B79"/>
    <w:rsid w:val="00B31D59"/>
    <w:rsid w:val="00B35ADD"/>
    <w:rsid w:val="00B35EEB"/>
    <w:rsid w:val="00B4006C"/>
    <w:rsid w:val="00B40085"/>
    <w:rsid w:val="00B4094F"/>
    <w:rsid w:val="00B428E7"/>
    <w:rsid w:val="00B429C3"/>
    <w:rsid w:val="00B452C1"/>
    <w:rsid w:val="00B46540"/>
    <w:rsid w:val="00B46B50"/>
    <w:rsid w:val="00B4733B"/>
    <w:rsid w:val="00B47D7C"/>
    <w:rsid w:val="00B514A7"/>
    <w:rsid w:val="00B54202"/>
    <w:rsid w:val="00B56362"/>
    <w:rsid w:val="00B60855"/>
    <w:rsid w:val="00B611CB"/>
    <w:rsid w:val="00B624DD"/>
    <w:rsid w:val="00B626B7"/>
    <w:rsid w:val="00B63813"/>
    <w:rsid w:val="00B649A2"/>
    <w:rsid w:val="00B668FA"/>
    <w:rsid w:val="00B6712E"/>
    <w:rsid w:val="00B70F94"/>
    <w:rsid w:val="00B7421E"/>
    <w:rsid w:val="00B757B3"/>
    <w:rsid w:val="00B7781E"/>
    <w:rsid w:val="00B825A2"/>
    <w:rsid w:val="00B82776"/>
    <w:rsid w:val="00B86771"/>
    <w:rsid w:val="00B87182"/>
    <w:rsid w:val="00B90F3E"/>
    <w:rsid w:val="00B91AA8"/>
    <w:rsid w:val="00B92423"/>
    <w:rsid w:val="00B92494"/>
    <w:rsid w:val="00B95F05"/>
    <w:rsid w:val="00B96663"/>
    <w:rsid w:val="00B97E34"/>
    <w:rsid w:val="00BA3538"/>
    <w:rsid w:val="00BA3CD5"/>
    <w:rsid w:val="00BA47AA"/>
    <w:rsid w:val="00BA73E6"/>
    <w:rsid w:val="00BA73EC"/>
    <w:rsid w:val="00BB2A4F"/>
    <w:rsid w:val="00BB5F72"/>
    <w:rsid w:val="00BB6145"/>
    <w:rsid w:val="00BB637C"/>
    <w:rsid w:val="00BB7FAF"/>
    <w:rsid w:val="00BC2703"/>
    <w:rsid w:val="00BC5821"/>
    <w:rsid w:val="00BC5ABD"/>
    <w:rsid w:val="00BC5C94"/>
    <w:rsid w:val="00BC7AB8"/>
    <w:rsid w:val="00BD027D"/>
    <w:rsid w:val="00BD069D"/>
    <w:rsid w:val="00BD1D6F"/>
    <w:rsid w:val="00BD2D44"/>
    <w:rsid w:val="00BD724B"/>
    <w:rsid w:val="00BE3797"/>
    <w:rsid w:val="00BE3D80"/>
    <w:rsid w:val="00BE4B87"/>
    <w:rsid w:val="00BE7F24"/>
    <w:rsid w:val="00BF2EFE"/>
    <w:rsid w:val="00C053B3"/>
    <w:rsid w:val="00C06207"/>
    <w:rsid w:val="00C0677A"/>
    <w:rsid w:val="00C10767"/>
    <w:rsid w:val="00C1294D"/>
    <w:rsid w:val="00C13234"/>
    <w:rsid w:val="00C15FEC"/>
    <w:rsid w:val="00C16066"/>
    <w:rsid w:val="00C203E5"/>
    <w:rsid w:val="00C205DC"/>
    <w:rsid w:val="00C23634"/>
    <w:rsid w:val="00C23BC7"/>
    <w:rsid w:val="00C2604A"/>
    <w:rsid w:val="00C26053"/>
    <w:rsid w:val="00C2724A"/>
    <w:rsid w:val="00C31E51"/>
    <w:rsid w:val="00C338A6"/>
    <w:rsid w:val="00C34708"/>
    <w:rsid w:val="00C3571A"/>
    <w:rsid w:val="00C42D00"/>
    <w:rsid w:val="00C45E27"/>
    <w:rsid w:val="00C473F8"/>
    <w:rsid w:val="00C47FD0"/>
    <w:rsid w:val="00C51523"/>
    <w:rsid w:val="00C51AA1"/>
    <w:rsid w:val="00C52421"/>
    <w:rsid w:val="00C52C17"/>
    <w:rsid w:val="00C5700F"/>
    <w:rsid w:val="00C60E99"/>
    <w:rsid w:val="00C6133A"/>
    <w:rsid w:val="00C62C85"/>
    <w:rsid w:val="00C644DE"/>
    <w:rsid w:val="00C702E5"/>
    <w:rsid w:val="00C711B1"/>
    <w:rsid w:val="00C71BBB"/>
    <w:rsid w:val="00C73B6A"/>
    <w:rsid w:val="00C7416F"/>
    <w:rsid w:val="00C85626"/>
    <w:rsid w:val="00C85C51"/>
    <w:rsid w:val="00C86AB8"/>
    <w:rsid w:val="00C86BC3"/>
    <w:rsid w:val="00C87ECF"/>
    <w:rsid w:val="00C91B0B"/>
    <w:rsid w:val="00C9211B"/>
    <w:rsid w:val="00C92F41"/>
    <w:rsid w:val="00C9636B"/>
    <w:rsid w:val="00C97896"/>
    <w:rsid w:val="00CA1790"/>
    <w:rsid w:val="00CA2C7E"/>
    <w:rsid w:val="00CA43AE"/>
    <w:rsid w:val="00CB0092"/>
    <w:rsid w:val="00CB1278"/>
    <w:rsid w:val="00CB41BA"/>
    <w:rsid w:val="00CB4DA0"/>
    <w:rsid w:val="00CB54FE"/>
    <w:rsid w:val="00CB5EEE"/>
    <w:rsid w:val="00CB739A"/>
    <w:rsid w:val="00CC0003"/>
    <w:rsid w:val="00CC064F"/>
    <w:rsid w:val="00CC0AEB"/>
    <w:rsid w:val="00CC0BB2"/>
    <w:rsid w:val="00CC1C9C"/>
    <w:rsid w:val="00CD141A"/>
    <w:rsid w:val="00CD1FC1"/>
    <w:rsid w:val="00CD5399"/>
    <w:rsid w:val="00CD5957"/>
    <w:rsid w:val="00CD6B7A"/>
    <w:rsid w:val="00CE2728"/>
    <w:rsid w:val="00CE329C"/>
    <w:rsid w:val="00CE3962"/>
    <w:rsid w:val="00CF141E"/>
    <w:rsid w:val="00CF6329"/>
    <w:rsid w:val="00CF6507"/>
    <w:rsid w:val="00CF69D5"/>
    <w:rsid w:val="00D05644"/>
    <w:rsid w:val="00D060CF"/>
    <w:rsid w:val="00D07215"/>
    <w:rsid w:val="00D07E60"/>
    <w:rsid w:val="00D16B32"/>
    <w:rsid w:val="00D16F70"/>
    <w:rsid w:val="00D209F4"/>
    <w:rsid w:val="00D26A54"/>
    <w:rsid w:val="00D275CC"/>
    <w:rsid w:val="00D322E9"/>
    <w:rsid w:val="00D32562"/>
    <w:rsid w:val="00D32CCC"/>
    <w:rsid w:val="00D33A26"/>
    <w:rsid w:val="00D35D1A"/>
    <w:rsid w:val="00D35F51"/>
    <w:rsid w:val="00D40619"/>
    <w:rsid w:val="00D42532"/>
    <w:rsid w:val="00D4354B"/>
    <w:rsid w:val="00D45271"/>
    <w:rsid w:val="00D46104"/>
    <w:rsid w:val="00D5260C"/>
    <w:rsid w:val="00D52CAE"/>
    <w:rsid w:val="00D56B38"/>
    <w:rsid w:val="00D57532"/>
    <w:rsid w:val="00D60147"/>
    <w:rsid w:val="00D618EA"/>
    <w:rsid w:val="00D63092"/>
    <w:rsid w:val="00D64533"/>
    <w:rsid w:val="00D64F50"/>
    <w:rsid w:val="00D65869"/>
    <w:rsid w:val="00D7100A"/>
    <w:rsid w:val="00D716CF"/>
    <w:rsid w:val="00D7429B"/>
    <w:rsid w:val="00D749F9"/>
    <w:rsid w:val="00D75D10"/>
    <w:rsid w:val="00D75F72"/>
    <w:rsid w:val="00D8070C"/>
    <w:rsid w:val="00D824B7"/>
    <w:rsid w:val="00D82BE1"/>
    <w:rsid w:val="00D8363F"/>
    <w:rsid w:val="00D846C6"/>
    <w:rsid w:val="00D84D47"/>
    <w:rsid w:val="00D84F00"/>
    <w:rsid w:val="00D86750"/>
    <w:rsid w:val="00D90F2D"/>
    <w:rsid w:val="00D93CA5"/>
    <w:rsid w:val="00D946E4"/>
    <w:rsid w:val="00DA0F8C"/>
    <w:rsid w:val="00DA3779"/>
    <w:rsid w:val="00DA4C3F"/>
    <w:rsid w:val="00DB0049"/>
    <w:rsid w:val="00DB2F6F"/>
    <w:rsid w:val="00DB3054"/>
    <w:rsid w:val="00DB3564"/>
    <w:rsid w:val="00DB384A"/>
    <w:rsid w:val="00DB3B3A"/>
    <w:rsid w:val="00DB4F2B"/>
    <w:rsid w:val="00DB6F81"/>
    <w:rsid w:val="00DB7250"/>
    <w:rsid w:val="00DC0D48"/>
    <w:rsid w:val="00DC2686"/>
    <w:rsid w:val="00DC282C"/>
    <w:rsid w:val="00DC312C"/>
    <w:rsid w:val="00DC35BB"/>
    <w:rsid w:val="00DC4D6F"/>
    <w:rsid w:val="00DC612D"/>
    <w:rsid w:val="00DC67F2"/>
    <w:rsid w:val="00DD0D14"/>
    <w:rsid w:val="00DD1BB2"/>
    <w:rsid w:val="00DD2C27"/>
    <w:rsid w:val="00DD38EC"/>
    <w:rsid w:val="00DD60A3"/>
    <w:rsid w:val="00DE1E8D"/>
    <w:rsid w:val="00DE2891"/>
    <w:rsid w:val="00DE4AA6"/>
    <w:rsid w:val="00DE5350"/>
    <w:rsid w:val="00DE5C9C"/>
    <w:rsid w:val="00DE6D23"/>
    <w:rsid w:val="00DF1F57"/>
    <w:rsid w:val="00DF3286"/>
    <w:rsid w:val="00DF3971"/>
    <w:rsid w:val="00DF4817"/>
    <w:rsid w:val="00DF4EC6"/>
    <w:rsid w:val="00DF6508"/>
    <w:rsid w:val="00E013A5"/>
    <w:rsid w:val="00E029A3"/>
    <w:rsid w:val="00E02A82"/>
    <w:rsid w:val="00E032B9"/>
    <w:rsid w:val="00E03FE8"/>
    <w:rsid w:val="00E048CE"/>
    <w:rsid w:val="00E1027D"/>
    <w:rsid w:val="00E10967"/>
    <w:rsid w:val="00E10A34"/>
    <w:rsid w:val="00E139F9"/>
    <w:rsid w:val="00E17C9A"/>
    <w:rsid w:val="00E21FA0"/>
    <w:rsid w:val="00E22CC8"/>
    <w:rsid w:val="00E25070"/>
    <w:rsid w:val="00E265D8"/>
    <w:rsid w:val="00E3052B"/>
    <w:rsid w:val="00E3214C"/>
    <w:rsid w:val="00E33063"/>
    <w:rsid w:val="00E33764"/>
    <w:rsid w:val="00E338A2"/>
    <w:rsid w:val="00E3654C"/>
    <w:rsid w:val="00E374B2"/>
    <w:rsid w:val="00E42851"/>
    <w:rsid w:val="00E46E8A"/>
    <w:rsid w:val="00E478A4"/>
    <w:rsid w:val="00E47943"/>
    <w:rsid w:val="00E51BB6"/>
    <w:rsid w:val="00E531A6"/>
    <w:rsid w:val="00E53DAF"/>
    <w:rsid w:val="00E5625C"/>
    <w:rsid w:val="00E57107"/>
    <w:rsid w:val="00E577F1"/>
    <w:rsid w:val="00E6130A"/>
    <w:rsid w:val="00E61758"/>
    <w:rsid w:val="00E6182C"/>
    <w:rsid w:val="00E65231"/>
    <w:rsid w:val="00E656B0"/>
    <w:rsid w:val="00E65B25"/>
    <w:rsid w:val="00E65B4F"/>
    <w:rsid w:val="00E65D25"/>
    <w:rsid w:val="00E664A6"/>
    <w:rsid w:val="00E7202C"/>
    <w:rsid w:val="00E7269B"/>
    <w:rsid w:val="00E72847"/>
    <w:rsid w:val="00E72B61"/>
    <w:rsid w:val="00E73202"/>
    <w:rsid w:val="00E74E9D"/>
    <w:rsid w:val="00E75135"/>
    <w:rsid w:val="00E76508"/>
    <w:rsid w:val="00E76A8E"/>
    <w:rsid w:val="00E77CD6"/>
    <w:rsid w:val="00E8096C"/>
    <w:rsid w:val="00E80A09"/>
    <w:rsid w:val="00E83806"/>
    <w:rsid w:val="00E83CB2"/>
    <w:rsid w:val="00E84120"/>
    <w:rsid w:val="00E84CB5"/>
    <w:rsid w:val="00E8618E"/>
    <w:rsid w:val="00E86B55"/>
    <w:rsid w:val="00E87616"/>
    <w:rsid w:val="00E90B8F"/>
    <w:rsid w:val="00E91A41"/>
    <w:rsid w:val="00E91E70"/>
    <w:rsid w:val="00E928C7"/>
    <w:rsid w:val="00E96319"/>
    <w:rsid w:val="00E9787E"/>
    <w:rsid w:val="00EA1C10"/>
    <w:rsid w:val="00EA1C22"/>
    <w:rsid w:val="00EA6254"/>
    <w:rsid w:val="00EA7D8B"/>
    <w:rsid w:val="00EA7DDF"/>
    <w:rsid w:val="00EB0704"/>
    <w:rsid w:val="00EB2691"/>
    <w:rsid w:val="00EB2BC9"/>
    <w:rsid w:val="00EB3BD5"/>
    <w:rsid w:val="00EB4E01"/>
    <w:rsid w:val="00EB5E71"/>
    <w:rsid w:val="00EB66C7"/>
    <w:rsid w:val="00EB70BC"/>
    <w:rsid w:val="00EC0748"/>
    <w:rsid w:val="00EC57C9"/>
    <w:rsid w:val="00EC6161"/>
    <w:rsid w:val="00ED0163"/>
    <w:rsid w:val="00ED13E3"/>
    <w:rsid w:val="00ED276D"/>
    <w:rsid w:val="00ED2E9D"/>
    <w:rsid w:val="00ED3349"/>
    <w:rsid w:val="00ED3917"/>
    <w:rsid w:val="00ED510F"/>
    <w:rsid w:val="00EE0161"/>
    <w:rsid w:val="00EE03E5"/>
    <w:rsid w:val="00EE23E5"/>
    <w:rsid w:val="00EE39E1"/>
    <w:rsid w:val="00EE6006"/>
    <w:rsid w:val="00EE6FE4"/>
    <w:rsid w:val="00EE7417"/>
    <w:rsid w:val="00EF11B9"/>
    <w:rsid w:val="00F008BF"/>
    <w:rsid w:val="00F01D3D"/>
    <w:rsid w:val="00F064A4"/>
    <w:rsid w:val="00F07D6A"/>
    <w:rsid w:val="00F10425"/>
    <w:rsid w:val="00F10486"/>
    <w:rsid w:val="00F104DE"/>
    <w:rsid w:val="00F1439A"/>
    <w:rsid w:val="00F145CE"/>
    <w:rsid w:val="00F146FE"/>
    <w:rsid w:val="00F16282"/>
    <w:rsid w:val="00F16CBC"/>
    <w:rsid w:val="00F2040F"/>
    <w:rsid w:val="00F20658"/>
    <w:rsid w:val="00F217E5"/>
    <w:rsid w:val="00F25629"/>
    <w:rsid w:val="00F25856"/>
    <w:rsid w:val="00F25DA5"/>
    <w:rsid w:val="00F30334"/>
    <w:rsid w:val="00F30912"/>
    <w:rsid w:val="00F32DC1"/>
    <w:rsid w:val="00F32EA2"/>
    <w:rsid w:val="00F3533E"/>
    <w:rsid w:val="00F409AC"/>
    <w:rsid w:val="00F40CC3"/>
    <w:rsid w:val="00F424F0"/>
    <w:rsid w:val="00F45ED1"/>
    <w:rsid w:val="00F52755"/>
    <w:rsid w:val="00F53357"/>
    <w:rsid w:val="00F55588"/>
    <w:rsid w:val="00F5753D"/>
    <w:rsid w:val="00F57EC7"/>
    <w:rsid w:val="00F60F08"/>
    <w:rsid w:val="00F62D6D"/>
    <w:rsid w:val="00F6665B"/>
    <w:rsid w:val="00F70F2A"/>
    <w:rsid w:val="00F7242C"/>
    <w:rsid w:val="00F725AE"/>
    <w:rsid w:val="00F731E2"/>
    <w:rsid w:val="00F74329"/>
    <w:rsid w:val="00F76283"/>
    <w:rsid w:val="00F83C5A"/>
    <w:rsid w:val="00F842AA"/>
    <w:rsid w:val="00F905A6"/>
    <w:rsid w:val="00F906B6"/>
    <w:rsid w:val="00F92025"/>
    <w:rsid w:val="00F9285E"/>
    <w:rsid w:val="00F9357F"/>
    <w:rsid w:val="00F936A7"/>
    <w:rsid w:val="00F94C04"/>
    <w:rsid w:val="00FA03EB"/>
    <w:rsid w:val="00FA08C5"/>
    <w:rsid w:val="00FA13D1"/>
    <w:rsid w:val="00FA1F2E"/>
    <w:rsid w:val="00FA2EA8"/>
    <w:rsid w:val="00FA5A8B"/>
    <w:rsid w:val="00FA5FB5"/>
    <w:rsid w:val="00FA66BF"/>
    <w:rsid w:val="00FB173A"/>
    <w:rsid w:val="00FB2D4D"/>
    <w:rsid w:val="00FB418B"/>
    <w:rsid w:val="00FB49E8"/>
    <w:rsid w:val="00FB6B5F"/>
    <w:rsid w:val="00FB7B75"/>
    <w:rsid w:val="00FC0F5D"/>
    <w:rsid w:val="00FC1AF2"/>
    <w:rsid w:val="00FC37E8"/>
    <w:rsid w:val="00FD0B8B"/>
    <w:rsid w:val="00FD152B"/>
    <w:rsid w:val="00FD3D6C"/>
    <w:rsid w:val="00FE0415"/>
    <w:rsid w:val="00FE0D58"/>
    <w:rsid w:val="00FE1B1D"/>
    <w:rsid w:val="00FE6A8E"/>
    <w:rsid w:val="00FE70BA"/>
    <w:rsid w:val="00FE77DE"/>
    <w:rsid w:val="00FE7DE7"/>
    <w:rsid w:val="00FF25A3"/>
    <w:rsid w:val="00FF738C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90149"/>
  <w15:chartTrackingRefBased/>
  <w15:docId w15:val="{E2E3A016-BCCD-4ADE-956E-7FE5D51E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B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06C7F"/>
    <w:rPr>
      <w:i/>
      <w:iCs/>
    </w:rPr>
  </w:style>
  <w:style w:type="character" w:customStyle="1" w:styleId="A3">
    <w:name w:val="A3"/>
    <w:uiPriority w:val="99"/>
    <w:rsid w:val="00E374B2"/>
    <w:rPr>
      <w:rFonts w:cs="Myriad Pro"/>
      <w:color w:val="000000"/>
      <w:sz w:val="18"/>
      <w:szCs w:val="18"/>
    </w:rPr>
  </w:style>
  <w:style w:type="paragraph" w:customStyle="1" w:styleId="Default">
    <w:name w:val="Default"/>
    <w:rsid w:val="007A519B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698F"/>
    <w:rPr>
      <w:color w:val="0563C1" w:themeColor="hyperlink"/>
      <w:u w:val="single"/>
    </w:rPr>
  </w:style>
  <w:style w:type="character" w:customStyle="1" w:styleId="anchor-text">
    <w:name w:val="anchor-text"/>
    <w:basedOn w:val="DefaultParagraphFont"/>
    <w:rsid w:val="007D698F"/>
  </w:style>
  <w:style w:type="character" w:customStyle="1" w:styleId="identifier">
    <w:name w:val="identifier"/>
    <w:basedOn w:val="DefaultParagraphFont"/>
    <w:rsid w:val="007D698F"/>
  </w:style>
  <w:style w:type="character" w:styleId="CommentReference">
    <w:name w:val="annotation reference"/>
    <w:basedOn w:val="DefaultParagraphFont"/>
    <w:uiPriority w:val="99"/>
    <w:semiHidden/>
    <w:unhideWhenUsed/>
    <w:rsid w:val="00ED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349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F729E"/>
  </w:style>
  <w:style w:type="paragraph" w:styleId="Header">
    <w:name w:val="header"/>
    <w:basedOn w:val="Normal"/>
    <w:link w:val="HeaderChar"/>
    <w:uiPriority w:val="99"/>
    <w:unhideWhenUsed/>
    <w:rsid w:val="003F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9E"/>
  </w:style>
  <w:style w:type="paragraph" w:styleId="Footer">
    <w:name w:val="footer"/>
    <w:basedOn w:val="Normal"/>
    <w:link w:val="FooterChar"/>
    <w:uiPriority w:val="99"/>
    <w:unhideWhenUsed/>
    <w:rsid w:val="003F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29E"/>
  </w:style>
  <w:style w:type="table" w:styleId="TableGrid">
    <w:name w:val="Table Grid"/>
    <w:basedOn w:val="TableNormal"/>
    <w:uiPriority w:val="39"/>
    <w:rsid w:val="000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rsid w:val="0078234D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78234D"/>
  </w:style>
  <w:style w:type="table" w:styleId="ListTable6Colorful">
    <w:name w:val="List Table 6 Colorful"/>
    <w:basedOn w:val="TableNormal"/>
    <w:uiPriority w:val="51"/>
    <w:rsid w:val="000655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2ABD-2528-463B-B5F1-E11A202E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Abhijeet Muley</cp:lastModifiedBy>
  <cp:revision>204</cp:revision>
  <dcterms:created xsi:type="dcterms:W3CDTF">2025-04-18T11:31:00Z</dcterms:created>
  <dcterms:modified xsi:type="dcterms:W3CDTF">2026-03-27T05:21:00Z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7bd0b2217ccb1054a03790336b71802bfbceb3f4fb8893df2d96566b56428bbc</vt:lpwstr>
  </property>
</Properties>
</file>