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CDD50" w14:textId="63EADAE8" w:rsidR="00C7450F" w:rsidRPr="00C7450F" w:rsidRDefault="00C7450F" w:rsidP="00C745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7450F">
        <w:rPr>
          <w:rFonts w:ascii="Times New Roman" w:hAnsi="Times New Roman" w:cs="Times New Roman"/>
          <w:b/>
          <w:bCs/>
          <w:sz w:val="20"/>
          <w:szCs w:val="20"/>
        </w:rPr>
        <w:t>Supplementary Table S</w:t>
      </w:r>
      <w:bookmarkStart w:id="0" w:name="_GoBack"/>
      <w:bookmarkEnd w:id="0"/>
      <w:r w:rsidR="00DB5AD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C7450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C7450F">
        <w:rPr>
          <w:rFonts w:ascii="Times New Roman" w:hAnsi="Times New Roman" w:cs="Times New Roman"/>
          <w:sz w:val="20"/>
          <w:szCs w:val="20"/>
        </w:rPr>
        <w:t xml:space="preserve"> Nominal p-values and FDR-adjusted q-values for genomic and immune microenvironment analyses</w:t>
      </w:r>
    </w:p>
    <w:tbl>
      <w:tblPr>
        <w:tblStyle w:val="a5"/>
        <w:tblW w:w="1568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55"/>
        <w:gridCol w:w="2190"/>
        <w:gridCol w:w="3488"/>
        <w:gridCol w:w="1168"/>
        <w:gridCol w:w="2146"/>
        <w:gridCol w:w="1723"/>
      </w:tblGrid>
      <w:tr w:rsidR="00C7450F" w:rsidRPr="00C7450F" w14:paraId="29453487" w14:textId="77777777" w:rsidTr="00A67DC5"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4D234AC3" w14:textId="77777777" w:rsidR="00C7450F" w:rsidRPr="00C7450F" w:rsidRDefault="00C7450F" w:rsidP="00A67DC5">
            <w:pPr>
              <w:widowControl/>
              <w:jc w:val="left"/>
              <w:rPr>
                <w:b/>
                <w:bCs/>
                <w:color w:val="000000"/>
              </w:rPr>
            </w:pPr>
            <w:r w:rsidRPr="00C7450F">
              <w:rPr>
                <w:b/>
                <w:bCs/>
                <w:color w:val="000000"/>
                <w:lang w:bidi="ar"/>
              </w:rPr>
              <w:t>Analysis Domain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DF7E8B0" w14:textId="77777777" w:rsidR="00C7450F" w:rsidRPr="00C7450F" w:rsidRDefault="00C7450F" w:rsidP="00A67DC5">
            <w:pPr>
              <w:widowControl/>
              <w:jc w:val="left"/>
              <w:rPr>
                <w:b/>
                <w:bCs/>
                <w:color w:val="000000"/>
              </w:rPr>
            </w:pPr>
            <w:r w:rsidRPr="00C7450F">
              <w:rPr>
                <w:b/>
                <w:bCs/>
                <w:color w:val="000000"/>
                <w:lang w:bidi="ar"/>
              </w:rPr>
              <w:t>Variables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0AA69D94" w14:textId="77777777" w:rsidR="00C7450F" w:rsidRPr="00C7450F" w:rsidRDefault="00C7450F" w:rsidP="00A67DC5">
            <w:pPr>
              <w:widowControl/>
              <w:jc w:val="left"/>
              <w:rPr>
                <w:b/>
                <w:bCs/>
                <w:color w:val="000000"/>
              </w:rPr>
            </w:pPr>
            <w:r w:rsidRPr="00C7450F">
              <w:rPr>
                <w:b/>
                <w:bCs/>
                <w:color w:val="000000"/>
                <w:lang w:bidi="ar"/>
              </w:rPr>
              <w:t>Model/Test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34F7F0FC" w14:textId="77777777" w:rsidR="00C7450F" w:rsidRPr="00C7450F" w:rsidRDefault="00C7450F" w:rsidP="00A67DC5">
            <w:pPr>
              <w:widowControl/>
              <w:jc w:val="left"/>
              <w:rPr>
                <w:b/>
                <w:bCs/>
                <w:color w:val="000000"/>
              </w:rPr>
            </w:pPr>
            <w:r w:rsidRPr="00C7450F">
              <w:rPr>
                <w:b/>
                <w:bCs/>
                <w:color w:val="000000"/>
                <w:lang w:bidi="ar"/>
              </w:rPr>
              <w:t>Effect Estimate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26E4D28F" w14:textId="77777777" w:rsidR="00C7450F" w:rsidRPr="00C7450F" w:rsidRDefault="00C7450F" w:rsidP="00A67DC5">
            <w:pPr>
              <w:widowControl/>
              <w:jc w:val="left"/>
              <w:rPr>
                <w:b/>
                <w:bCs/>
                <w:color w:val="000000"/>
              </w:rPr>
            </w:pPr>
            <w:r w:rsidRPr="00C7450F">
              <w:rPr>
                <w:b/>
                <w:bCs/>
                <w:color w:val="000000"/>
                <w:lang w:bidi="ar"/>
              </w:rPr>
              <w:t>95% CI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336E77B7" w14:textId="77777777" w:rsidR="00C7450F" w:rsidRPr="00C7450F" w:rsidRDefault="00C7450F" w:rsidP="00A67DC5">
            <w:pPr>
              <w:widowControl/>
              <w:jc w:val="left"/>
              <w:rPr>
                <w:b/>
                <w:bCs/>
                <w:color w:val="000000"/>
              </w:rPr>
            </w:pPr>
            <w:r w:rsidRPr="00C7450F">
              <w:rPr>
                <w:b/>
                <w:bCs/>
                <w:color w:val="000000"/>
                <w:lang w:bidi="ar"/>
              </w:rPr>
              <w:t>Nominal p-value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2FF37110" w14:textId="77777777" w:rsidR="00C7450F" w:rsidRPr="00C7450F" w:rsidRDefault="00C7450F" w:rsidP="00A67DC5">
            <w:pPr>
              <w:widowControl/>
              <w:jc w:val="left"/>
              <w:rPr>
                <w:b/>
                <w:bCs/>
                <w:color w:val="000000"/>
              </w:rPr>
            </w:pPr>
            <w:r w:rsidRPr="00C7450F">
              <w:rPr>
                <w:b/>
                <w:bCs/>
                <w:color w:val="000000"/>
                <w:lang w:bidi="ar"/>
              </w:rPr>
              <w:t>FDR q-value</w:t>
            </w:r>
          </w:p>
        </w:tc>
      </w:tr>
      <w:tr w:rsidR="00C7450F" w:rsidRPr="00C7450F" w14:paraId="1582D68E" w14:textId="77777777" w:rsidTr="00A67DC5">
        <w:tc>
          <w:tcPr>
            <w:tcW w:w="0" w:type="auto"/>
            <w:tcBorders>
              <w:top w:val="single" w:sz="8" w:space="0" w:color="auto"/>
            </w:tcBorders>
          </w:tcPr>
          <w:p w14:paraId="5EFCDDFB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Genomic (PFS)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25DCD634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PIK3CA alteration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24125193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Cox regression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6DD02F38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HR = 1.4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66B067BC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0.9–2.1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188882D2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0.12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480F7EDE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0.24</w:t>
            </w:r>
          </w:p>
        </w:tc>
      </w:tr>
      <w:tr w:rsidR="00C7450F" w:rsidRPr="00C7450F" w14:paraId="451BF8A5" w14:textId="77777777" w:rsidTr="00A67DC5">
        <w:tc>
          <w:tcPr>
            <w:tcW w:w="0" w:type="auto"/>
          </w:tcPr>
          <w:p w14:paraId="576DB923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Genomic (PFS)</w:t>
            </w:r>
          </w:p>
        </w:tc>
        <w:tc>
          <w:tcPr>
            <w:tcW w:w="0" w:type="auto"/>
          </w:tcPr>
          <w:p w14:paraId="27644C5B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PTEN loss</w:t>
            </w:r>
          </w:p>
        </w:tc>
        <w:tc>
          <w:tcPr>
            <w:tcW w:w="0" w:type="auto"/>
          </w:tcPr>
          <w:p w14:paraId="4DD21454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Cox regression</w:t>
            </w:r>
          </w:p>
        </w:tc>
        <w:tc>
          <w:tcPr>
            <w:tcW w:w="0" w:type="auto"/>
          </w:tcPr>
          <w:p w14:paraId="0F62A91E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HR = 1.3</w:t>
            </w:r>
          </w:p>
        </w:tc>
        <w:tc>
          <w:tcPr>
            <w:tcW w:w="0" w:type="auto"/>
          </w:tcPr>
          <w:p w14:paraId="56FEAC21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0.8–2.0</w:t>
            </w:r>
          </w:p>
        </w:tc>
        <w:tc>
          <w:tcPr>
            <w:tcW w:w="0" w:type="auto"/>
          </w:tcPr>
          <w:p w14:paraId="031E4BBA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0.21</w:t>
            </w:r>
          </w:p>
        </w:tc>
        <w:tc>
          <w:tcPr>
            <w:tcW w:w="0" w:type="auto"/>
          </w:tcPr>
          <w:p w14:paraId="3C4BDAF7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0.31</w:t>
            </w:r>
          </w:p>
        </w:tc>
      </w:tr>
      <w:tr w:rsidR="00C7450F" w:rsidRPr="00C7450F" w14:paraId="14F847E0" w14:textId="77777777" w:rsidTr="00A67DC5">
        <w:tc>
          <w:tcPr>
            <w:tcW w:w="0" w:type="auto"/>
          </w:tcPr>
          <w:p w14:paraId="5D1EA449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Genomic (PFS)</w:t>
            </w:r>
          </w:p>
        </w:tc>
        <w:tc>
          <w:tcPr>
            <w:tcW w:w="0" w:type="auto"/>
          </w:tcPr>
          <w:p w14:paraId="7B917642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MTOR alteration</w:t>
            </w:r>
          </w:p>
        </w:tc>
        <w:tc>
          <w:tcPr>
            <w:tcW w:w="0" w:type="auto"/>
          </w:tcPr>
          <w:p w14:paraId="1672B7D7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Cox regression</w:t>
            </w:r>
          </w:p>
        </w:tc>
        <w:tc>
          <w:tcPr>
            <w:tcW w:w="0" w:type="auto"/>
          </w:tcPr>
          <w:p w14:paraId="4A03824E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HR = 1.2</w:t>
            </w:r>
          </w:p>
        </w:tc>
        <w:tc>
          <w:tcPr>
            <w:tcW w:w="0" w:type="auto"/>
          </w:tcPr>
          <w:p w14:paraId="03AAC3F4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0.7–1.9</w:t>
            </w:r>
          </w:p>
        </w:tc>
        <w:tc>
          <w:tcPr>
            <w:tcW w:w="0" w:type="auto"/>
          </w:tcPr>
          <w:p w14:paraId="492C2468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0.34</w:t>
            </w:r>
          </w:p>
        </w:tc>
        <w:tc>
          <w:tcPr>
            <w:tcW w:w="0" w:type="auto"/>
          </w:tcPr>
          <w:p w14:paraId="3D7D8F89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0.40</w:t>
            </w:r>
          </w:p>
        </w:tc>
      </w:tr>
      <w:tr w:rsidR="00C7450F" w:rsidRPr="00C7450F" w14:paraId="462700E7" w14:textId="77777777" w:rsidTr="00A67DC5">
        <w:tc>
          <w:tcPr>
            <w:tcW w:w="0" w:type="auto"/>
          </w:tcPr>
          <w:p w14:paraId="13EA0C55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Genomic (PFS)</w:t>
            </w:r>
          </w:p>
        </w:tc>
        <w:tc>
          <w:tcPr>
            <w:tcW w:w="0" w:type="auto"/>
          </w:tcPr>
          <w:p w14:paraId="14E7D5F3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FGF/FGFR alteration</w:t>
            </w:r>
          </w:p>
        </w:tc>
        <w:tc>
          <w:tcPr>
            <w:tcW w:w="0" w:type="auto"/>
          </w:tcPr>
          <w:p w14:paraId="1D07802E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Cox regression</w:t>
            </w:r>
          </w:p>
        </w:tc>
        <w:tc>
          <w:tcPr>
            <w:tcW w:w="0" w:type="auto"/>
          </w:tcPr>
          <w:p w14:paraId="43CD2154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HR = 1.5</w:t>
            </w:r>
          </w:p>
        </w:tc>
        <w:tc>
          <w:tcPr>
            <w:tcW w:w="0" w:type="auto"/>
          </w:tcPr>
          <w:p w14:paraId="2F846B55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0.9–2.4</w:t>
            </w:r>
          </w:p>
        </w:tc>
        <w:tc>
          <w:tcPr>
            <w:tcW w:w="0" w:type="auto"/>
          </w:tcPr>
          <w:p w14:paraId="0616713A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0.08</w:t>
            </w:r>
          </w:p>
        </w:tc>
        <w:tc>
          <w:tcPr>
            <w:tcW w:w="0" w:type="auto"/>
          </w:tcPr>
          <w:p w14:paraId="26026D47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0.19</w:t>
            </w:r>
          </w:p>
        </w:tc>
      </w:tr>
      <w:tr w:rsidR="00C7450F" w:rsidRPr="00C7450F" w14:paraId="6ACE5EEF" w14:textId="77777777" w:rsidTr="00A67DC5">
        <w:tc>
          <w:tcPr>
            <w:tcW w:w="0" w:type="auto"/>
          </w:tcPr>
          <w:p w14:paraId="615A7C07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Genomic (PFS)</w:t>
            </w:r>
          </w:p>
        </w:tc>
        <w:tc>
          <w:tcPr>
            <w:tcW w:w="0" w:type="auto"/>
          </w:tcPr>
          <w:p w14:paraId="6754F7C6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EGFR alteration</w:t>
            </w:r>
          </w:p>
        </w:tc>
        <w:tc>
          <w:tcPr>
            <w:tcW w:w="0" w:type="auto"/>
          </w:tcPr>
          <w:p w14:paraId="41B261F6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Cox regression</w:t>
            </w:r>
          </w:p>
        </w:tc>
        <w:tc>
          <w:tcPr>
            <w:tcW w:w="0" w:type="auto"/>
          </w:tcPr>
          <w:p w14:paraId="7364FDF2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HR = 0.8</w:t>
            </w:r>
          </w:p>
        </w:tc>
        <w:tc>
          <w:tcPr>
            <w:tcW w:w="0" w:type="auto"/>
          </w:tcPr>
          <w:p w14:paraId="046F161E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0.5–1.3</w:t>
            </w:r>
          </w:p>
        </w:tc>
        <w:tc>
          <w:tcPr>
            <w:tcW w:w="0" w:type="auto"/>
          </w:tcPr>
          <w:p w14:paraId="34B03146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0.42</w:t>
            </w:r>
          </w:p>
        </w:tc>
        <w:tc>
          <w:tcPr>
            <w:tcW w:w="0" w:type="auto"/>
          </w:tcPr>
          <w:p w14:paraId="665F22FE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0.45</w:t>
            </w:r>
          </w:p>
        </w:tc>
      </w:tr>
      <w:tr w:rsidR="00C7450F" w:rsidRPr="00C7450F" w14:paraId="663A6E49" w14:textId="77777777" w:rsidTr="00A67DC5">
        <w:tc>
          <w:tcPr>
            <w:tcW w:w="0" w:type="auto"/>
          </w:tcPr>
          <w:p w14:paraId="0A1CEFE9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Immune (Response)</w:t>
            </w:r>
          </w:p>
        </w:tc>
        <w:tc>
          <w:tcPr>
            <w:tcW w:w="0" w:type="auto"/>
          </w:tcPr>
          <w:p w14:paraId="132C8581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CD8⁺ T</w:t>
            </w:r>
            <w:r w:rsidRPr="00C7450F">
              <w:rPr>
                <w:color w:val="000000"/>
                <w:lang w:bidi="ar"/>
              </w:rPr>
              <w:noBreakHyphen/>
              <w:t>cell density</w:t>
            </w:r>
          </w:p>
        </w:tc>
        <w:tc>
          <w:tcPr>
            <w:tcW w:w="0" w:type="auto"/>
          </w:tcPr>
          <w:p w14:paraId="2E0A60C2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Mann–Whitney U</w:t>
            </w:r>
          </w:p>
        </w:tc>
        <w:tc>
          <w:tcPr>
            <w:tcW w:w="0" w:type="auto"/>
          </w:tcPr>
          <w:p w14:paraId="5F2EC379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Median: 386 vs 112 cells/mm²</w:t>
            </w:r>
          </w:p>
        </w:tc>
        <w:tc>
          <w:tcPr>
            <w:tcW w:w="0" w:type="auto"/>
          </w:tcPr>
          <w:p w14:paraId="200DE05C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—</w:t>
            </w:r>
          </w:p>
        </w:tc>
        <w:tc>
          <w:tcPr>
            <w:tcW w:w="0" w:type="auto"/>
          </w:tcPr>
          <w:p w14:paraId="4F64F65F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0.008</w:t>
            </w:r>
          </w:p>
        </w:tc>
        <w:tc>
          <w:tcPr>
            <w:tcW w:w="0" w:type="auto"/>
          </w:tcPr>
          <w:p w14:paraId="6F4C8941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0.03</w:t>
            </w:r>
          </w:p>
        </w:tc>
      </w:tr>
      <w:tr w:rsidR="00C7450F" w:rsidRPr="00C7450F" w14:paraId="1F25D16D" w14:textId="77777777" w:rsidTr="00A67DC5">
        <w:tc>
          <w:tcPr>
            <w:tcW w:w="0" w:type="auto"/>
          </w:tcPr>
          <w:p w14:paraId="6AA5C11B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Immune (Response)</w:t>
            </w:r>
          </w:p>
        </w:tc>
        <w:tc>
          <w:tcPr>
            <w:tcW w:w="0" w:type="auto"/>
          </w:tcPr>
          <w:p w14:paraId="73EE19CC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CD163⁺/CD8⁺ ratio</w:t>
            </w:r>
          </w:p>
        </w:tc>
        <w:tc>
          <w:tcPr>
            <w:tcW w:w="0" w:type="auto"/>
          </w:tcPr>
          <w:p w14:paraId="1060A405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Mann–Whitney U</w:t>
            </w:r>
          </w:p>
        </w:tc>
        <w:tc>
          <w:tcPr>
            <w:tcW w:w="0" w:type="auto"/>
          </w:tcPr>
          <w:p w14:paraId="6680FF7F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Median: 1.2 vs 3.4</w:t>
            </w:r>
          </w:p>
        </w:tc>
        <w:tc>
          <w:tcPr>
            <w:tcW w:w="0" w:type="auto"/>
          </w:tcPr>
          <w:p w14:paraId="7DD6A75D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—</w:t>
            </w:r>
          </w:p>
        </w:tc>
        <w:tc>
          <w:tcPr>
            <w:tcW w:w="0" w:type="auto"/>
          </w:tcPr>
          <w:p w14:paraId="2EDFA122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0.01</w:t>
            </w:r>
          </w:p>
        </w:tc>
        <w:tc>
          <w:tcPr>
            <w:tcW w:w="0" w:type="auto"/>
          </w:tcPr>
          <w:p w14:paraId="5435630D" w14:textId="77777777" w:rsidR="00C7450F" w:rsidRPr="00C7450F" w:rsidRDefault="00C7450F" w:rsidP="00A67DC5">
            <w:pPr>
              <w:widowControl/>
              <w:jc w:val="left"/>
              <w:rPr>
                <w:color w:val="000000"/>
              </w:rPr>
            </w:pPr>
            <w:r w:rsidRPr="00C7450F">
              <w:rPr>
                <w:color w:val="000000"/>
                <w:lang w:bidi="ar"/>
              </w:rPr>
              <w:t>0.04</w:t>
            </w:r>
          </w:p>
        </w:tc>
      </w:tr>
    </w:tbl>
    <w:p w14:paraId="08E00510" w14:textId="77777777" w:rsidR="009E3FD7" w:rsidRPr="00C7450F" w:rsidRDefault="00C7450F" w:rsidP="00C7450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7450F">
        <w:rPr>
          <w:rFonts w:ascii="Times New Roman" w:hAnsi="Times New Roman" w:cs="Times New Roman"/>
          <w:sz w:val="20"/>
          <w:szCs w:val="20"/>
        </w:rPr>
        <w:t>FDR-adjusted q-values were calculated using the Benjamini–Hochberg method within prespecified analysis sets (genomic and immune analyses). Genomic analyses were performed using univariable Cox regression for progression-free survival (PFS). Immune comparisons were conducted using the Mann–Whitney U test. All analyses are exploratory.</w:t>
      </w:r>
    </w:p>
    <w:sectPr w:rsidR="009E3FD7" w:rsidRPr="00C7450F" w:rsidSect="00C7450F">
      <w:footerReference w:type="even" r:id="rId6"/>
      <w:footerReference w:type="default" r:id="rId7"/>
      <w:footerReference w:type="first" r:id="rId8"/>
      <w:pgSz w:w="20160" w:h="12240" w:orient="landscape" w:code="5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0BF0E1" w16cex:dateUtc="2026-04-29T2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E4AB32" w16cid:durableId="550BF0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3CDF8" w14:textId="77777777" w:rsidR="00F61185" w:rsidRDefault="00F61185" w:rsidP="00445636">
      <w:r>
        <w:separator/>
      </w:r>
    </w:p>
  </w:endnote>
  <w:endnote w:type="continuationSeparator" w:id="0">
    <w:p w14:paraId="62CBD0A3" w14:textId="77777777" w:rsidR="00F61185" w:rsidRDefault="00F61185" w:rsidP="0044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CE9D4" w14:textId="78105C21" w:rsidR="00445636" w:rsidRDefault="0044563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AB6131" wp14:editId="1B4F24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2780152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24C8F" w14:textId="282FE2AB" w:rsidR="00445636" w:rsidRPr="00445636" w:rsidRDefault="00445636" w:rsidP="004456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456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AB61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9B24C8F" w14:textId="282FE2AB" w:rsidR="00445636" w:rsidRPr="00445636" w:rsidRDefault="00445636" w:rsidP="004456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456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53219" w14:textId="5623FF7F" w:rsidR="00445636" w:rsidRDefault="0044563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0D832E" wp14:editId="2307CB3B">
              <wp:simplePos x="914400" y="7153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3754962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A9F9E" w14:textId="270A43F2" w:rsidR="00445636" w:rsidRPr="00445636" w:rsidRDefault="00445636" w:rsidP="004456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456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0D83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F3A9F9E" w14:textId="270A43F2" w:rsidR="00445636" w:rsidRPr="00445636" w:rsidRDefault="00445636" w:rsidP="004456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456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4CE64" w14:textId="255341F5" w:rsidR="00445636" w:rsidRDefault="0044563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161D10" wp14:editId="3FDE8F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7284597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EB366" w14:textId="1F253164" w:rsidR="00445636" w:rsidRPr="00445636" w:rsidRDefault="00445636" w:rsidP="004456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456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161D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EAEB366" w14:textId="1F253164" w:rsidR="00445636" w:rsidRPr="00445636" w:rsidRDefault="00445636" w:rsidP="004456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456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66AC0" w14:textId="77777777" w:rsidR="00F61185" w:rsidRDefault="00F61185" w:rsidP="00445636">
      <w:r>
        <w:separator/>
      </w:r>
    </w:p>
  </w:footnote>
  <w:footnote w:type="continuationSeparator" w:id="0">
    <w:p w14:paraId="7A4D39AB" w14:textId="77777777" w:rsidR="00F61185" w:rsidRDefault="00F61185" w:rsidP="00445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1B"/>
    <w:rsid w:val="002836F8"/>
    <w:rsid w:val="00322AD4"/>
    <w:rsid w:val="003512E4"/>
    <w:rsid w:val="00445636"/>
    <w:rsid w:val="004B341B"/>
    <w:rsid w:val="004F03D7"/>
    <w:rsid w:val="00514231"/>
    <w:rsid w:val="00697DA0"/>
    <w:rsid w:val="009E3FD7"/>
    <w:rsid w:val="00B635A8"/>
    <w:rsid w:val="00C7450F"/>
    <w:rsid w:val="00DB5AD8"/>
    <w:rsid w:val="00F3028E"/>
    <w:rsid w:val="00F6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1B02"/>
  <w15:chartTrackingRefBased/>
  <w15:docId w15:val="{0D230EB5-0F6E-4A02-AFAC-C086C1E4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5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qFormat/>
    <w:rsid w:val="002836F8"/>
    <w:rPr>
      <w:rFonts w:ascii="Times New Roman" w:eastAsia="Times New Roman" w:hAnsi="Times New Roman"/>
    </w:rPr>
  </w:style>
  <w:style w:type="table" w:customStyle="1" w:styleId="a4">
    <w:name w:val="三线"/>
    <w:basedOn w:val="a1"/>
    <w:uiPriority w:val="99"/>
    <w:rsid w:val="00322AD4"/>
    <w:rPr>
      <w:rFonts w:ascii="Times New Roman" w:eastAsia="Times New Roman" w:hAnsi="Times New Roman"/>
      <w:sz w:val="20"/>
    </w:rPr>
    <w:tblPr>
      <w:tblBorders>
        <w:top w:val="single" w:sz="4" w:space="0" w:color="auto"/>
        <w:bottom w:val="single" w:sz="4" w:space="0" w:color="auto"/>
      </w:tblBorders>
    </w:tblPr>
  </w:style>
  <w:style w:type="table" w:styleId="a5">
    <w:name w:val="Table Grid"/>
    <w:basedOn w:val="a1"/>
    <w:uiPriority w:val="39"/>
    <w:qFormat/>
    <w:rsid w:val="00C7450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445636"/>
    <w:pPr>
      <w:tabs>
        <w:tab w:val="center" w:pos="4513"/>
        <w:tab w:val="right" w:pos="9026"/>
      </w:tabs>
    </w:pPr>
  </w:style>
  <w:style w:type="character" w:customStyle="1" w:styleId="Char">
    <w:name w:val="页脚 Char"/>
    <w:basedOn w:val="a0"/>
    <w:link w:val="a6"/>
    <w:uiPriority w:val="99"/>
    <w:rsid w:val="00445636"/>
  </w:style>
  <w:style w:type="paragraph" w:styleId="a7">
    <w:name w:val="Revision"/>
    <w:hidden/>
    <w:uiPriority w:val="99"/>
    <w:semiHidden/>
    <w:rsid w:val="00DB5AD8"/>
  </w:style>
  <w:style w:type="character" w:styleId="a8">
    <w:name w:val="annotation reference"/>
    <w:basedOn w:val="a0"/>
    <w:uiPriority w:val="99"/>
    <w:semiHidden/>
    <w:unhideWhenUsed/>
    <w:rsid w:val="00DB5AD8"/>
    <w:rPr>
      <w:sz w:val="16"/>
      <w:szCs w:val="16"/>
    </w:rPr>
  </w:style>
  <w:style w:type="paragraph" w:styleId="a9">
    <w:name w:val="annotation text"/>
    <w:basedOn w:val="a"/>
    <w:link w:val="Char0"/>
    <w:uiPriority w:val="99"/>
    <w:semiHidden/>
    <w:unhideWhenUsed/>
    <w:rsid w:val="00DB5AD8"/>
    <w:rPr>
      <w:sz w:val="20"/>
      <w:szCs w:val="20"/>
    </w:rPr>
  </w:style>
  <w:style w:type="character" w:customStyle="1" w:styleId="Char0">
    <w:name w:val="批注文字 Char"/>
    <w:basedOn w:val="a0"/>
    <w:link w:val="a9"/>
    <w:uiPriority w:val="99"/>
    <w:semiHidden/>
    <w:rsid w:val="00DB5AD8"/>
    <w:rPr>
      <w:sz w:val="20"/>
      <w:szCs w:val="20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DB5AD8"/>
    <w:rPr>
      <w:b/>
      <w:bCs/>
    </w:rPr>
  </w:style>
  <w:style w:type="character" w:customStyle="1" w:styleId="Char1">
    <w:name w:val="批注主题 Char"/>
    <w:basedOn w:val="Char0"/>
    <w:link w:val="aa"/>
    <w:uiPriority w:val="99"/>
    <w:semiHidden/>
    <w:rsid w:val="00DB5AD8"/>
    <w:rPr>
      <w:b/>
      <w:bCs/>
      <w:sz w:val="20"/>
      <w:szCs w:val="20"/>
    </w:rPr>
  </w:style>
  <w:style w:type="paragraph" w:styleId="ab">
    <w:name w:val="Balloon Text"/>
    <w:basedOn w:val="a"/>
    <w:link w:val="Char2"/>
    <w:uiPriority w:val="99"/>
    <w:semiHidden/>
    <w:unhideWhenUsed/>
    <w:rsid w:val="003512E4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3512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Toria</dc:creator>
  <cp:keywords/>
  <dc:description/>
  <cp:lastModifiedBy>Toria</cp:lastModifiedBy>
  <cp:revision>4</cp:revision>
  <dcterms:created xsi:type="dcterms:W3CDTF">2026-04-29T21:37:00Z</dcterms:created>
  <dcterms:modified xsi:type="dcterms:W3CDTF">2026-05-07T01:37:00Z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3ff25496,78ddcbb6,55af4436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2026-04-29T21:37:04Z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7c7a42c6-fbe7-4c99-b9c4-c548a343b231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