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09330" w14:textId="77777777" w:rsidR="001D764E" w:rsidRDefault="001D764E" w:rsidP="001D764E">
      <w:pPr>
        <w:spacing w:line="480" w:lineRule="auto"/>
        <w:rPr>
          <w:rFonts w:hint="eastAsia"/>
        </w:rPr>
      </w:pPr>
    </w:p>
    <w:p w14:paraId="751B67C9" w14:textId="77777777" w:rsidR="001D764E" w:rsidRDefault="001D764E" w:rsidP="001D764E">
      <w:pPr>
        <w:spacing w:line="480" w:lineRule="auto"/>
      </w:pPr>
      <w:r>
        <w:rPr>
          <w:rFonts w:ascii="Times New Roman" w:hAnsi="Times New Roman" w:cs="Times New Roman"/>
          <w:b/>
          <w:bCs/>
          <w:noProof/>
          <w:sz w:val="24"/>
          <w:szCs w:val="28"/>
        </w:rPr>
        <w:drawing>
          <wp:inline distT="0" distB="0" distL="0" distR="0" wp14:anchorId="23AE1732" wp14:editId="68BCABCF">
            <wp:extent cx="5274310" cy="55245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5524500"/>
                    </a:xfrm>
                    <a:prstGeom prst="rect">
                      <a:avLst/>
                    </a:prstGeom>
                  </pic:spPr>
                </pic:pic>
              </a:graphicData>
            </a:graphic>
          </wp:inline>
        </w:drawing>
      </w:r>
    </w:p>
    <w:p w14:paraId="37697192" w14:textId="77777777" w:rsidR="001D764E" w:rsidRPr="009521AE" w:rsidRDefault="001D764E" w:rsidP="001D764E">
      <w:pPr>
        <w:spacing w:line="480" w:lineRule="auto"/>
        <w:rPr>
          <w:rFonts w:ascii="Times New Roman" w:hAnsi="Times New Roman" w:cs="Times New Roman"/>
        </w:rPr>
      </w:pPr>
      <w:r w:rsidRPr="009521AE">
        <w:rPr>
          <w:rFonts w:ascii="Times New Roman" w:hAnsi="Times New Roman" w:cs="Times New Roman"/>
        </w:rPr>
        <w:t>Figure 1</w:t>
      </w:r>
      <w:r>
        <w:rPr>
          <w:rFonts w:ascii="Times New Roman" w:hAnsi="Times New Roman" w:cs="Times New Roman"/>
        </w:rPr>
        <w:t>S</w:t>
      </w:r>
      <w:r w:rsidRPr="009521AE">
        <w:rPr>
          <w:rFonts w:ascii="Times New Roman" w:hAnsi="Times New Roman" w:cs="Times New Roman"/>
        </w:rPr>
        <w:t>. Chest computed tomography (CT) images. The images are organized into 12 panels (A1–F2), each showing slices at different levels of the thorax. The panels from A1 to F1 are lung window images. The panels from A2 to F2 are mediastinal window images. Prominent consolidation was localized primarily to the right middle lobe. No evidence of other abnormal images such as pleural effusion or lymphadenopathy noted was observed, suggesting an uncomplicated course of pneumonia.</w:t>
      </w:r>
    </w:p>
    <w:p w14:paraId="6336C913" w14:textId="77777777" w:rsidR="001D764E" w:rsidRDefault="001D764E" w:rsidP="001D764E">
      <w:pPr>
        <w:widowControl/>
        <w:spacing w:line="480" w:lineRule="auto"/>
        <w:jc w:val="left"/>
      </w:pPr>
      <w:r>
        <w:br w:type="page"/>
      </w:r>
    </w:p>
    <w:p w14:paraId="47CCD257" w14:textId="77777777" w:rsidR="001D764E" w:rsidRDefault="001D764E" w:rsidP="001D764E">
      <w:pPr>
        <w:spacing w:line="480" w:lineRule="auto"/>
        <w:jc w:val="center"/>
      </w:pPr>
    </w:p>
    <w:p w14:paraId="33C45FB1" w14:textId="77777777" w:rsidR="001D764E" w:rsidRDefault="001D764E" w:rsidP="001D764E">
      <w:pPr>
        <w:spacing w:line="480" w:lineRule="auto"/>
        <w:jc w:val="center"/>
      </w:pPr>
      <w:r>
        <w:rPr>
          <w:noProof/>
        </w:rPr>
        <w:drawing>
          <wp:inline distT="0" distB="0" distL="0" distR="0" wp14:anchorId="29180B74" wp14:editId="1A7C2028">
            <wp:extent cx="5274310" cy="37674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767455"/>
                    </a:xfrm>
                    <a:prstGeom prst="rect">
                      <a:avLst/>
                    </a:prstGeom>
                  </pic:spPr>
                </pic:pic>
              </a:graphicData>
            </a:graphic>
          </wp:inline>
        </w:drawing>
      </w:r>
    </w:p>
    <w:p w14:paraId="0F97D0B6" w14:textId="77777777" w:rsidR="001D764E" w:rsidRDefault="001D764E" w:rsidP="001D764E">
      <w:pPr>
        <w:spacing w:line="480" w:lineRule="auto"/>
        <w:rPr>
          <w:rFonts w:ascii="Times New Roman" w:hAnsi="Times New Roman" w:cs="Times New Roman"/>
        </w:rPr>
      </w:pPr>
      <w:r w:rsidRPr="009521AE">
        <w:rPr>
          <w:rFonts w:ascii="Times New Roman" w:hAnsi="Times New Roman" w:cs="Times New Roman"/>
        </w:rPr>
        <w:t xml:space="preserve">Figure </w:t>
      </w:r>
      <w:r>
        <w:rPr>
          <w:rFonts w:ascii="Times New Roman" w:hAnsi="Times New Roman" w:cs="Times New Roman"/>
        </w:rPr>
        <w:t>2S</w:t>
      </w:r>
      <w:r w:rsidRPr="009521AE">
        <w:rPr>
          <w:rFonts w:ascii="Times New Roman" w:hAnsi="Times New Roman" w:cs="Times New Roman"/>
        </w:rPr>
        <w:t>. Blood test value over time. Figure 2</w:t>
      </w:r>
      <w:r>
        <w:rPr>
          <w:rFonts w:ascii="Times New Roman" w:hAnsi="Times New Roman" w:cs="Times New Roman"/>
        </w:rPr>
        <w:t>S-</w:t>
      </w:r>
      <w:r w:rsidRPr="009521AE">
        <w:rPr>
          <w:rFonts w:ascii="Times New Roman" w:hAnsi="Times New Roman" w:cs="Times New Roman"/>
        </w:rPr>
        <w:t xml:space="preserve">A, </w:t>
      </w:r>
      <w:r w:rsidRPr="009F027E">
        <w:rPr>
          <w:rFonts w:ascii="Times New Roman" w:hAnsi="Times New Roman" w:cs="Times New Roman"/>
          <w:i/>
          <w:iCs/>
        </w:rPr>
        <w:t>Mycoplasma pneumoniae</w:t>
      </w:r>
      <w:r w:rsidRPr="009521AE">
        <w:rPr>
          <w:rFonts w:ascii="Times New Roman" w:hAnsi="Times New Roman" w:cs="Times New Roman"/>
        </w:rPr>
        <w:t xml:space="preserve"> IgM antibody titers over time. Figure 2</w:t>
      </w:r>
      <w:r>
        <w:rPr>
          <w:rFonts w:ascii="Times New Roman" w:hAnsi="Times New Roman" w:cs="Times New Roman"/>
        </w:rPr>
        <w:t>S-</w:t>
      </w:r>
      <w:r w:rsidRPr="009521AE">
        <w:rPr>
          <w:rFonts w:ascii="Times New Roman" w:hAnsi="Times New Roman" w:cs="Times New Roman"/>
        </w:rPr>
        <w:t>B, inflammatory markers over time. Figure 2</w:t>
      </w:r>
      <w:r>
        <w:rPr>
          <w:rFonts w:ascii="Times New Roman" w:hAnsi="Times New Roman" w:cs="Times New Roman"/>
        </w:rPr>
        <w:t>S-</w:t>
      </w:r>
      <w:r w:rsidRPr="009521AE">
        <w:rPr>
          <w:rFonts w:ascii="Times New Roman" w:hAnsi="Times New Roman" w:cs="Times New Roman"/>
        </w:rPr>
        <w:t>C, coagulation parameters over time. Figure 2</w:t>
      </w:r>
      <w:r>
        <w:rPr>
          <w:rFonts w:ascii="Times New Roman" w:hAnsi="Times New Roman" w:cs="Times New Roman"/>
        </w:rPr>
        <w:t>S-</w:t>
      </w:r>
      <w:r w:rsidRPr="009521AE">
        <w:rPr>
          <w:rFonts w:ascii="Times New Roman" w:hAnsi="Times New Roman" w:cs="Times New Roman"/>
        </w:rPr>
        <w:t>D, liver function tests over time.</w:t>
      </w:r>
    </w:p>
    <w:p w14:paraId="4E2E8D90" w14:textId="45CD4496" w:rsidR="001D764E" w:rsidRDefault="001D764E">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6ECD130B" w14:textId="77777777" w:rsidR="001D764E" w:rsidRDefault="001D764E" w:rsidP="001D764E">
      <w:pPr>
        <w:spacing w:line="480" w:lineRule="auto"/>
        <w:rPr>
          <w:rFonts w:ascii="Times New Roman" w:hAnsi="Times New Roman" w:cs="Times New Roman"/>
          <w:sz w:val="24"/>
          <w:szCs w:val="28"/>
        </w:rPr>
      </w:pPr>
    </w:p>
    <w:p w14:paraId="6AF9B709" w14:textId="77777777" w:rsidR="001D764E" w:rsidRPr="009521AE" w:rsidRDefault="001D764E" w:rsidP="001D764E">
      <w:pPr>
        <w:spacing w:line="480" w:lineRule="auto"/>
        <w:rPr>
          <w:rFonts w:ascii="Times New Roman" w:hAnsi="Times New Roman" w:cs="Times New Roman"/>
        </w:rPr>
      </w:pPr>
      <w:r w:rsidRPr="009521AE">
        <w:rPr>
          <w:rFonts w:ascii="Times New Roman" w:hAnsi="Times New Roman" w:cs="Times New Roman"/>
        </w:rPr>
        <w:t>Table 1</w:t>
      </w:r>
      <w:r>
        <w:rPr>
          <w:rFonts w:ascii="Times New Roman" w:hAnsi="Times New Roman" w:cs="Times New Roman"/>
        </w:rPr>
        <w:t>S</w:t>
      </w:r>
      <w:r w:rsidRPr="009521AE">
        <w:rPr>
          <w:rFonts w:ascii="Times New Roman" w:hAnsi="Times New Roman" w:cs="Times New Roman"/>
        </w:rPr>
        <w:t>.  Drug administration timeline with clinical events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2670"/>
        <w:gridCol w:w="3667"/>
      </w:tblGrid>
      <w:tr w:rsidR="001D764E" w:rsidRPr="00EF5A6C" w14:paraId="6285A4B2" w14:textId="77777777" w:rsidTr="0064155B">
        <w:trPr>
          <w:trHeight w:val="280"/>
        </w:trPr>
        <w:tc>
          <w:tcPr>
            <w:tcW w:w="1181" w:type="pct"/>
            <w:shd w:val="clear" w:color="auto" w:fill="auto"/>
            <w:noWrap/>
            <w:vAlign w:val="center"/>
            <w:hideMark/>
          </w:tcPr>
          <w:p w14:paraId="08EFB96D"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Date</w:t>
            </w:r>
          </w:p>
        </w:tc>
        <w:tc>
          <w:tcPr>
            <w:tcW w:w="1609" w:type="pct"/>
            <w:shd w:val="clear" w:color="auto" w:fill="auto"/>
            <w:noWrap/>
            <w:vAlign w:val="center"/>
            <w:hideMark/>
          </w:tcPr>
          <w:p w14:paraId="6FA94676"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Drug Administered</w:t>
            </w:r>
          </w:p>
        </w:tc>
        <w:tc>
          <w:tcPr>
            <w:tcW w:w="2210" w:type="pct"/>
            <w:shd w:val="clear" w:color="auto" w:fill="auto"/>
            <w:noWrap/>
            <w:vAlign w:val="center"/>
            <w:hideMark/>
          </w:tcPr>
          <w:p w14:paraId="4C012217"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Event / Adverse Reaction</w:t>
            </w:r>
          </w:p>
        </w:tc>
      </w:tr>
      <w:tr w:rsidR="001D764E" w:rsidRPr="00EF5A6C" w14:paraId="5FFE4823" w14:textId="77777777" w:rsidTr="0064155B">
        <w:trPr>
          <w:trHeight w:val="280"/>
        </w:trPr>
        <w:tc>
          <w:tcPr>
            <w:tcW w:w="1181" w:type="pct"/>
            <w:shd w:val="clear" w:color="auto" w:fill="auto"/>
            <w:noWrap/>
            <w:vAlign w:val="center"/>
            <w:hideMark/>
          </w:tcPr>
          <w:p w14:paraId="3C0C206C"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2024/12/31</w:t>
            </w:r>
          </w:p>
        </w:tc>
        <w:tc>
          <w:tcPr>
            <w:tcW w:w="1609" w:type="pct"/>
            <w:vMerge w:val="restart"/>
            <w:shd w:val="clear" w:color="auto" w:fill="auto"/>
            <w:noWrap/>
            <w:vAlign w:val="center"/>
            <w:hideMark/>
          </w:tcPr>
          <w:p w14:paraId="3844AE52"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proofErr w:type="spellStart"/>
            <w:r w:rsidRPr="00EF5A6C">
              <w:rPr>
                <w:rFonts w:ascii="Times New Roman" w:eastAsia="等线" w:hAnsi="Times New Roman" w:cs="Times New Roman"/>
                <w:color w:val="000000"/>
                <w:kern w:val="0"/>
                <w:szCs w:val="21"/>
              </w:rPr>
              <w:t>Omadacycline</w:t>
            </w:r>
            <w:proofErr w:type="spellEnd"/>
          </w:p>
        </w:tc>
        <w:tc>
          <w:tcPr>
            <w:tcW w:w="2210" w:type="pct"/>
            <w:shd w:val="clear" w:color="auto" w:fill="auto"/>
            <w:noWrap/>
            <w:vAlign w:val="center"/>
            <w:hideMark/>
          </w:tcPr>
          <w:p w14:paraId="3DE04686"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Start of treatment</w:t>
            </w:r>
          </w:p>
        </w:tc>
      </w:tr>
      <w:tr w:rsidR="001D764E" w:rsidRPr="00EF5A6C" w14:paraId="167285EA" w14:textId="77777777" w:rsidTr="0064155B">
        <w:trPr>
          <w:trHeight w:val="280"/>
        </w:trPr>
        <w:tc>
          <w:tcPr>
            <w:tcW w:w="1181" w:type="pct"/>
            <w:shd w:val="clear" w:color="auto" w:fill="auto"/>
            <w:noWrap/>
            <w:vAlign w:val="center"/>
            <w:hideMark/>
          </w:tcPr>
          <w:p w14:paraId="39224F2A"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2025/1/2</w:t>
            </w:r>
          </w:p>
        </w:tc>
        <w:tc>
          <w:tcPr>
            <w:tcW w:w="1609" w:type="pct"/>
            <w:vMerge/>
            <w:vAlign w:val="center"/>
            <w:hideMark/>
          </w:tcPr>
          <w:p w14:paraId="7443E009" w14:textId="77777777" w:rsidR="001D764E" w:rsidRPr="00EF5A6C" w:rsidRDefault="001D764E" w:rsidP="0064155B">
            <w:pPr>
              <w:widowControl/>
              <w:spacing w:line="480" w:lineRule="auto"/>
              <w:jc w:val="left"/>
              <w:rPr>
                <w:rFonts w:ascii="Times New Roman" w:eastAsia="等线" w:hAnsi="Times New Roman" w:cs="Times New Roman"/>
                <w:color w:val="000000"/>
                <w:kern w:val="0"/>
                <w:szCs w:val="21"/>
              </w:rPr>
            </w:pPr>
          </w:p>
        </w:tc>
        <w:tc>
          <w:tcPr>
            <w:tcW w:w="2210" w:type="pct"/>
            <w:shd w:val="clear" w:color="auto" w:fill="auto"/>
            <w:noWrap/>
            <w:vAlign w:val="center"/>
            <w:hideMark/>
          </w:tcPr>
          <w:p w14:paraId="6AF6BB0B"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Rash on infusion arm</w:t>
            </w:r>
          </w:p>
        </w:tc>
      </w:tr>
      <w:tr w:rsidR="001D764E" w:rsidRPr="00EF5A6C" w14:paraId="50E85356" w14:textId="77777777" w:rsidTr="0064155B">
        <w:trPr>
          <w:trHeight w:val="280"/>
        </w:trPr>
        <w:tc>
          <w:tcPr>
            <w:tcW w:w="1181" w:type="pct"/>
            <w:shd w:val="clear" w:color="auto" w:fill="auto"/>
            <w:noWrap/>
            <w:vAlign w:val="center"/>
            <w:hideMark/>
          </w:tcPr>
          <w:p w14:paraId="428831A8"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2025/1/3</w:t>
            </w:r>
          </w:p>
        </w:tc>
        <w:tc>
          <w:tcPr>
            <w:tcW w:w="1609" w:type="pct"/>
            <w:vMerge/>
            <w:vAlign w:val="center"/>
            <w:hideMark/>
          </w:tcPr>
          <w:p w14:paraId="7DE5D717" w14:textId="77777777" w:rsidR="001D764E" w:rsidRPr="00EF5A6C" w:rsidRDefault="001D764E" w:rsidP="0064155B">
            <w:pPr>
              <w:widowControl/>
              <w:spacing w:line="480" w:lineRule="auto"/>
              <w:jc w:val="left"/>
              <w:rPr>
                <w:rFonts w:ascii="Times New Roman" w:eastAsia="等线" w:hAnsi="Times New Roman" w:cs="Times New Roman"/>
                <w:color w:val="000000"/>
                <w:kern w:val="0"/>
                <w:szCs w:val="21"/>
              </w:rPr>
            </w:pPr>
          </w:p>
        </w:tc>
        <w:tc>
          <w:tcPr>
            <w:tcW w:w="2210" w:type="pct"/>
            <w:shd w:val="clear" w:color="auto" w:fill="auto"/>
            <w:noWrap/>
            <w:vAlign w:val="center"/>
            <w:hideMark/>
          </w:tcPr>
          <w:p w14:paraId="75797E1F"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Nausea, vomiting, diarrhea, syncope</w:t>
            </w:r>
          </w:p>
        </w:tc>
      </w:tr>
      <w:tr w:rsidR="001D764E" w:rsidRPr="00EF5A6C" w14:paraId="30AE573D" w14:textId="77777777" w:rsidTr="0064155B">
        <w:trPr>
          <w:trHeight w:val="280"/>
        </w:trPr>
        <w:tc>
          <w:tcPr>
            <w:tcW w:w="1181" w:type="pct"/>
            <w:shd w:val="clear" w:color="auto" w:fill="auto"/>
            <w:noWrap/>
            <w:vAlign w:val="center"/>
            <w:hideMark/>
          </w:tcPr>
          <w:p w14:paraId="7BD1EF9E"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2025/1/4</w:t>
            </w:r>
          </w:p>
        </w:tc>
        <w:tc>
          <w:tcPr>
            <w:tcW w:w="1609" w:type="pct"/>
            <w:vMerge/>
            <w:vAlign w:val="center"/>
            <w:hideMark/>
          </w:tcPr>
          <w:p w14:paraId="3FE27763" w14:textId="77777777" w:rsidR="001D764E" w:rsidRPr="00EF5A6C" w:rsidRDefault="001D764E" w:rsidP="0064155B">
            <w:pPr>
              <w:widowControl/>
              <w:spacing w:line="480" w:lineRule="auto"/>
              <w:jc w:val="left"/>
              <w:rPr>
                <w:rFonts w:ascii="Times New Roman" w:eastAsia="等线" w:hAnsi="Times New Roman" w:cs="Times New Roman"/>
                <w:color w:val="000000"/>
                <w:kern w:val="0"/>
                <w:szCs w:val="21"/>
              </w:rPr>
            </w:pPr>
          </w:p>
        </w:tc>
        <w:tc>
          <w:tcPr>
            <w:tcW w:w="2210" w:type="pct"/>
            <w:shd w:val="clear" w:color="auto" w:fill="auto"/>
            <w:noWrap/>
            <w:vAlign w:val="center"/>
            <w:hideMark/>
          </w:tcPr>
          <w:p w14:paraId="6E0AD586"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 xml:space="preserve"> Generalized pruritic rash</w:t>
            </w:r>
          </w:p>
        </w:tc>
      </w:tr>
      <w:tr w:rsidR="001D764E" w:rsidRPr="00EF5A6C" w14:paraId="5D1104B1" w14:textId="77777777" w:rsidTr="0064155B">
        <w:trPr>
          <w:trHeight w:val="280"/>
        </w:trPr>
        <w:tc>
          <w:tcPr>
            <w:tcW w:w="1181" w:type="pct"/>
            <w:vMerge w:val="restart"/>
            <w:shd w:val="clear" w:color="auto" w:fill="auto"/>
            <w:noWrap/>
            <w:vAlign w:val="center"/>
            <w:hideMark/>
          </w:tcPr>
          <w:p w14:paraId="2B5585D2"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2025/1/5</w:t>
            </w:r>
          </w:p>
        </w:tc>
        <w:tc>
          <w:tcPr>
            <w:tcW w:w="1609" w:type="pct"/>
            <w:vMerge w:val="restart"/>
            <w:shd w:val="clear" w:color="auto" w:fill="auto"/>
            <w:noWrap/>
            <w:vAlign w:val="center"/>
            <w:hideMark/>
          </w:tcPr>
          <w:p w14:paraId="0AFB87C8"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Ceftriaxone + Azithromycin</w:t>
            </w:r>
          </w:p>
        </w:tc>
        <w:tc>
          <w:tcPr>
            <w:tcW w:w="2210" w:type="pct"/>
            <w:shd w:val="clear" w:color="auto" w:fill="auto"/>
            <w:noWrap/>
            <w:vAlign w:val="center"/>
            <w:hideMark/>
          </w:tcPr>
          <w:p w14:paraId="6E94C9DD"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Switched to alternative therapy</w:t>
            </w:r>
          </w:p>
        </w:tc>
      </w:tr>
      <w:tr w:rsidR="001D764E" w:rsidRPr="00EF5A6C" w14:paraId="42858DE8" w14:textId="77777777" w:rsidTr="0064155B">
        <w:trPr>
          <w:trHeight w:val="280"/>
        </w:trPr>
        <w:tc>
          <w:tcPr>
            <w:tcW w:w="1181" w:type="pct"/>
            <w:vMerge/>
            <w:vAlign w:val="center"/>
            <w:hideMark/>
          </w:tcPr>
          <w:p w14:paraId="70EDD93B" w14:textId="77777777" w:rsidR="001D764E" w:rsidRPr="00EF5A6C" w:rsidRDefault="001D764E" w:rsidP="0064155B">
            <w:pPr>
              <w:widowControl/>
              <w:spacing w:line="480" w:lineRule="auto"/>
              <w:jc w:val="left"/>
              <w:rPr>
                <w:rFonts w:ascii="Times New Roman" w:eastAsia="等线" w:hAnsi="Times New Roman" w:cs="Times New Roman"/>
                <w:color w:val="000000"/>
                <w:kern w:val="0"/>
                <w:szCs w:val="21"/>
              </w:rPr>
            </w:pPr>
          </w:p>
        </w:tc>
        <w:tc>
          <w:tcPr>
            <w:tcW w:w="1609" w:type="pct"/>
            <w:vMerge/>
            <w:vAlign w:val="center"/>
            <w:hideMark/>
          </w:tcPr>
          <w:p w14:paraId="6FB3B1F4" w14:textId="77777777" w:rsidR="001D764E" w:rsidRPr="00EF5A6C" w:rsidRDefault="001D764E" w:rsidP="0064155B">
            <w:pPr>
              <w:widowControl/>
              <w:spacing w:line="480" w:lineRule="auto"/>
              <w:jc w:val="left"/>
              <w:rPr>
                <w:rFonts w:ascii="Times New Roman" w:eastAsia="等线" w:hAnsi="Times New Roman" w:cs="Times New Roman"/>
                <w:color w:val="000000"/>
                <w:kern w:val="0"/>
                <w:szCs w:val="21"/>
              </w:rPr>
            </w:pPr>
          </w:p>
        </w:tc>
        <w:tc>
          <w:tcPr>
            <w:tcW w:w="2210" w:type="pct"/>
            <w:shd w:val="clear" w:color="auto" w:fill="auto"/>
            <w:noWrap/>
            <w:vAlign w:val="center"/>
            <w:hideMark/>
          </w:tcPr>
          <w:p w14:paraId="5BBED1DA"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Recurrent rash after administration</w:t>
            </w:r>
          </w:p>
        </w:tc>
      </w:tr>
      <w:tr w:rsidR="001D764E" w:rsidRPr="00EF5A6C" w14:paraId="5F80FC4F" w14:textId="77777777" w:rsidTr="0064155B">
        <w:trPr>
          <w:trHeight w:val="624"/>
        </w:trPr>
        <w:tc>
          <w:tcPr>
            <w:tcW w:w="1181" w:type="pct"/>
            <w:vMerge/>
            <w:shd w:val="clear" w:color="auto" w:fill="auto"/>
            <w:noWrap/>
            <w:vAlign w:val="center"/>
          </w:tcPr>
          <w:p w14:paraId="18A1E4D6"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p>
        </w:tc>
        <w:tc>
          <w:tcPr>
            <w:tcW w:w="1609" w:type="pct"/>
            <w:vMerge w:val="restart"/>
            <w:shd w:val="clear" w:color="auto" w:fill="auto"/>
            <w:noWrap/>
            <w:vAlign w:val="center"/>
            <w:hideMark/>
          </w:tcPr>
          <w:p w14:paraId="15D49A45"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Enoxaparin</w:t>
            </w:r>
          </w:p>
        </w:tc>
        <w:tc>
          <w:tcPr>
            <w:tcW w:w="2210" w:type="pct"/>
            <w:vMerge w:val="restart"/>
            <w:shd w:val="clear" w:color="auto" w:fill="auto"/>
            <w:noWrap/>
            <w:vAlign w:val="center"/>
            <w:hideMark/>
          </w:tcPr>
          <w:p w14:paraId="182F0935"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Initiated anticoagulant therapy</w:t>
            </w:r>
          </w:p>
        </w:tc>
      </w:tr>
      <w:tr w:rsidR="001D764E" w:rsidRPr="00EF5A6C" w14:paraId="7F50E0BE" w14:textId="77777777" w:rsidTr="0064155B">
        <w:trPr>
          <w:trHeight w:val="312"/>
        </w:trPr>
        <w:tc>
          <w:tcPr>
            <w:tcW w:w="1181" w:type="pct"/>
            <w:vMerge w:val="restart"/>
            <w:shd w:val="clear" w:color="auto" w:fill="auto"/>
            <w:noWrap/>
            <w:vAlign w:val="center"/>
            <w:hideMark/>
          </w:tcPr>
          <w:p w14:paraId="725C5C88"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2025/1/6-2025/1/9</w:t>
            </w:r>
          </w:p>
        </w:tc>
        <w:tc>
          <w:tcPr>
            <w:tcW w:w="1609" w:type="pct"/>
            <w:vMerge/>
            <w:shd w:val="clear" w:color="auto" w:fill="auto"/>
            <w:noWrap/>
            <w:vAlign w:val="center"/>
          </w:tcPr>
          <w:p w14:paraId="5C56B495"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p>
        </w:tc>
        <w:tc>
          <w:tcPr>
            <w:tcW w:w="2210" w:type="pct"/>
            <w:vMerge/>
            <w:shd w:val="clear" w:color="auto" w:fill="auto"/>
            <w:noWrap/>
            <w:vAlign w:val="center"/>
          </w:tcPr>
          <w:p w14:paraId="055A969E"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p>
        </w:tc>
      </w:tr>
      <w:tr w:rsidR="001D764E" w:rsidRPr="00EF5A6C" w14:paraId="7B01D5D6" w14:textId="77777777" w:rsidTr="0064155B">
        <w:trPr>
          <w:trHeight w:val="280"/>
        </w:trPr>
        <w:tc>
          <w:tcPr>
            <w:tcW w:w="1181" w:type="pct"/>
            <w:vMerge/>
            <w:shd w:val="clear" w:color="auto" w:fill="auto"/>
            <w:noWrap/>
            <w:vAlign w:val="center"/>
          </w:tcPr>
          <w:p w14:paraId="5CCAE5D0"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p>
        </w:tc>
        <w:tc>
          <w:tcPr>
            <w:tcW w:w="1609" w:type="pct"/>
            <w:shd w:val="clear" w:color="auto" w:fill="auto"/>
            <w:noWrap/>
            <w:vAlign w:val="center"/>
          </w:tcPr>
          <w:p w14:paraId="6EDF4216"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Levofloxacin</w:t>
            </w:r>
          </w:p>
        </w:tc>
        <w:tc>
          <w:tcPr>
            <w:tcW w:w="2210" w:type="pct"/>
            <w:shd w:val="clear" w:color="auto" w:fill="auto"/>
            <w:noWrap/>
            <w:vAlign w:val="center"/>
          </w:tcPr>
          <w:p w14:paraId="05F74AEB"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Final antibiotic switch</w:t>
            </w:r>
          </w:p>
        </w:tc>
      </w:tr>
      <w:tr w:rsidR="001D764E" w:rsidRPr="00EF5A6C" w14:paraId="1DC9A2EC" w14:textId="77777777" w:rsidTr="0064155B">
        <w:trPr>
          <w:trHeight w:val="280"/>
        </w:trPr>
        <w:tc>
          <w:tcPr>
            <w:tcW w:w="1181" w:type="pct"/>
            <w:vMerge/>
            <w:shd w:val="clear" w:color="auto" w:fill="auto"/>
            <w:noWrap/>
            <w:vAlign w:val="center"/>
          </w:tcPr>
          <w:p w14:paraId="107562FD"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p>
        </w:tc>
        <w:tc>
          <w:tcPr>
            <w:tcW w:w="1609" w:type="pct"/>
            <w:shd w:val="clear" w:color="auto" w:fill="auto"/>
            <w:noWrap/>
            <w:vAlign w:val="center"/>
          </w:tcPr>
          <w:p w14:paraId="02633B49"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Hepatoprotective agents</w:t>
            </w:r>
          </w:p>
        </w:tc>
        <w:tc>
          <w:tcPr>
            <w:tcW w:w="2210" w:type="pct"/>
            <w:shd w:val="clear" w:color="auto" w:fill="auto"/>
            <w:noWrap/>
            <w:vAlign w:val="center"/>
          </w:tcPr>
          <w:p w14:paraId="33E61BEA" w14:textId="77777777" w:rsidR="001D764E" w:rsidRPr="00EF5A6C" w:rsidRDefault="001D764E" w:rsidP="0064155B">
            <w:pPr>
              <w:widowControl/>
              <w:spacing w:line="480" w:lineRule="auto"/>
              <w:jc w:val="center"/>
              <w:rPr>
                <w:rFonts w:ascii="Times New Roman" w:eastAsia="等线" w:hAnsi="Times New Roman" w:cs="Times New Roman"/>
                <w:color w:val="000000"/>
                <w:kern w:val="0"/>
                <w:szCs w:val="21"/>
              </w:rPr>
            </w:pPr>
            <w:r w:rsidRPr="00EF5A6C">
              <w:rPr>
                <w:rFonts w:ascii="Times New Roman" w:eastAsia="等线" w:hAnsi="Times New Roman" w:cs="Times New Roman"/>
                <w:color w:val="000000"/>
                <w:kern w:val="0"/>
                <w:szCs w:val="21"/>
              </w:rPr>
              <w:t>Initiated due to elevated liver enzymes</w:t>
            </w:r>
          </w:p>
        </w:tc>
      </w:tr>
    </w:tbl>
    <w:p w14:paraId="5B7C0A14" w14:textId="77777777" w:rsidR="001D764E" w:rsidRDefault="001D764E" w:rsidP="001D764E">
      <w:pPr>
        <w:spacing w:line="480" w:lineRule="auto"/>
        <w:rPr>
          <w:rFonts w:ascii="Times New Roman" w:hAnsi="Times New Roman" w:cs="Times New Roman"/>
          <w:sz w:val="24"/>
          <w:szCs w:val="28"/>
        </w:rPr>
      </w:pPr>
    </w:p>
    <w:p w14:paraId="409B9302" w14:textId="77777777" w:rsidR="001D764E" w:rsidRDefault="001D764E" w:rsidP="001D764E">
      <w:pPr>
        <w:spacing w:line="480" w:lineRule="auto"/>
        <w:rPr>
          <w:rFonts w:ascii="Times New Roman" w:hAnsi="Times New Roman" w:cs="Times New Roman"/>
          <w:sz w:val="24"/>
          <w:szCs w:val="28"/>
        </w:rPr>
      </w:pPr>
    </w:p>
    <w:p w14:paraId="2B63833A" w14:textId="77777777" w:rsidR="001D764E" w:rsidRPr="00F042F5" w:rsidRDefault="001D764E" w:rsidP="001D764E">
      <w:pPr>
        <w:spacing w:line="480" w:lineRule="auto"/>
        <w:rPr>
          <w:rFonts w:ascii="Times New Roman" w:hAnsi="Times New Roman" w:cs="Times New Roman"/>
        </w:rPr>
      </w:pPr>
    </w:p>
    <w:p w14:paraId="0FA66D5F" w14:textId="77777777" w:rsidR="00D25204" w:rsidRPr="001D764E" w:rsidRDefault="00D25204"/>
    <w:sectPr w:rsidR="00D25204" w:rsidRPr="001D764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FFF7C" w14:textId="77777777" w:rsidR="007C6BFE" w:rsidRDefault="007C6BFE" w:rsidP="001D764E">
      <w:r>
        <w:separator/>
      </w:r>
    </w:p>
  </w:endnote>
  <w:endnote w:type="continuationSeparator" w:id="0">
    <w:p w14:paraId="0D19C2C5" w14:textId="77777777" w:rsidR="007C6BFE" w:rsidRDefault="007C6BFE" w:rsidP="001D7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BF24A" w14:textId="77777777" w:rsidR="007C6BFE" w:rsidRDefault="007C6BFE" w:rsidP="001D764E">
      <w:r>
        <w:separator/>
      </w:r>
    </w:p>
  </w:footnote>
  <w:footnote w:type="continuationSeparator" w:id="0">
    <w:p w14:paraId="606BC316" w14:textId="77777777" w:rsidR="007C6BFE" w:rsidRDefault="007C6BFE" w:rsidP="001D76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4A"/>
    <w:rsid w:val="001D764E"/>
    <w:rsid w:val="007C6BFE"/>
    <w:rsid w:val="00BD724A"/>
    <w:rsid w:val="00D25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53709"/>
  <w15:chartTrackingRefBased/>
  <w15:docId w15:val="{21FAAB29-AACB-4AF2-B32F-017C4659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76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76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D764E"/>
    <w:rPr>
      <w:sz w:val="18"/>
      <w:szCs w:val="18"/>
    </w:rPr>
  </w:style>
  <w:style w:type="paragraph" w:styleId="a5">
    <w:name w:val="footer"/>
    <w:basedOn w:val="a"/>
    <w:link w:val="a6"/>
    <w:uiPriority w:val="99"/>
    <w:unhideWhenUsed/>
    <w:rsid w:val="001D764E"/>
    <w:pPr>
      <w:tabs>
        <w:tab w:val="center" w:pos="4153"/>
        <w:tab w:val="right" w:pos="8306"/>
      </w:tabs>
      <w:snapToGrid w:val="0"/>
      <w:jc w:val="left"/>
    </w:pPr>
    <w:rPr>
      <w:sz w:val="18"/>
      <w:szCs w:val="18"/>
    </w:rPr>
  </w:style>
  <w:style w:type="character" w:customStyle="1" w:styleId="a6">
    <w:name w:val="页脚 字符"/>
    <w:basedOn w:val="a0"/>
    <w:link w:val="a5"/>
    <w:uiPriority w:val="99"/>
    <w:rsid w:val="001D764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192</Words>
  <Characters>1098</Characters>
  <Application>Microsoft Office Word</Application>
  <DocSecurity>0</DocSecurity>
  <Lines>9</Lines>
  <Paragraphs>2</Paragraphs>
  <ScaleCrop>false</ScaleCrop>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c:creator>
  <cp:keywords/>
  <dc:description/>
  <cp:lastModifiedBy>Wa</cp:lastModifiedBy>
  <cp:revision>2</cp:revision>
  <dcterms:created xsi:type="dcterms:W3CDTF">2026-01-24T14:36:00Z</dcterms:created>
  <dcterms:modified xsi:type="dcterms:W3CDTF">2026-01-24T14:38:00Z</dcterms:modified>
</cp:coreProperties>
</file>