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AAC3">
      <w:pPr>
        <w:widowControl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Supplementary Table S1.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Subgroup analysis of diagnostic performance using one-vs-rest classification.</w:t>
      </w:r>
    </w:p>
    <w:tbl>
      <w:tblPr>
        <w:tblStyle w:val="17"/>
        <w:tblpPr w:leftFromText="180" w:rightFromText="180" w:vertAnchor="page" w:horzAnchor="margin" w:tblpXSpec="center" w:tblpY="2213"/>
        <w:tblW w:w="1096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66"/>
        <w:gridCol w:w="1566"/>
        <w:gridCol w:w="1566"/>
        <w:gridCol w:w="1566"/>
        <w:gridCol w:w="1566"/>
        <w:gridCol w:w="1567"/>
      </w:tblGrid>
      <w:tr w14:paraId="39A466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  <w:vAlign w:val="center"/>
          </w:tcPr>
          <w:p w14:paraId="1A5C36A2">
            <w:pPr>
              <w:widowControl/>
              <w:wordWrap/>
              <w:spacing w:line="360" w:lineRule="exact"/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  <w:t>Subgroup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  <w:vAlign w:val="center"/>
          </w:tcPr>
          <w:p w14:paraId="5EA8975A">
            <w:pPr>
              <w:widowControl/>
              <w:wordWrap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  <w:t>Level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  <w:vAlign w:val="center"/>
          </w:tcPr>
          <w:p w14:paraId="04C341DF">
            <w:pPr>
              <w:widowControl/>
              <w:wordWrap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51C2CA3F">
            <w:pPr>
              <w:widowControl/>
              <w:wordWrap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  <w:t>Normal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38D5C29B">
            <w:pPr>
              <w:widowControl/>
              <w:wordWrap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156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7B97877A">
            <w:pPr>
              <w:widowControl/>
              <w:wordWrap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  <w:t>Moderate</w:t>
            </w:r>
          </w:p>
        </w:tc>
        <w:tc>
          <w:tcPr>
            <w:tcW w:w="1567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7F3544FC">
            <w:pPr>
              <w:widowControl/>
              <w:wordWrap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</w:rPr>
              <w:t>Severe</w:t>
            </w:r>
          </w:p>
        </w:tc>
      </w:tr>
      <w:tr w14:paraId="3CDD4B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72FDB03D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1566" w:type="dxa"/>
            <w:noWrap/>
            <w:vAlign w:val="center"/>
          </w:tcPr>
          <w:p w14:paraId="095F0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566" w:type="dxa"/>
            <w:noWrap/>
            <w:vAlign w:val="center"/>
          </w:tcPr>
          <w:p w14:paraId="1EE7E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Snore</w:t>
            </w:r>
          </w:p>
        </w:tc>
        <w:tc>
          <w:tcPr>
            <w:tcW w:w="1566" w:type="dxa"/>
            <w:noWrap/>
            <w:vAlign w:val="center"/>
          </w:tcPr>
          <w:p w14:paraId="429323C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0.79 (0.51–1.00)</w:t>
            </w:r>
          </w:p>
        </w:tc>
        <w:tc>
          <w:tcPr>
            <w:tcW w:w="1566" w:type="dxa"/>
            <w:noWrap/>
            <w:vAlign w:val="center"/>
          </w:tcPr>
          <w:p w14:paraId="21D08CA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0.87 (0.81–0.94)</w:t>
            </w:r>
          </w:p>
        </w:tc>
        <w:tc>
          <w:tcPr>
            <w:tcW w:w="1566" w:type="dxa"/>
            <w:noWrap/>
            <w:vAlign w:val="center"/>
          </w:tcPr>
          <w:p w14:paraId="58B0596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0.68 (0.58–0.78)</w:t>
            </w:r>
          </w:p>
        </w:tc>
        <w:tc>
          <w:tcPr>
            <w:tcW w:w="1567" w:type="dxa"/>
            <w:noWrap/>
            <w:vAlign w:val="center"/>
          </w:tcPr>
          <w:p w14:paraId="0061A40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0.85 (0.78–0.93)</w:t>
            </w:r>
          </w:p>
        </w:tc>
      </w:tr>
      <w:tr w14:paraId="147324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10A9FDE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647D8C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566" w:type="dxa"/>
            <w:noWrap/>
            <w:vAlign w:val="center"/>
          </w:tcPr>
          <w:p w14:paraId="3F721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Wearable</w:t>
            </w:r>
          </w:p>
        </w:tc>
        <w:tc>
          <w:tcPr>
            <w:tcW w:w="1566" w:type="dxa"/>
            <w:noWrap/>
            <w:vAlign w:val="center"/>
          </w:tcPr>
          <w:p w14:paraId="165B6F9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0.84 (0.65–1.00)</w:t>
            </w:r>
          </w:p>
        </w:tc>
        <w:tc>
          <w:tcPr>
            <w:tcW w:w="1566" w:type="dxa"/>
            <w:noWrap/>
            <w:vAlign w:val="center"/>
          </w:tcPr>
          <w:p w14:paraId="4CD53FB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0.78 (0.67–0.89)</w:t>
            </w:r>
          </w:p>
        </w:tc>
        <w:tc>
          <w:tcPr>
            <w:tcW w:w="1566" w:type="dxa"/>
            <w:noWrap/>
            <w:vAlign w:val="center"/>
          </w:tcPr>
          <w:p w14:paraId="2BFAF28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0.72 (0.60–0.84)</w:t>
            </w:r>
          </w:p>
        </w:tc>
        <w:tc>
          <w:tcPr>
            <w:tcW w:w="1567" w:type="dxa"/>
            <w:noWrap/>
            <w:vAlign w:val="center"/>
          </w:tcPr>
          <w:p w14:paraId="5536053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0.89 (0.81–0.96)</w:t>
            </w:r>
          </w:p>
        </w:tc>
      </w:tr>
      <w:tr w14:paraId="15FA02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20534AA2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1566" w:type="dxa"/>
            <w:noWrap/>
            <w:vAlign w:val="center"/>
          </w:tcPr>
          <w:p w14:paraId="3662E2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566" w:type="dxa"/>
            <w:noWrap/>
            <w:vAlign w:val="center"/>
          </w:tcPr>
          <w:p w14:paraId="0A942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Snore</w:t>
            </w:r>
          </w:p>
        </w:tc>
        <w:tc>
          <w:tcPr>
            <w:tcW w:w="1566" w:type="dxa"/>
            <w:noWrap/>
            <w:vAlign w:val="center"/>
          </w:tcPr>
          <w:p w14:paraId="71110F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0.74 (0.52–0.97)</w:t>
            </w:r>
          </w:p>
        </w:tc>
        <w:tc>
          <w:tcPr>
            <w:tcW w:w="1566" w:type="dxa"/>
            <w:noWrap/>
            <w:vAlign w:val="center"/>
          </w:tcPr>
          <w:p w14:paraId="369E89A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0.61 (0.31–0.91)</w:t>
            </w:r>
          </w:p>
        </w:tc>
        <w:tc>
          <w:tcPr>
            <w:tcW w:w="1566" w:type="dxa"/>
            <w:noWrap/>
            <w:vAlign w:val="center"/>
          </w:tcPr>
          <w:p w14:paraId="7B14203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0.70 (0.49–0.91)</w:t>
            </w:r>
          </w:p>
        </w:tc>
        <w:tc>
          <w:tcPr>
            <w:tcW w:w="1567" w:type="dxa"/>
            <w:noWrap/>
            <w:vAlign w:val="center"/>
          </w:tcPr>
          <w:p w14:paraId="4E25AA1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0.92 (0.80–1.00)</w:t>
            </w:r>
          </w:p>
        </w:tc>
      </w:tr>
      <w:tr w14:paraId="06D463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334C334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0D57C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566" w:type="dxa"/>
            <w:noWrap/>
            <w:vAlign w:val="center"/>
          </w:tcPr>
          <w:p w14:paraId="7AC3B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Wearable</w:t>
            </w:r>
          </w:p>
        </w:tc>
        <w:tc>
          <w:tcPr>
            <w:tcW w:w="1566" w:type="dxa"/>
            <w:noWrap/>
            <w:vAlign w:val="center"/>
          </w:tcPr>
          <w:p w14:paraId="42874EF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0.57 (0.28–0.85)</w:t>
            </w:r>
          </w:p>
        </w:tc>
        <w:tc>
          <w:tcPr>
            <w:tcW w:w="1566" w:type="dxa"/>
            <w:noWrap/>
            <w:vAlign w:val="center"/>
          </w:tcPr>
          <w:p w14:paraId="5BEC4F3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0.60 (0.26–0.94)</w:t>
            </w:r>
          </w:p>
        </w:tc>
        <w:tc>
          <w:tcPr>
            <w:tcW w:w="1566" w:type="dxa"/>
            <w:noWrap/>
            <w:vAlign w:val="center"/>
          </w:tcPr>
          <w:p w14:paraId="13A6C3E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0.71 (0.39–1.00)</w:t>
            </w:r>
          </w:p>
        </w:tc>
        <w:tc>
          <w:tcPr>
            <w:tcW w:w="1567" w:type="dxa"/>
            <w:noWrap/>
            <w:vAlign w:val="center"/>
          </w:tcPr>
          <w:p w14:paraId="7FB611C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0.77 (0.44–1.00)</w:t>
            </w:r>
          </w:p>
        </w:tc>
      </w:tr>
      <w:tr w14:paraId="69DD8E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1CF6EA32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566" w:type="dxa"/>
            <w:noWrap/>
            <w:vAlign w:val="center"/>
          </w:tcPr>
          <w:p w14:paraId="47835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&lt;41</w:t>
            </w:r>
          </w:p>
        </w:tc>
        <w:tc>
          <w:tcPr>
            <w:tcW w:w="1566" w:type="dxa"/>
            <w:noWrap/>
            <w:vAlign w:val="center"/>
          </w:tcPr>
          <w:p w14:paraId="13ADDA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Snore</w:t>
            </w:r>
          </w:p>
        </w:tc>
        <w:tc>
          <w:tcPr>
            <w:tcW w:w="1566" w:type="dxa"/>
            <w:noWrap/>
            <w:vAlign w:val="center"/>
          </w:tcPr>
          <w:p w14:paraId="0FAC98C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0.92 (0.84–1.00)</w:t>
            </w:r>
          </w:p>
        </w:tc>
        <w:tc>
          <w:tcPr>
            <w:tcW w:w="1566" w:type="dxa"/>
            <w:noWrap/>
            <w:vAlign w:val="center"/>
          </w:tcPr>
          <w:p w14:paraId="6B6D5B7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0.85 (0.76–0.95)</w:t>
            </w:r>
          </w:p>
        </w:tc>
        <w:tc>
          <w:tcPr>
            <w:tcW w:w="1566" w:type="dxa"/>
            <w:noWrap/>
            <w:vAlign w:val="center"/>
          </w:tcPr>
          <w:p w14:paraId="5D5AA9E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0.59 (0.44–0.75)</w:t>
            </w:r>
          </w:p>
        </w:tc>
        <w:tc>
          <w:tcPr>
            <w:tcW w:w="1567" w:type="dxa"/>
            <w:noWrap/>
            <w:vAlign w:val="center"/>
          </w:tcPr>
          <w:p w14:paraId="7A354D2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0.92 (0.85–0.99)</w:t>
            </w:r>
          </w:p>
        </w:tc>
      </w:tr>
      <w:tr w14:paraId="3FA548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73A38F5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64BECB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&lt;41</w:t>
            </w:r>
          </w:p>
        </w:tc>
        <w:tc>
          <w:tcPr>
            <w:tcW w:w="1566" w:type="dxa"/>
            <w:noWrap/>
            <w:vAlign w:val="center"/>
          </w:tcPr>
          <w:p w14:paraId="068958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Wearable</w:t>
            </w:r>
          </w:p>
        </w:tc>
        <w:tc>
          <w:tcPr>
            <w:tcW w:w="1566" w:type="dxa"/>
            <w:noWrap/>
            <w:vAlign w:val="center"/>
          </w:tcPr>
          <w:p w14:paraId="5E15346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0.83 (0.68–0.98)</w:t>
            </w:r>
          </w:p>
        </w:tc>
        <w:tc>
          <w:tcPr>
            <w:tcW w:w="1566" w:type="dxa"/>
            <w:noWrap/>
            <w:vAlign w:val="center"/>
          </w:tcPr>
          <w:p w14:paraId="6E88A16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0.65 (0.46–0.83)</w:t>
            </w:r>
          </w:p>
        </w:tc>
        <w:tc>
          <w:tcPr>
            <w:tcW w:w="1566" w:type="dxa"/>
            <w:noWrap/>
            <w:vAlign w:val="center"/>
          </w:tcPr>
          <w:p w14:paraId="0AA4863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0.73 (0.56–0.89)</w:t>
            </w:r>
          </w:p>
        </w:tc>
        <w:tc>
          <w:tcPr>
            <w:tcW w:w="1567" w:type="dxa"/>
            <w:noWrap/>
            <w:vAlign w:val="center"/>
          </w:tcPr>
          <w:p w14:paraId="64BCF23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0.90 (0.80–1.00)</w:t>
            </w:r>
          </w:p>
        </w:tc>
      </w:tr>
      <w:tr w14:paraId="21B39E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42CECD86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566" w:type="dxa"/>
            <w:noWrap/>
            <w:vAlign w:val="center"/>
          </w:tcPr>
          <w:p w14:paraId="12AF6C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≥41</w:t>
            </w:r>
          </w:p>
        </w:tc>
        <w:tc>
          <w:tcPr>
            <w:tcW w:w="1566" w:type="dxa"/>
            <w:noWrap/>
            <w:vAlign w:val="center"/>
          </w:tcPr>
          <w:p w14:paraId="6ED283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Snore</w:t>
            </w:r>
          </w:p>
        </w:tc>
        <w:tc>
          <w:tcPr>
            <w:tcW w:w="1566" w:type="dxa"/>
            <w:noWrap/>
            <w:vAlign w:val="center"/>
          </w:tcPr>
          <w:p w14:paraId="1CFC40A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0.66 (0.24–1.00)</w:t>
            </w:r>
          </w:p>
        </w:tc>
        <w:tc>
          <w:tcPr>
            <w:tcW w:w="1566" w:type="dxa"/>
            <w:noWrap/>
            <w:vAlign w:val="center"/>
          </w:tcPr>
          <w:p w14:paraId="144845B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0.85 (0.77–0.93)</w:t>
            </w:r>
          </w:p>
        </w:tc>
        <w:tc>
          <w:tcPr>
            <w:tcW w:w="1566" w:type="dxa"/>
            <w:noWrap/>
            <w:vAlign w:val="center"/>
          </w:tcPr>
          <w:p w14:paraId="33A7668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0.74 (0.63–0.85)</w:t>
            </w:r>
          </w:p>
        </w:tc>
        <w:tc>
          <w:tcPr>
            <w:tcW w:w="1567" w:type="dxa"/>
            <w:noWrap/>
            <w:vAlign w:val="center"/>
          </w:tcPr>
          <w:p w14:paraId="38153C3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0.85 (0.76–0.94)</w:t>
            </w:r>
          </w:p>
        </w:tc>
      </w:tr>
      <w:tr w14:paraId="3FFF9F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02C3995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24DF5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≥41</w:t>
            </w:r>
          </w:p>
        </w:tc>
        <w:tc>
          <w:tcPr>
            <w:tcW w:w="1566" w:type="dxa"/>
            <w:noWrap/>
            <w:vAlign w:val="center"/>
          </w:tcPr>
          <w:p w14:paraId="283B11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Wearable</w:t>
            </w:r>
          </w:p>
        </w:tc>
        <w:tc>
          <w:tcPr>
            <w:tcW w:w="1566" w:type="dxa"/>
            <w:noWrap/>
            <w:vAlign w:val="center"/>
          </w:tcPr>
          <w:p w14:paraId="7D2BA59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0.64 (0.39–0.89)</w:t>
            </w:r>
          </w:p>
        </w:tc>
        <w:tc>
          <w:tcPr>
            <w:tcW w:w="1566" w:type="dxa"/>
            <w:noWrap/>
            <w:vAlign w:val="center"/>
          </w:tcPr>
          <w:p w14:paraId="0E7D3CD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0.82 (0.71–0.93)</w:t>
            </w:r>
          </w:p>
        </w:tc>
        <w:tc>
          <w:tcPr>
            <w:tcW w:w="1566" w:type="dxa"/>
            <w:noWrap/>
            <w:vAlign w:val="center"/>
          </w:tcPr>
          <w:p w14:paraId="7593148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0.71 (0.56–0.85)</w:t>
            </w:r>
          </w:p>
        </w:tc>
        <w:tc>
          <w:tcPr>
            <w:tcW w:w="1567" w:type="dxa"/>
            <w:noWrap/>
            <w:vAlign w:val="center"/>
          </w:tcPr>
          <w:p w14:paraId="2687BA3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0.83 (0.73–0.94)</w:t>
            </w:r>
          </w:p>
        </w:tc>
      </w:tr>
      <w:tr w14:paraId="508594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4CA74008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BMI</w:t>
            </w:r>
          </w:p>
        </w:tc>
        <w:tc>
          <w:tcPr>
            <w:tcW w:w="1566" w:type="dxa"/>
            <w:noWrap/>
            <w:vAlign w:val="center"/>
          </w:tcPr>
          <w:p w14:paraId="47505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&lt;25.2</w:t>
            </w:r>
          </w:p>
        </w:tc>
        <w:tc>
          <w:tcPr>
            <w:tcW w:w="1566" w:type="dxa"/>
            <w:noWrap/>
            <w:vAlign w:val="center"/>
          </w:tcPr>
          <w:p w14:paraId="6F9441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Snore</w:t>
            </w:r>
          </w:p>
        </w:tc>
        <w:tc>
          <w:tcPr>
            <w:tcW w:w="1566" w:type="dxa"/>
            <w:noWrap/>
            <w:vAlign w:val="center"/>
          </w:tcPr>
          <w:p w14:paraId="25B2647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0.78 (0.55–1.00)</w:t>
            </w:r>
          </w:p>
        </w:tc>
        <w:tc>
          <w:tcPr>
            <w:tcW w:w="1566" w:type="dxa"/>
            <w:noWrap/>
            <w:vAlign w:val="center"/>
          </w:tcPr>
          <w:p w14:paraId="47C3E4D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0.86 (0.76–0.96)</w:t>
            </w:r>
          </w:p>
        </w:tc>
        <w:tc>
          <w:tcPr>
            <w:tcW w:w="1566" w:type="dxa"/>
            <w:noWrap/>
            <w:vAlign w:val="center"/>
          </w:tcPr>
          <w:p w14:paraId="412F093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0.60 (0.44–0.75)</w:t>
            </w:r>
          </w:p>
        </w:tc>
        <w:tc>
          <w:tcPr>
            <w:tcW w:w="1567" w:type="dxa"/>
            <w:noWrap/>
            <w:vAlign w:val="center"/>
          </w:tcPr>
          <w:p w14:paraId="448229A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0.86 (0.75–0.96)</w:t>
            </w:r>
          </w:p>
        </w:tc>
      </w:tr>
      <w:tr w14:paraId="424D1E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2F9A58D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4F4EA6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&lt;25.2</w:t>
            </w:r>
          </w:p>
        </w:tc>
        <w:tc>
          <w:tcPr>
            <w:tcW w:w="1566" w:type="dxa"/>
            <w:noWrap/>
            <w:vAlign w:val="center"/>
          </w:tcPr>
          <w:p w14:paraId="1745A6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Wearable</w:t>
            </w:r>
          </w:p>
        </w:tc>
        <w:tc>
          <w:tcPr>
            <w:tcW w:w="1566" w:type="dxa"/>
            <w:noWrap/>
            <w:vAlign w:val="center"/>
          </w:tcPr>
          <w:p w14:paraId="6623A5A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0.69 (0.50–0.89)</w:t>
            </w:r>
          </w:p>
        </w:tc>
        <w:tc>
          <w:tcPr>
            <w:tcW w:w="1566" w:type="dxa"/>
            <w:noWrap/>
            <w:vAlign w:val="center"/>
          </w:tcPr>
          <w:p w14:paraId="0095DF0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0.76 (0.58–0.94)</w:t>
            </w:r>
          </w:p>
        </w:tc>
        <w:tc>
          <w:tcPr>
            <w:tcW w:w="1566" w:type="dxa"/>
            <w:noWrap/>
            <w:vAlign w:val="center"/>
          </w:tcPr>
          <w:p w14:paraId="109A5C6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0.63 (0.44–0.81)</w:t>
            </w:r>
          </w:p>
        </w:tc>
        <w:tc>
          <w:tcPr>
            <w:tcW w:w="1567" w:type="dxa"/>
            <w:noWrap/>
            <w:vAlign w:val="center"/>
          </w:tcPr>
          <w:p w14:paraId="0CD77FC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0.87 (0.75–0.98)</w:t>
            </w:r>
          </w:p>
        </w:tc>
      </w:tr>
      <w:tr w14:paraId="4A9CE4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66" w:type="dxa"/>
            <w:noWrap/>
            <w:vAlign w:val="center"/>
          </w:tcPr>
          <w:p w14:paraId="23977DE9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BMI</w:t>
            </w:r>
          </w:p>
        </w:tc>
        <w:tc>
          <w:tcPr>
            <w:tcW w:w="1566" w:type="dxa"/>
            <w:noWrap/>
            <w:vAlign w:val="center"/>
          </w:tcPr>
          <w:p w14:paraId="05C62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≥25.2</w:t>
            </w:r>
          </w:p>
        </w:tc>
        <w:tc>
          <w:tcPr>
            <w:tcW w:w="1566" w:type="dxa"/>
            <w:noWrap/>
            <w:vAlign w:val="center"/>
          </w:tcPr>
          <w:p w14:paraId="1D47B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Snore</w:t>
            </w:r>
          </w:p>
        </w:tc>
        <w:tc>
          <w:tcPr>
            <w:tcW w:w="1566" w:type="dxa"/>
            <w:noWrap/>
            <w:vAlign w:val="center"/>
          </w:tcPr>
          <w:p w14:paraId="6264F7F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0.87 (0.69–1.00)</w:t>
            </w:r>
          </w:p>
        </w:tc>
        <w:tc>
          <w:tcPr>
            <w:tcW w:w="1566" w:type="dxa"/>
            <w:noWrap/>
            <w:vAlign w:val="center"/>
          </w:tcPr>
          <w:p w14:paraId="568AB3A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0.82 (0.74–0.91)</w:t>
            </w:r>
          </w:p>
        </w:tc>
        <w:tc>
          <w:tcPr>
            <w:tcW w:w="1566" w:type="dxa"/>
            <w:noWrap/>
            <w:vAlign w:val="center"/>
          </w:tcPr>
          <w:p w14:paraId="221AC21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0.76 (0.65–0.88)</w:t>
            </w:r>
          </w:p>
        </w:tc>
        <w:tc>
          <w:tcPr>
            <w:tcW w:w="1567" w:type="dxa"/>
            <w:noWrap/>
            <w:vAlign w:val="center"/>
          </w:tcPr>
          <w:p w14:paraId="7795D86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0.90 (0.83–0.97)</w:t>
            </w:r>
          </w:p>
        </w:tc>
      </w:tr>
      <w:tr w14:paraId="047206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Align w:val="center"/>
          </w:tcPr>
          <w:p w14:paraId="7FF6FC1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14:paraId="413290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≥25.2</w:t>
            </w:r>
          </w:p>
        </w:tc>
        <w:tc>
          <w:tcPr>
            <w:tcW w:w="1566" w:type="dxa"/>
            <w:vAlign w:val="center"/>
          </w:tcPr>
          <w:p w14:paraId="4BDC29F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Wearable</w:t>
            </w:r>
          </w:p>
        </w:tc>
        <w:tc>
          <w:tcPr>
            <w:tcW w:w="1566" w:type="dxa"/>
            <w:vAlign w:val="center"/>
          </w:tcPr>
          <w:p w14:paraId="5843170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0.89 (0.80–0.98)</w:t>
            </w:r>
          </w:p>
        </w:tc>
        <w:tc>
          <w:tcPr>
            <w:tcW w:w="1566" w:type="dxa"/>
            <w:vAlign w:val="center"/>
          </w:tcPr>
          <w:p w14:paraId="20D6BAF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0.75 (0.62–0.88)</w:t>
            </w:r>
          </w:p>
        </w:tc>
        <w:tc>
          <w:tcPr>
            <w:tcW w:w="1566" w:type="dxa"/>
            <w:vAlign w:val="center"/>
          </w:tcPr>
          <w:p w14:paraId="68CF464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0.77 (0.64–0.91)</w:t>
            </w:r>
          </w:p>
        </w:tc>
        <w:tc>
          <w:tcPr>
            <w:tcW w:w="1567" w:type="dxa"/>
            <w:vAlign w:val="center"/>
          </w:tcPr>
          <w:p w14:paraId="72C82CF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0.89 (0.80–0.97)</w:t>
            </w:r>
          </w:p>
        </w:tc>
      </w:tr>
    </w:tbl>
    <w:p w14:paraId="31A1FCA2">
      <w:pPr>
        <w:rPr>
          <w:rFonts w:ascii="Arial" w:hAnsi="Arial" w:cs="Arial"/>
          <w:sz w:val="16"/>
          <w:szCs w:val="18"/>
        </w:rPr>
      </w:pPr>
      <w:r>
        <w:rPr>
          <w:rFonts w:hint="eastAsia" w:ascii="Arial" w:hAnsi="Arial" w:cs="Arial"/>
          <w:sz w:val="16"/>
          <w:szCs w:val="18"/>
        </w:rPr>
        <w:t>a: Values are presented as AUC (95% confidence interval).</w:t>
      </w:r>
    </w:p>
    <w:p w14:paraId="71B85788">
      <w:pPr>
        <w:rPr>
          <w:rFonts w:ascii="Arial" w:hAnsi="Arial" w:cs="Arial"/>
          <w:sz w:val="16"/>
          <w:szCs w:val="18"/>
        </w:rPr>
      </w:pPr>
      <w:r>
        <w:rPr>
          <w:rFonts w:hint="eastAsia" w:ascii="Arial" w:hAnsi="Arial" w:cs="Arial"/>
          <w:sz w:val="16"/>
          <w:szCs w:val="18"/>
        </w:rPr>
        <w:t>b: Confidence intervals could not be estimated in subgroups with very small numbers of positive cases, where reliable interval estimation was not feasible.</w:t>
      </w:r>
    </w:p>
    <w:p w14:paraId="4B5826ED">
      <w:pPr>
        <w:rPr>
          <w:rFonts w:hint="eastAsia" w:ascii="Arial" w:hAnsi="Arial" w:cs="Arial" w:eastAsiaTheme="minorEastAsia"/>
          <w:sz w:val="16"/>
          <w:szCs w:val="18"/>
          <w:lang w:val="en-US" w:eastAsia="zh-CN"/>
        </w:rPr>
      </w:pPr>
      <w:r>
        <w:rPr>
          <w:rFonts w:hint="eastAsia" w:ascii="Arial" w:hAnsi="Arial" w:cs="Arial"/>
          <w:sz w:val="16"/>
          <w:szCs w:val="18"/>
        </w:rPr>
        <w:t xml:space="preserve">c: SAHS severity was classified according to PSG-derived AHI as follows: normal (AHI &lt; 5 events/h), mild (5 </w:t>
      </w:r>
      <w:r>
        <w:rPr>
          <w:rFonts w:ascii="Times New Roman" w:hAnsi="Times New Roman" w:cs="Times New Roman"/>
          <w:sz w:val="16"/>
          <w:szCs w:val="18"/>
        </w:rPr>
        <w:t>≤</w:t>
      </w:r>
      <w:r>
        <w:rPr>
          <w:rFonts w:hint="eastAsia" w:ascii="Arial" w:hAnsi="Arial" w:cs="Arial"/>
          <w:sz w:val="16"/>
          <w:szCs w:val="18"/>
        </w:rPr>
        <w:t xml:space="preserve"> AHI &lt; 15 events/h), moderate (15 </w:t>
      </w:r>
      <w:r>
        <w:rPr>
          <w:rFonts w:ascii="Times New Roman" w:hAnsi="Times New Roman" w:cs="Times New Roman"/>
          <w:sz w:val="16"/>
          <w:szCs w:val="18"/>
        </w:rPr>
        <w:t>≤</w:t>
      </w:r>
      <w:r>
        <w:rPr>
          <w:rFonts w:hint="eastAsia" w:ascii="Arial" w:hAnsi="Arial" w:cs="Arial"/>
          <w:sz w:val="16"/>
          <w:szCs w:val="18"/>
        </w:rPr>
        <w:t xml:space="preserve"> AHI &lt; 30 events/h), and severe (AHI </w:t>
      </w:r>
      <w:r>
        <w:rPr>
          <w:rFonts w:ascii="Times New Roman" w:hAnsi="Times New Roman" w:cs="Times New Roman"/>
          <w:sz w:val="16"/>
          <w:szCs w:val="18"/>
        </w:rPr>
        <w:t>≥</w:t>
      </w:r>
      <w:r>
        <w:rPr>
          <w:rFonts w:hint="eastAsia" w:ascii="Arial" w:hAnsi="Arial" w:cs="Arial"/>
          <w:sz w:val="16"/>
          <w:szCs w:val="18"/>
        </w:rPr>
        <w:t xml:space="preserve"> 30 events/h)</w:t>
      </w:r>
      <w:r>
        <w:rPr>
          <w:rFonts w:hint="eastAsia" w:ascii="Arial" w:hAnsi="Arial" w:cs="Arial"/>
          <w:sz w:val="16"/>
          <w:szCs w:val="18"/>
          <w:lang w:val="en-US" w:eastAsia="zh-CN"/>
        </w:rPr>
        <w:t>.</w:t>
      </w:r>
      <w:bookmarkStart w:id="0" w:name="_GoBack"/>
      <w:bookmarkEnd w:id="0"/>
    </w:p>
    <w:p w14:paraId="1D6E50A3">
      <w:pPr>
        <w:rPr>
          <w:rFonts w:hint="default" w:ascii="Arial" w:hAnsi="Arial" w:cs="Arial" w:eastAsiaTheme="minorEastAsia"/>
          <w:sz w:val="16"/>
          <w:szCs w:val="18"/>
          <w:lang w:val="en-US" w:eastAsia="zh-CN"/>
        </w:rPr>
      </w:pPr>
      <w:r>
        <w:rPr>
          <w:rFonts w:hint="eastAsia" w:ascii="Arial" w:hAnsi="Arial" w:cs="Arial"/>
          <w:sz w:val="16"/>
          <w:szCs w:val="18"/>
          <w:lang w:val="en-US" w:eastAsia="zh-CN"/>
        </w:rPr>
        <w:t>d: Subgroup analyses were performed using a one-versus-rest (OVR) approach, in which each severity category was compared against all remaining categories.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DC"/>
    <w:rsid w:val="00244406"/>
    <w:rsid w:val="004D0977"/>
    <w:rsid w:val="005E67F6"/>
    <w:rsid w:val="006E1274"/>
    <w:rsid w:val="008208CF"/>
    <w:rsid w:val="00B1230D"/>
    <w:rsid w:val="00B80753"/>
    <w:rsid w:val="00CE7A84"/>
    <w:rsid w:val="00D60841"/>
    <w:rsid w:val="00D811DC"/>
    <w:rsid w:val="00E913B2"/>
    <w:rsid w:val="277272C6"/>
    <w:rsid w:val="76D2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翻译小标题"/>
    <w:basedOn w:val="1"/>
    <w:link w:val="18"/>
    <w:qFormat/>
    <w:uiPriority w:val="0"/>
    <w:rPr>
      <w:b/>
      <w:i/>
      <w:sz w:val="28"/>
    </w:rPr>
  </w:style>
  <w:style w:type="table" w:customStyle="1" w:styleId="17">
    <w:name w:val="三线表"/>
    <w:basedOn w:val="13"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 w:eastAsia="宋体"/>
        <w:b w:val="0"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8">
    <w:name w:val="翻译小标题 字符"/>
    <w:basedOn w:val="15"/>
    <w:link w:val="16"/>
    <w:uiPriority w:val="0"/>
    <w:rPr>
      <w:b/>
      <w:i/>
      <w:sz w:val="28"/>
    </w:rPr>
  </w:style>
  <w:style w:type="table" w:customStyle="1" w:styleId="19">
    <w:name w:val="三线图"/>
    <w:basedOn w:val="13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 w:eastAsia="宋体"/>
        <w:b w:val="0"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0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5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5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1321</Characters>
  <Lines>10</Lines>
  <Paragraphs>3</Paragraphs>
  <TotalTime>116</TotalTime>
  <ScaleCrop>false</ScaleCrop>
  <LinksUpToDate>false</LinksUpToDate>
  <CharactersWithSpaces>1442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2026-04-12T20:13:00Z</dcterms:created>
  <dc:creator>ghy</dc:creator>
  <cp:lastModifiedBy>关皓妍</cp:lastModifiedBy>
  <dcterms:modified xsi:type="dcterms:W3CDTF">2026-04-15T16:56:22Z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eyJoZGlkIjoiYzA1ODlmOTRhNDliOGU5NzAyOWFjNDBlMjZkYWZjZDkiLCJ1c2VySWQiOiIyNjgzNDgwNzQifQ==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29A3EE841FBC4D50B09F8D64DC7BB1C6_13</vt:lpwstr>
  </property>
</Properties>
</file>