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594F" w14:textId="4CA7345E" w:rsidR="0045639E" w:rsidRDefault="00C93770">
      <w:pPr>
        <w:rPr>
          <w:rFonts w:ascii="Times New Roman" w:hAnsi="Times New Roman" w:cs="Times New Roman"/>
        </w:rPr>
      </w:pPr>
      <w:bookmarkStart w:id="0" w:name="OLE_LINK50"/>
      <w:r>
        <w:rPr>
          <w:noProof/>
        </w:rPr>
        <w:drawing>
          <wp:inline distT="0" distB="0" distL="0" distR="0" wp14:anchorId="298BF85A" wp14:editId="1BB60FD2">
            <wp:extent cx="5274310" cy="3956050"/>
            <wp:effectExtent l="0" t="0" r="2540" b="6350"/>
            <wp:docPr id="2864676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1BD616A0" w14:textId="77777777" w:rsidR="0045639E" w:rsidRDefault="00000000">
      <w:pPr>
        <w:rPr>
          <w:rFonts w:ascii="Times New Roman" w:hAnsi="Times New Roman"/>
          <w:sz w:val="18"/>
          <w:szCs w:val="18"/>
          <w:lang w:bidi="ar"/>
        </w:rPr>
      </w:pPr>
      <w:r>
        <w:rPr>
          <w:rFonts w:ascii="Times New Roman" w:hAnsi="Times New Roman"/>
          <w:sz w:val="18"/>
          <w:szCs w:val="18"/>
          <w:lang w:bidi="ar"/>
        </w:rPr>
        <w:t>Figure S1. Model diagnostics for ARIMA models of ectopic pregnancy mortality (1982–2021)</w:t>
      </w:r>
      <w:r>
        <w:rPr>
          <w:rFonts w:ascii="Times New Roman" w:hAnsi="Times New Roman"/>
          <w:sz w:val="18"/>
          <w:szCs w:val="18"/>
          <w:lang w:bidi="ar"/>
        </w:rPr>
        <w:br/>
        <w:t>Residual diagnostics of the final ARIMA models for the global and national time series (Global, Brazil, China, India, Russian Federation, and South Africa). For each model, the plots include: (1) the autocorrelation function (ACF) and partial autocorrelation function (PACF) of residuals used to assess serial correlation; (2) the Q–Q plot for testing normality of residuals; and (3) the residuals versus fitted values plot to evaluate homoscedasticity and independence. No substantial autocorrelation or systematic pattern was observed, indicating that the fitted ARIMA models adequately captured the temporal structure of each series.</w:t>
      </w:r>
    </w:p>
    <w:bookmarkEnd w:id="0"/>
    <w:p w14:paraId="407A8792" w14:textId="77777777" w:rsidR="009C0A97" w:rsidRDefault="009C0A97">
      <w:pPr>
        <w:rPr>
          <w:rFonts w:ascii="Times New Roman" w:hAnsi="Times New Roman" w:cs="Times New Roman"/>
        </w:rPr>
        <w:sectPr w:rsidR="009C0A97">
          <w:pgSz w:w="11906" w:h="16838"/>
          <w:pgMar w:top="1440" w:right="1800" w:bottom="1440" w:left="1800" w:header="851" w:footer="992" w:gutter="0"/>
          <w:cols w:space="425"/>
          <w:docGrid w:type="lines" w:linePitch="312"/>
        </w:sectPr>
      </w:pPr>
    </w:p>
    <w:p w14:paraId="274BA7F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lastRenderedPageBreak/>
        <w:t>Table S1: ARIMA model selection criteria and unit root test results.</w:t>
      </w:r>
    </w:p>
    <w:tbl>
      <w:tblPr>
        <w:tblW w:w="10680" w:type="dxa"/>
        <w:tblInd w:w="98" w:type="dxa"/>
        <w:tblLook w:val="04A0" w:firstRow="1" w:lastRow="0" w:firstColumn="1" w:lastColumn="0" w:noHBand="0" w:noVBand="1"/>
      </w:tblPr>
      <w:tblGrid>
        <w:gridCol w:w="2270"/>
        <w:gridCol w:w="950"/>
        <w:gridCol w:w="950"/>
        <w:gridCol w:w="950"/>
        <w:gridCol w:w="1390"/>
        <w:gridCol w:w="1390"/>
        <w:gridCol w:w="1390"/>
        <w:gridCol w:w="1390"/>
      </w:tblGrid>
      <w:tr w:rsidR="009C0A97" w:rsidRPr="009C0A97" w14:paraId="07F0A817" w14:textId="77777777">
        <w:trPr>
          <w:trHeight w:val="420"/>
        </w:trPr>
        <w:tc>
          <w:tcPr>
            <w:tcW w:w="2270" w:type="dxa"/>
            <w:tcBorders>
              <w:top w:val="single" w:sz="12" w:space="0" w:color="000000"/>
              <w:left w:val="nil"/>
              <w:bottom w:val="single" w:sz="12" w:space="0" w:color="000000"/>
              <w:right w:val="nil"/>
            </w:tcBorders>
            <w:noWrap/>
            <w:vAlign w:val="center"/>
            <w:hideMark/>
          </w:tcPr>
          <w:p w14:paraId="1C76D468" w14:textId="77777777" w:rsidR="009C0A97" w:rsidRPr="009C0A97" w:rsidRDefault="009C0A97" w:rsidP="009C0A97">
            <w:pPr>
              <w:rPr>
                <w:rFonts w:ascii="Times New Roman" w:hAnsi="Times New Roman" w:cs="Times New Roman"/>
                <w:b/>
                <w:bCs/>
              </w:rPr>
            </w:pPr>
            <w:r w:rsidRPr="009C0A97">
              <w:rPr>
                <w:rFonts w:ascii="Times New Roman" w:hAnsi="Times New Roman" w:cs="Times New Roman"/>
                <w:b/>
                <w:bCs/>
              </w:rPr>
              <w:t>Country</w:t>
            </w:r>
          </w:p>
        </w:tc>
        <w:tc>
          <w:tcPr>
            <w:tcW w:w="950" w:type="dxa"/>
            <w:tcBorders>
              <w:top w:val="single" w:sz="12" w:space="0" w:color="000000"/>
              <w:left w:val="nil"/>
              <w:bottom w:val="single" w:sz="12" w:space="0" w:color="000000"/>
              <w:right w:val="nil"/>
            </w:tcBorders>
            <w:noWrap/>
            <w:vAlign w:val="center"/>
            <w:hideMark/>
          </w:tcPr>
          <w:p w14:paraId="15BF61AE" w14:textId="77777777" w:rsidR="009C0A97" w:rsidRPr="009C0A97" w:rsidRDefault="009C0A97" w:rsidP="009C0A97">
            <w:pPr>
              <w:rPr>
                <w:rFonts w:ascii="Times New Roman" w:hAnsi="Times New Roman" w:cs="Times New Roman"/>
                <w:b/>
                <w:bCs/>
              </w:rPr>
            </w:pPr>
            <w:r w:rsidRPr="009C0A97">
              <w:rPr>
                <w:rFonts w:ascii="Times New Roman" w:hAnsi="Times New Roman" w:cs="Times New Roman"/>
                <w:b/>
                <w:bCs/>
              </w:rPr>
              <w:t>p</w:t>
            </w:r>
          </w:p>
        </w:tc>
        <w:tc>
          <w:tcPr>
            <w:tcW w:w="950" w:type="dxa"/>
            <w:tcBorders>
              <w:top w:val="single" w:sz="12" w:space="0" w:color="000000"/>
              <w:left w:val="nil"/>
              <w:bottom w:val="single" w:sz="12" w:space="0" w:color="000000"/>
              <w:right w:val="nil"/>
            </w:tcBorders>
            <w:noWrap/>
            <w:vAlign w:val="center"/>
            <w:hideMark/>
          </w:tcPr>
          <w:p w14:paraId="6A12FB68" w14:textId="77777777" w:rsidR="009C0A97" w:rsidRPr="009C0A97" w:rsidRDefault="009C0A97" w:rsidP="009C0A97">
            <w:pPr>
              <w:rPr>
                <w:rFonts w:ascii="Times New Roman" w:hAnsi="Times New Roman" w:cs="Times New Roman"/>
                <w:b/>
                <w:bCs/>
              </w:rPr>
            </w:pPr>
            <w:r w:rsidRPr="009C0A97">
              <w:rPr>
                <w:rFonts w:ascii="Times New Roman" w:hAnsi="Times New Roman" w:cs="Times New Roman"/>
                <w:b/>
                <w:bCs/>
              </w:rPr>
              <w:t>d</w:t>
            </w:r>
          </w:p>
        </w:tc>
        <w:tc>
          <w:tcPr>
            <w:tcW w:w="950" w:type="dxa"/>
            <w:tcBorders>
              <w:top w:val="single" w:sz="12" w:space="0" w:color="000000"/>
              <w:left w:val="nil"/>
              <w:bottom w:val="single" w:sz="12" w:space="0" w:color="000000"/>
              <w:right w:val="nil"/>
            </w:tcBorders>
            <w:noWrap/>
            <w:vAlign w:val="center"/>
            <w:hideMark/>
          </w:tcPr>
          <w:p w14:paraId="7543A6E6" w14:textId="77777777" w:rsidR="009C0A97" w:rsidRPr="009C0A97" w:rsidRDefault="009C0A97" w:rsidP="009C0A97">
            <w:pPr>
              <w:rPr>
                <w:rFonts w:ascii="Times New Roman" w:hAnsi="Times New Roman" w:cs="Times New Roman"/>
                <w:b/>
                <w:bCs/>
              </w:rPr>
            </w:pPr>
            <w:r w:rsidRPr="009C0A97">
              <w:rPr>
                <w:rFonts w:ascii="Times New Roman" w:hAnsi="Times New Roman" w:cs="Times New Roman"/>
                <w:b/>
                <w:bCs/>
              </w:rPr>
              <w:t>q</w:t>
            </w:r>
          </w:p>
        </w:tc>
        <w:tc>
          <w:tcPr>
            <w:tcW w:w="1390" w:type="dxa"/>
            <w:tcBorders>
              <w:top w:val="single" w:sz="12" w:space="0" w:color="000000"/>
              <w:left w:val="nil"/>
              <w:bottom w:val="single" w:sz="12" w:space="0" w:color="000000"/>
              <w:right w:val="nil"/>
            </w:tcBorders>
            <w:noWrap/>
            <w:vAlign w:val="center"/>
            <w:hideMark/>
          </w:tcPr>
          <w:p w14:paraId="3F66AD1B" w14:textId="77777777" w:rsidR="009C0A97" w:rsidRPr="009C0A97" w:rsidRDefault="009C0A97" w:rsidP="009C0A97">
            <w:pPr>
              <w:rPr>
                <w:rFonts w:ascii="Times New Roman" w:hAnsi="Times New Roman" w:cs="Times New Roman"/>
                <w:b/>
                <w:bCs/>
              </w:rPr>
            </w:pPr>
            <w:r w:rsidRPr="009C0A97">
              <w:rPr>
                <w:rFonts w:ascii="Times New Roman" w:hAnsi="Times New Roman" w:cs="Times New Roman"/>
                <w:b/>
                <w:bCs/>
              </w:rPr>
              <w:t>BIC</w:t>
            </w:r>
          </w:p>
        </w:tc>
        <w:tc>
          <w:tcPr>
            <w:tcW w:w="1390" w:type="dxa"/>
            <w:tcBorders>
              <w:top w:val="single" w:sz="12" w:space="0" w:color="000000"/>
              <w:left w:val="nil"/>
              <w:bottom w:val="single" w:sz="12" w:space="0" w:color="000000"/>
              <w:right w:val="nil"/>
            </w:tcBorders>
            <w:noWrap/>
            <w:vAlign w:val="center"/>
            <w:hideMark/>
          </w:tcPr>
          <w:p w14:paraId="610BBFD8" w14:textId="77777777" w:rsidR="009C0A97" w:rsidRPr="009C0A97" w:rsidRDefault="009C0A97" w:rsidP="009C0A97">
            <w:pPr>
              <w:rPr>
                <w:rFonts w:ascii="Times New Roman" w:hAnsi="Times New Roman" w:cs="Times New Roman"/>
                <w:b/>
                <w:bCs/>
              </w:rPr>
            </w:pPr>
            <w:proofErr w:type="spellStart"/>
            <w:r w:rsidRPr="009C0A97">
              <w:rPr>
                <w:rFonts w:ascii="Times New Roman" w:hAnsi="Times New Roman" w:cs="Times New Roman"/>
                <w:b/>
                <w:bCs/>
              </w:rPr>
              <w:t>ADF_p</w:t>
            </w:r>
            <w:proofErr w:type="spellEnd"/>
          </w:p>
        </w:tc>
        <w:tc>
          <w:tcPr>
            <w:tcW w:w="1390" w:type="dxa"/>
            <w:tcBorders>
              <w:top w:val="single" w:sz="12" w:space="0" w:color="000000"/>
              <w:left w:val="nil"/>
              <w:bottom w:val="single" w:sz="12" w:space="0" w:color="000000"/>
              <w:right w:val="nil"/>
            </w:tcBorders>
            <w:noWrap/>
            <w:vAlign w:val="center"/>
            <w:hideMark/>
          </w:tcPr>
          <w:p w14:paraId="1ACBB5E9" w14:textId="77777777" w:rsidR="009C0A97" w:rsidRPr="009C0A97" w:rsidRDefault="009C0A97" w:rsidP="009C0A97">
            <w:pPr>
              <w:rPr>
                <w:rFonts w:ascii="Times New Roman" w:hAnsi="Times New Roman" w:cs="Times New Roman"/>
                <w:b/>
                <w:bCs/>
              </w:rPr>
            </w:pPr>
            <w:proofErr w:type="spellStart"/>
            <w:r w:rsidRPr="009C0A97">
              <w:rPr>
                <w:rFonts w:ascii="Times New Roman" w:hAnsi="Times New Roman" w:cs="Times New Roman"/>
                <w:b/>
                <w:bCs/>
              </w:rPr>
              <w:t>KPSS_p</w:t>
            </w:r>
            <w:proofErr w:type="spellEnd"/>
          </w:p>
        </w:tc>
        <w:tc>
          <w:tcPr>
            <w:tcW w:w="1390" w:type="dxa"/>
            <w:tcBorders>
              <w:top w:val="single" w:sz="12" w:space="0" w:color="000000"/>
              <w:left w:val="nil"/>
              <w:bottom w:val="single" w:sz="12" w:space="0" w:color="000000"/>
              <w:right w:val="nil"/>
            </w:tcBorders>
            <w:noWrap/>
            <w:vAlign w:val="center"/>
            <w:hideMark/>
          </w:tcPr>
          <w:p w14:paraId="140E6977" w14:textId="77777777" w:rsidR="009C0A97" w:rsidRPr="009C0A97" w:rsidRDefault="009C0A97" w:rsidP="009C0A97">
            <w:pPr>
              <w:rPr>
                <w:rFonts w:ascii="Times New Roman" w:hAnsi="Times New Roman" w:cs="Times New Roman"/>
                <w:b/>
                <w:bCs/>
              </w:rPr>
            </w:pPr>
            <w:proofErr w:type="spellStart"/>
            <w:r w:rsidRPr="009C0A97">
              <w:rPr>
                <w:rFonts w:ascii="Times New Roman" w:hAnsi="Times New Roman" w:cs="Times New Roman"/>
                <w:b/>
                <w:bCs/>
              </w:rPr>
              <w:t>LjungBox_p</w:t>
            </w:r>
            <w:proofErr w:type="spellEnd"/>
          </w:p>
        </w:tc>
      </w:tr>
      <w:tr w:rsidR="009C0A97" w:rsidRPr="009C0A97" w14:paraId="7FEB9644" w14:textId="77777777">
        <w:trPr>
          <w:trHeight w:val="360"/>
        </w:trPr>
        <w:tc>
          <w:tcPr>
            <w:tcW w:w="0" w:type="auto"/>
            <w:noWrap/>
            <w:vAlign w:val="center"/>
            <w:hideMark/>
          </w:tcPr>
          <w:p w14:paraId="366D3420"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Global</w:t>
            </w:r>
          </w:p>
        </w:tc>
        <w:tc>
          <w:tcPr>
            <w:tcW w:w="0" w:type="auto"/>
            <w:noWrap/>
            <w:vAlign w:val="center"/>
            <w:hideMark/>
          </w:tcPr>
          <w:p w14:paraId="16758B31"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366988EE"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2</w:t>
            </w:r>
          </w:p>
        </w:tc>
        <w:tc>
          <w:tcPr>
            <w:tcW w:w="0" w:type="auto"/>
            <w:noWrap/>
            <w:vAlign w:val="center"/>
            <w:hideMark/>
          </w:tcPr>
          <w:p w14:paraId="09B6D9CC"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46CE1797"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-247.496</w:t>
            </w:r>
          </w:p>
        </w:tc>
        <w:tc>
          <w:tcPr>
            <w:tcW w:w="0" w:type="auto"/>
            <w:noWrap/>
            <w:vAlign w:val="center"/>
            <w:hideMark/>
          </w:tcPr>
          <w:p w14:paraId="6B6BC35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0.8683</w:t>
            </w:r>
          </w:p>
        </w:tc>
        <w:tc>
          <w:tcPr>
            <w:tcW w:w="0" w:type="auto"/>
            <w:noWrap/>
            <w:vAlign w:val="center"/>
            <w:hideMark/>
          </w:tcPr>
          <w:p w14:paraId="20319F0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w:t>
            </w:r>
          </w:p>
        </w:tc>
        <w:tc>
          <w:tcPr>
            <w:tcW w:w="0" w:type="auto"/>
            <w:noWrap/>
            <w:vAlign w:val="center"/>
            <w:hideMark/>
          </w:tcPr>
          <w:p w14:paraId="2AAE687F"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0.4428</w:t>
            </w:r>
          </w:p>
        </w:tc>
      </w:tr>
      <w:tr w:rsidR="009C0A97" w:rsidRPr="009C0A97" w14:paraId="66E1C986" w14:textId="77777777">
        <w:trPr>
          <w:trHeight w:val="360"/>
        </w:trPr>
        <w:tc>
          <w:tcPr>
            <w:tcW w:w="0" w:type="auto"/>
            <w:noWrap/>
            <w:vAlign w:val="center"/>
            <w:hideMark/>
          </w:tcPr>
          <w:p w14:paraId="0BF0AF82"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Brazil</w:t>
            </w:r>
          </w:p>
        </w:tc>
        <w:tc>
          <w:tcPr>
            <w:tcW w:w="0" w:type="auto"/>
            <w:noWrap/>
            <w:vAlign w:val="center"/>
            <w:hideMark/>
          </w:tcPr>
          <w:p w14:paraId="2B89CAFF"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603D580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w:t>
            </w:r>
          </w:p>
        </w:tc>
        <w:tc>
          <w:tcPr>
            <w:tcW w:w="0" w:type="auto"/>
            <w:noWrap/>
            <w:vAlign w:val="center"/>
            <w:hideMark/>
          </w:tcPr>
          <w:p w14:paraId="2C66D1A5"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7F857D41"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-60.028</w:t>
            </w:r>
          </w:p>
        </w:tc>
        <w:tc>
          <w:tcPr>
            <w:tcW w:w="0" w:type="auto"/>
            <w:noWrap/>
            <w:vAlign w:val="center"/>
            <w:hideMark/>
          </w:tcPr>
          <w:p w14:paraId="3F233068"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0.9386</w:t>
            </w:r>
          </w:p>
        </w:tc>
        <w:tc>
          <w:tcPr>
            <w:tcW w:w="0" w:type="auto"/>
            <w:noWrap/>
            <w:vAlign w:val="center"/>
            <w:hideMark/>
          </w:tcPr>
          <w:p w14:paraId="4404E11E"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w:t>
            </w:r>
          </w:p>
        </w:tc>
        <w:tc>
          <w:tcPr>
            <w:tcW w:w="0" w:type="auto"/>
            <w:noWrap/>
            <w:vAlign w:val="center"/>
            <w:hideMark/>
          </w:tcPr>
          <w:p w14:paraId="0A3D25DA"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0.8205</w:t>
            </w:r>
          </w:p>
        </w:tc>
      </w:tr>
      <w:tr w:rsidR="009C0A97" w:rsidRPr="009C0A97" w14:paraId="04B997C9" w14:textId="77777777">
        <w:trPr>
          <w:trHeight w:val="360"/>
        </w:trPr>
        <w:tc>
          <w:tcPr>
            <w:tcW w:w="0" w:type="auto"/>
            <w:noWrap/>
            <w:vAlign w:val="center"/>
            <w:hideMark/>
          </w:tcPr>
          <w:p w14:paraId="7EFD15C2"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Russian Federation</w:t>
            </w:r>
          </w:p>
        </w:tc>
        <w:tc>
          <w:tcPr>
            <w:tcW w:w="0" w:type="auto"/>
            <w:noWrap/>
            <w:vAlign w:val="center"/>
            <w:hideMark/>
          </w:tcPr>
          <w:p w14:paraId="4E38ABE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6F26F968"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w:t>
            </w:r>
          </w:p>
        </w:tc>
        <w:tc>
          <w:tcPr>
            <w:tcW w:w="0" w:type="auto"/>
            <w:noWrap/>
            <w:vAlign w:val="center"/>
            <w:hideMark/>
          </w:tcPr>
          <w:p w14:paraId="453AF1BC"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015882F5"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-92.943</w:t>
            </w:r>
          </w:p>
        </w:tc>
        <w:tc>
          <w:tcPr>
            <w:tcW w:w="0" w:type="auto"/>
            <w:noWrap/>
            <w:vAlign w:val="center"/>
            <w:hideMark/>
          </w:tcPr>
          <w:p w14:paraId="3BA49352"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0.8404</w:t>
            </w:r>
          </w:p>
        </w:tc>
        <w:tc>
          <w:tcPr>
            <w:tcW w:w="0" w:type="auto"/>
            <w:noWrap/>
            <w:vAlign w:val="center"/>
            <w:hideMark/>
          </w:tcPr>
          <w:p w14:paraId="33B491F9"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w:t>
            </w:r>
          </w:p>
        </w:tc>
        <w:tc>
          <w:tcPr>
            <w:tcW w:w="0" w:type="auto"/>
            <w:noWrap/>
            <w:vAlign w:val="center"/>
            <w:hideMark/>
          </w:tcPr>
          <w:p w14:paraId="3150D2F4"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0.832</w:t>
            </w:r>
          </w:p>
        </w:tc>
      </w:tr>
      <w:tr w:rsidR="009C0A97" w:rsidRPr="009C0A97" w14:paraId="1AA692A8" w14:textId="77777777">
        <w:trPr>
          <w:trHeight w:val="360"/>
        </w:trPr>
        <w:tc>
          <w:tcPr>
            <w:tcW w:w="0" w:type="auto"/>
            <w:noWrap/>
            <w:vAlign w:val="center"/>
            <w:hideMark/>
          </w:tcPr>
          <w:p w14:paraId="5F00B5E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India</w:t>
            </w:r>
          </w:p>
        </w:tc>
        <w:tc>
          <w:tcPr>
            <w:tcW w:w="0" w:type="auto"/>
            <w:noWrap/>
            <w:vAlign w:val="center"/>
            <w:hideMark/>
          </w:tcPr>
          <w:p w14:paraId="394EA45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1902DC58"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2</w:t>
            </w:r>
          </w:p>
        </w:tc>
        <w:tc>
          <w:tcPr>
            <w:tcW w:w="0" w:type="auto"/>
            <w:noWrap/>
            <w:vAlign w:val="center"/>
            <w:hideMark/>
          </w:tcPr>
          <w:p w14:paraId="1DCBEDCB"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2</w:t>
            </w:r>
          </w:p>
        </w:tc>
        <w:tc>
          <w:tcPr>
            <w:tcW w:w="0" w:type="auto"/>
            <w:noWrap/>
            <w:vAlign w:val="center"/>
            <w:hideMark/>
          </w:tcPr>
          <w:p w14:paraId="336E45B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-147.904</w:t>
            </w:r>
          </w:p>
        </w:tc>
        <w:tc>
          <w:tcPr>
            <w:tcW w:w="0" w:type="auto"/>
            <w:noWrap/>
            <w:vAlign w:val="center"/>
            <w:hideMark/>
          </w:tcPr>
          <w:p w14:paraId="28751D1A"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0.7634</w:t>
            </w:r>
          </w:p>
        </w:tc>
        <w:tc>
          <w:tcPr>
            <w:tcW w:w="0" w:type="auto"/>
            <w:noWrap/>
            <w:vAlign w:val="center"/>
            <w:hideMark/>
          </w:tcPr>
          <w:p w14:paraId="2FEA3AF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0.0105</w:t>
            </w:r>
          </w:p>
        </w:tc>
        <w:tc>
          <w:tcPr>
            <w:tcW w:w="0" w:type="auto"/>
            <w:noWrap/>
            <w:vAlign w:val="center"/>
            <w:hideMark/>
          </w:tcPr>
          <w:p w14:paraId="47E4413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0.5245</w:t>
            </w:r>
          </w:p>
        </w:tc>
      </w:tr>
      <w:tr w:rsidR="009C0A97" w:rsidRPr="009C0A97" w14:paraId="0CEB959D" w14:textId="77777777">
        <w:trPr>
          <w:trHeight w:val="360"/>
        </w:trPr>
        <w:tc>
          <w:tcPr>
            <w:tcW w:w="0" w:type="auto"/>
            <w:noWrap/>
            <w:vAlign w:val="center"/>
            <w:hideMark/>
          </w:tcPr>
          <w:p w14:paraId="0354E8F0"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China</w:t>
            </w:r>
          </w:p>
        </w:tc>
        <w:tc>
          <w:tcPr>
            <w:tcW w:w="0" w:type="auto"/>
            <w:noWrap/>
            <w:vAlign w:val="center"/>
            <w:hideMark/>
          </w:tcPr>
          <w:p w14:paraId="6B78F19D"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19D9F73F"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2</w:t>
            </w:r>
          </w:p>
        </w:tc>
        <w:tc>
          <w:tcPr>
            <w:tcW w:w="0" w:type="auto"/>
            <w:noWrap/>
            <w:vAlign w:val="center"/>
            <w:hideMark/>
          </w:tcPr>
          <w:p w14:paraId="59EEE2F5"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noWrap/>
            <w:vAlign w:val="center"/>
            <w:hideMark/>
          </w:tcPr>
          <w:p w14:paraId="3C85BE40"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-151.78</w:t>
            </w:r>
          </w:p>
        </w:tc>
        <w:tc>
          <w:tcPr>
            <w:tcW w:w="0" w:type="auto"/>
            <w:noWrap/>
            <w:vAlign w:val="center"/>
            <w:hideMark/>
          </w:tcPr>
          <w:p w14:paraId="71E070A4"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0.9755</w:t>
            </w:r>
          </w:p>
        </w:tc>
        <w:tc>
          <w:tcPr>
            <w:tcW w:w="0" w:type="auto"/>
            <w:noWrap/>
            <w:vAlign w:val="center"/>
            <w:hideMark/>
          </w:tcPr>
          <w:p w14:paraId="4A4E4A2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w:t>
            </w:r>
          </w:p>
        </w:tc>
        <w:tc>
          <w:tcPr>
            <w:tcW w:w="0" w:type="auto"/>
            <w:noWrap/>
            <w:vAlign w:val="center"/>
            <w:hideMark/>
          </w:tcPr>
          <w:p w14:paraId="387F765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0.6386</w:t>
            </w:r>
          </w:p>
        </w:tc>
      </w:tr>
      <w:tr w:rsidR="009C0A97" w:rsidRPr="009C0A97" w14:paraId="3FC9F152" w14:textId="77777777">
        <w:trPr>
          <w:trHeight w:val="360"/>
        </w:trPr>
        <w:tc>
          <w:tcPr>
            <w:tcW w:w="0" w:type="auto"/>
            <w:tcBorders>
              <w:top w:val="nil"/>
              <w:left w:val="nil"/>
              <w:bottom w:val="single" w:sz="12" w:space="0" w:color="000000"/>
              <w:right w:val="nil"/>
            </w:tcBorders>
            <w:noWrap/>
            <w:vAlign w:val="center"/>
            <w:hideMark/>
          </w:tcPr>
          <w:p w14:paraId="44D76FBE"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South Africa</w:t>
            </w:r>
          </w:p>
        </w:tc>
        <w:tc>
          <w:tcPr>
            <w:tcW w:w="0" w:type="auto"/>
            <w:tcBorders>
              <w:top w:val="nil"/>
              <w:left w:val="nil"/>
              <w:bottom w:val="single" w:sz="12" w:space="0" w:color="000000"/>
              <w:right w:val="nil"/>
            </w:tcBorders>
            <w:noWrap/>
            <w:vAlign w:val="center"/>
            <w:hideMark/>
          </w:tcPr>
          <w:p w14:paraId="17E69F59"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w:t>
            </w:r>
          </w:p>
        </w:tc>
        <w:tc>
          <w:tcPr>
            <w:tcW w:w="0" w:type="auto"/>
            <w:tcBorders>
              <w:top w:val="nil"/>
              <w:left w:val="nil"/>
              <w:bottom w:val="single" w:sz="12" w:space="0" w:color="000000"/>
              <w:right w:val="nil"/>
            </w:tcBorders>
            <w:noWrap/>
            <w:vAlign w:val="center"/>
            <w:hideMark/>
          </w:tcPr>
          <w:p w14:paraId="057BCC3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1</w:t>
            </w:r>
          </w:p>
        </w:tc>
        <w:tc>
          <w:tcPr>
            <w:tcW w:w="0" w:type="auto"/>
            <w:tcBorders>
              <w:top w:val="nil"/>
              <w:left w:val="nil"/>
              <w:bottom w:val="single" w:sz="12" w:space="0" w:color="000000"/>
              <w:right w:val="nil"/>
            </w:tcBorders>
            <w:noWrap/>
            <w:vAlign w:val="center"/>
            <w:hideMark/>
          </w:tcPr>
          <w:p w14:paraId="7955F3E7"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w:t>
            </w:r>
          </w:p>
        </w:tc>
        <w:tc>
          <w:tcPr>
            <w:tcW w:w="0" w:type="auto"/>
            <w:tcBorders>
              <w:top w:val="nil"/>
              <w:left w:val="nil"/>
              <w:bottom w:val="single" w:sz="12" w:space="0" w:color="000000"/>
              <w:right w:val="nil"/>
            </w:tcBorders>
            <w:noWrap/>
            <w:vAlign w:val="center"/>
            <w:hideMark/>
          </w:tcPr>
          <w:p w14:paraId="717ADF46"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-43.047</w:t>
            </w:r>
          </w:p>
        </w:tc>
        <w:tc>
          <w:tcPr>
            <w:tcW w:w="0" w:type="auto"/>
            <w:tcBorders>
              <w:top w:val="nil"/>
              <w:left w:val="nil"/>
              <w:bottom w:val="single" w:sz="12" w:space="0" w:color="000000"/>
              <w:right w:val="nil"/>
            </w:tcBorders>
            <w:noWrap/>
            <w:vAlign w:val="center"/>
            <w:hideMark/>
          </w:tcPr>
          <w:p w14:paraId="11D47219"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0.01</w:t>
            </w:r>
          </w:p>
        </w:tc>
        <w:tc>
          <w:tcPr>
            <w:tcW w:w="0" w:type="auto"/>
            <w:tcBorders>
              <w:top w:val="nil"/>
              <w:left w:val="nil"/>
              <w:bottom w:val="single" w:sz="12" w:space="0" w:color="000000"/>
              <w:right w:val="nil"/>
            </w:tcBorders>
            <w:noWrap/>
            <w:vAlign w:val="center"/>
            <w:hideMark/>
          </w:tcPr>
          <w:p w14:paraId="1E29F1B1"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0.0238</w:t>
            </w:r>
          </w:p>
        </w:tc>
        <w:tc>
          <w:tcPr>
            <w:tcW w:w="0" w:type="auto"/>
            <w:tcBorders>
              <w:top w:val="nil"/>
              <w:left w:val="nil"/>
              <w:bottom w:val="single" w:sz="12" w:space="0" w:color="000000"/>
              <w:right w:val="nil"/>
            </w:tcBorders>
            <w:noWrap/>
            <w:vAlign w:val="center"/>
            <w:hideMark/>
          </w:tcPr>
          <w:p w14:paraId="4A29C727"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0.0025</w:t>
            </w:r>
          </w:p>
        </w:tc>
      </w:tr>
    </w:tbl>
    <w:p w14:paraId="413B9B93" w14:textId="77777777" w:rsidR="009C0A97" w:rsidRPr="009C0A97" w:rsidRDefault="009C0A97" w:rsidP="009C0A97">
      <w:pPr>
        <w:rPr>
          <w:rFonts w:ascii="Times New Roman" w:hAnsi="Times New Roman" w:cs="Times New Roman"/>
        </w:rPr>
      </w:pPr>
      <w:r w:rsidRPr="009C0A97">
        <w:rPr>
          <w:rFonts w:ascii="Times New Roman" w:hAnsi="Times New Roman" w:cs="Times New Roman"/>
        </w:rPr>
        <w:t>Notes: p, d, q denote the orders of the autoregressive (AR), integrated (I), and moving-average (MA) components of the selected ARIMA model, respectively.</w:t>
      </w:r>
      <w:r w:rsidRPr="009C0A97">
        <w:rPr>
          <w:rFonts w:ascii="Times New Roman" w:hAnsi="Times New Roman" w:cs="Times New Roman"/>
        </w:rPr>
        <w:br/>
        <w:t>BIC = Bayesian Information Criterion; lower values indicate better model fit.</w:t>
      </w:r>
      <w:r w:rsidRPr="009C0A97">
        <w:rPr>
          <w:rFonts w:ascii="Times New Roman" w:hAnsi="Times New Roman" w:cs="Times New Roman"/>
        </w:rPr>
        <w:br/>
        <w:t>ADF p = p-value of the Augmented Dickey–Fuller unit-root test (null: series has a unit root).</w:t>
      </w:r>
      <w:r w:rsidRPr="009C0A97">
        <w:rPr>
          <w:rFonts w:ascii="Times New Roman" w:hAnsi="Times New Roman" w:cs="Times New Roman"/>
        </w:rPr>
        <w:br/>
        <w:t>KPSS p = p-value of the KPSS stationarity test (null: series is stationary).</w:t>
      </w:r>
      <w:r w:rsidRPr="009C0A97">
        <w:rPr>
          <w:rFonts w:ascii="Times New Roman" w:hAnsi="Times New Roman" w:cs="Times New Roman"/>
        </w:rPr>
        <w:br/>
        <w:t>Ljung-Box stat/p = test statistic and p-value of the Ljung-Box test on model residuals (null: no residual autocorrelation).</w:t>
      </w:r>
    </w:p>
    <w:p w14:paraId="7F2EB351" w14:textId="77777777" w:rsidR="0045639E" w:rsidRPr="009C0A97" w:rsidRDefault="0045639E">
      <w:pPr>
        <w:rPr>
          <w:rFonts w:ascii="Times New Roman" w:hAnsi="Times New Roman" w:cs="Times New Roman"/>
        </w:rPr>
      </w:pPr>
    </w:p>
    <w:sectPr w:rsidR="0045639E" w:rsidRPr="009C0A97" w:rsidSect="009C0A9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1DC0" w14:textId="77777777" w:rsidR="00224AA5" w:rsidRDefault="00224AA5" w:rsidP="00C93770">
      <w:r>
        <w:separator/>
      </w:r>
    </w:p>
  </w:endnote>
  <w:endnote w:type="continuationSeparator" w:id="0">
    <w:p w14:paraId="779EF486" w14:textId="77777777" w:rsidR="00224AA5" w:rsidRDefault="00224AA5" w:rsidP="00C9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DA9A" w14:textId="77777777" w:rsidR="00224AA5" w:rsidRDefault="00224AA5" w:rsidP="00C93770">
      <w:r>
        <w:separator/>
      </w:r>
    </w:p>
  </w:footnote>
  <w:footnote w:type="continuationSeparator" w:id="0">
    <w:p w14:paraId="3367A3B6" w14:textId="77777777" w:rsidR="00224AA5" w:rsidRDefault="00224AA5" w:rsidP="00C93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34F63"/>
    <w:rsid w:val="00224AA5"/>
    <w:rsid w:val="003E5EEC"/>
    <w:rsid w:val="0045639E"/>
    <w:rsid w:val="0067673E"/>
    <w:rsid w:val="0082162B"/>
    <w:rsid w:val="0087602F"/>
    <w:rsid w:val="009C0A97"/>
    <w:rsid w:val="009E0565"/>
    <w:rsid w:val="00A741F9"/>
    <w:rsid w:val="00C93770"/>
    <w:rsid w:val="00F867C0"/>
    <w:rsid w:val="2D400F61"/>
    <w:rsid w:val="36817AF9"/>
    <w:rsid w:val="3F23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9A3FC"/>
  <w15:docId w15:val="{52EFE92C-3C27-490B-BD99-A4EB1513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paragraph" w:styleId="a6">
    <w:name w:val="header"/>
    <w:basedOn w:val="a"/>
    <w:link w:val="a7"/>
    <w:rsid w:val="00C93770"/>
    <w:pPr>
      <w:tabs>
        <w:tab w:val="center" w:pos="4153"/>
        <w:tab w:val="right" w:pos="8306"/>
      </w:tabs>
      <w:snapToGrid w:val="0"/>
      <w:jc w:val="center"/>
    </w:pPr>
    <w:rPr>
      <w:sz w:val="18"/>
      <w:szCs w:val="18"/>
    </w:rPr>
  </w:style>
  <w:style w:type="character" w:customStyle="1" w:styleId="a7">
    <w:name w:val="页眉 字符"/>
    <w:basedOn w:val="a0"/>
    <w:link w:val="a6"/>
    <w:rsid w:val="00C93770"/>
    <w:rPr>
      <w:rFonts w:asciiTheme="minorHAnsi" w:eastAsiaTheme="minorEastAsia" w:hAnsiTheme="minorHAnsi" w:cstheme="minorBidi"/>
      <w:kern w:val="2"/>
      <w:sz w:val="18"/>
      <w:szCs w:val="18"/>
    </w:rPr>
  </w:style>
  <w:style w:type="paragraph" w:styleId="a8">
    <w:name w:val="footer"/>
    <w:basedOn w:val="a"/>
    <w:link w:val="a9"/>
    <w:rsid w:val="00C93770"/>
    <w:pPr>
      <w:tabs>
        <w:tab w:val="center" w:pos="4153"/>
        <w:tab w:val="right" w:pos="8306"/>
      </w:tabs>
      <w:snapToGrid w:val="0"/>
      <w:jc w:val="left"/>
    </w:pPr>
    <w:rPr>
      <w:sz w:val="18"/>
      <w:szCs w:val="18"/>
    </w:rPr>
  </w:style>
  <w:style w:type="character" w:customStyle="1" w:styleId="a9">
    <w:name w:val="页脚 字符"/>
    <w:basedOn w:val="a0"/>
    <w:link w:val="a8"/>
    <w:rsid w:val="00C937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1402</Characters>
  <Application>Microsoft Office Word</Application>
  <DocSecurity>0</DocSecurity>
  <Lines>17</Lines>
  <Paragraphs>2</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许煜婷</dc:creator>
  <cp:lastModifiedBy>煜婷 许</cp:lastModifiedBy>
  <cp:revision>2</cp:revision>
  <dcterms:created xsi:type="dcterms:W3CDTF">2026-02-04T03:24:00Z</dcterms:created>
  <dcterms:modified xsi:type="dcterms:W3CDTF">2026-02-04T03:24:00Z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445E64DF867146758C32FE51CBA04640_13</vt:lpwstr>
  </property>
  <property fmtid="{D5CDD505-2E9C-101B-9397-08002B2CF9AE}" pid="4" name="KSOTemplateDocerSaveRecord">
    <vt:lpwstr>eyJoZGlkIjoiZTViNDRiZThkZjE4MzllMWYwNjUwY2U2ODUyMDI1OTYiLCJ1c2VySWQiOiI0MDY4NjQ4NTkifQ==</vt:lpwstr>
  </property>
</Properties>
</file>