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144D6F" w14:textId="78139F36" w:rsidR="00D8516E" w:rsidRPr="00BE034F" w:rsidRDefault="00D8516E" w:rsidP="00670A70">
      <w:pPr>
        <w:ind w:rightChars="-94" w:right="-197"/>
        <w:rPr>
          <w:rFonts w:ascii="Times New Roman" w:hAnsi="Times New Roman" w:cs="Times New Roman"/>
          <w:sz w:val="32"/>
          <w:szCs w:val="32"/>
        </w:rPr>
      </w:pPr>
      <w:r w:rsidRPr="00BE034F">
        <w:rPr>
          <w:rFonts w:ascii="Times New Roman" w:hAnsi="Times New Roman" w:cs="Times New Roman" w:hint="eastAsia"/>
          <w:sz w:val="32"/>
          <w:szCs w:val="32"/>
        </w:rPr>
        <w:t xml:space="preserve">Supplementary </w:t>
      </w:r>
      <w:r w:rsidR="00F06A1F">
        <w:rPr>
          <w:rFonts w:ascii="Times New Roman" w:hAnsi="Times New Roman" w:cs="Times New Roman" w:hint="eastAsia"/>
          <w:sz w:val="32"/>
          <w:szCs w:val="32"/>
        </w:rPr>
        <w:t>I</w:t>
      </w:r>
      <w:r w:rsidRPr="00BE034F">
        <w:rPr>
          <w:rFonts w:ascii="Times New Roman" w:hAnsi="Times New Roman" w:cs="Times New Roman" w:hint="eastAsia"/>
          <w:sz w:val="32"/>
          <w:szCs w:val="32"/>
        </w:rPr>
        <w:t>nformation</w:t>
      </w:r>
    </w:p>
    <w:p w14:paraId="3DEB856C" w14:textId="77777777" w:rsidR="00D8516E" w:rsidRDefault="00D8516E" w:rsidP="00670A70">
      <w:pPr>
        <w:ind w:rightChars="-94" w:right="-197"/>
        <w:rPr>
          <w:rFonts w:ascii="Times New Roman" w:hAnsi="Times New Roman" w:cs="Times New Roman"/>
          <w:sz w:val="28"/>
          <w:szCs w:val="28"/>
        </w:rPr>
      </w:pPr>
    </w:p>
    <w:p w14:paraId="61B7F8AF" w14:textId="77777777" w:rsidR="000901CF" w:rsidRPr="00B66C3C" w:rsidRDefault="000901CF" w:rsidP="000901CF">
      <w:pPr>
        <w:spacing w:line="480" w:lineRule="auto"/>
        <w:ind w:rightChars="20" w:right="42"/>
        <w:jc w:val="left"/>
        <w:rPr>
          <w:rFonts w:ascii="Times New Roman" w:hAnsi="Times New Roman" w:cs="Times New Roman"/>
          <w:b/>
          <w:bCs/>
          <w:kern w:val="0"/>
          <w:sz w:val="28"/>
          <w:szCs w:val="28"/>
        </w:rPr>
      </w:pPr>
      <w:bookmarkStart w:id="0" w:name="_Hlk211351896"/>
      <w:r w:rsidRPr="00B66C3C">
        <w:rPr>
          <w:rFonts w:ascii="Times New Roman" w:hAnsi="Times New Roman" w:cs="Times New Roman" w:hint="eastAsia"/>
          <w:b/>
          <w:bCs/>
          <w:kern w:val="0"/>
          <w:sz w:val="28"/>
          <w:szCs w:val="28"/>
        </w:rPr>
        <w:t xml:space="preserve">Sequential release of mRNA complex and T cells by a double-layered implantable scaffold for combination therapy of </w:t>
      </w:r>
      <w:r w:rsidRPr="00B66C3C">
        <w:rPr>
          <w:rFonts w:ascii="Times New Roman" w:hAnsi="Times New Roman" w:cs="Times New Roman"/>
          <w:b/>
          <w:bCs/>
          <w:kern w:val="0"/>
          <w:sz w:val="28"/>
          <w:szCs w:val="28"/>
          <w:lang w:eastAsia="en-US"/>
        </w:rPr>
        <w:t>head and neck squamous cell carcinoma</w:t>
      </w:r>
    </w:p>
    <w:bookmarkEnd w:id="0"/>
    <w:p w14:paraId="7F394F1F" w14:textId="77777777" w:rsidR="00D8516E" w:rsidRPr="000901CF" w:rsidRDefault="00D8516E" w:rsidP="00670A70">
      <w:pPr>
        <w:widowControl/>
        <w:ind w:rightChars="-94" w:right="-197"/>
        <w:jc w:val="left"/>
        <w:rPr>
          <w:rFonts w:ascii="Times New Roman" w:hAnsi="Times New Roman" w:cs="Times New Roman"/>
          <w:b/>
          <w:bCs/>
          <w:sz w:val="24"/>
          <w:szCs w:val="24"/>
        </w:rPr>
      </w:pPr>
    </w:p>
    <w:p w14:paraId="549D516B" w14:textId="77777777" w:rsidR="00D8516E" w:rsidRDefault="00D8516E" w:rsidP="00E22525">
      <w:pPr>
        <w:widowControl/>
        <w:spacing w:line="360" w:lineRule="auto"/>
        <w:ind w:rightChars="-94" w:right="-197"/>
        <w:jc w:val="left"/>
        <w:rPr>
          <w:rFonts w:ascii="Times New Roman" w:hAnsi="Times New Roman" w:cs="Times New Roman"/>
          <w:b/>
          <w:bCs/>
          <w:sz w:val="24"/>
          <w:szCs w:val="24"/>
        </w:rPr>
      </w:pPr>
      <w:r w:rsidRPr="006861ED">
        <w:rPr>
          <w:rFonts w:ascii="Times New Roman" w:hAnsi="Times New Roman" w:cs="Times New Roman" w:hint="eastAsia"/>
          <w:b/>
          <w:bCs/>
          <w:sz w:val="24"/>
          <w:szCs w:val="24"/>
        </w:rPr>
        <w:t>Supplementary section 1</w:t>
      </w:r>
      <w:r>
        <w:rPr>
          <w:rFonts w:ascii="Times New Roman" w:hAnsi="Times New Roman" w:cs="Times New Roman" w:hint="eastAsia"/>
          <w:b/>
          <w:bCs/>
          <w:sz w:val="24"/>
          <w:szCs w:val="24"/>
        </w:rPr>
        <w:t>:</w:t>
      </w:r>
    </w:p>
    <w:p w14:paraId="32496B23" w14:textId="77777777" w:rsidR="00D8516E" w:rsidRPr="00DD6893" w:rsidRDefault="00D8516E" w:rsidP="00DD6893">
      <w:pPr>
        <w:rPr>
          <w:rFonts w:ascii="Times New Roman" w:hAnsi="Times New Roman" w:cs="Times New Roman"/>
          <w:b/>
          <w:bCs/>
          <w:sz w:val="24"/>
          <w:szCs w:val="24"/>
        </w:rPr>
      </w:pPr>
      <w:r w:rsidRPr="00DD6893">
        <w:rPr>
          <w:rFonts w:ascii="Times New Roman" w:hAnsi="Times New Roman" w:cs="Times New Roman"/>
          <w:b/>
          <w:bCs/>
          <w:sz w:val="24"/>
          <w:szCs w:val="24"/>
        </w:rPr>
        <w:t>Materials and Methods</w:t>
      </w:r>
    </w:p>
    <w:p w14:paraId="459FDB75" w14:textId="77777777" w:rsidR="00D8516E" w:rsidRPr="008458CD" w:rsidRDefault="00D8516E" w:rsidP="00E22525">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b/>
          <w:bCs/>
          <w:i/>
          <w:iCs/>
          <w:sz w:val="24"/>
          <w:szCs w:val="24"/>
        </w:rPr>
        <w:t>In vitro</w:t>
      </w:r>
      <w:r w:rsidRPr="008458CD">
        <w:rPr>
          <w:rFonts w:ascii="Times New Roman" w:eastAsia="宋体" w:hAnsi="Times New Roman" w:cs="Times New Roman"/>
          <w:b/>
          <w:bCs/>
          <w:sz w:val="24"/>
          <w:szCs w:val="24"/>
        </w:rPr>
        <w:t xml:space="preserve"> mRNA transcription</w:t>
      </w:r>
    </w:p>
    <w:p w14:paraId="20B2E4C2" w14:textId="77777777" w:rsidR="00D8516E" w:rsidRPr="00B73440" w:rsidRDefault="00D8516E" w:rsidP="00E22525">
      <w:pPr>
        <w:spacing w:line="360" w:lineRule="auto"/>
        <w:ind w:rightChars="-94" w:right="-197"/>
        <w:rPr>
          <w:rFonts w:ascii="Times New Roman" w:eastAsia="宋体" w:hAnsi="Times New Roman" w:cs="Times New Roman"/>
          <w:sz w:val="24"/>
          <w:szCs w:val="24"/>
        </w:rPr>
      </w:pPr>
      <w:r w:rsidRPr="00B73440">
        <w:rPr>
          <w:rFonts w:ascii="Times New Roman" w:eastAsia="宋体" w:hAnsi="Times New Roman" w:cs="Times New Roman"/>
          <w:sz w:val="24"/>
          <w:szCs w:val="24"/>
        </w:rPr>
        <w:t xml:space="preserve">Murine Bim mRNA (mBim) was synthesized using a T7 polymerase-based </w:t>
      </w:r>
      <w:r w:rsidRPr="00B73440">
        <w:rPr>
          <w:rFonts w:ascii="Times New Roman" w:eastAsia="宋体" w:hAnsi="Times New Roman" w:cs="Times New Roman"/>
          <w:i/>
          <w:sz w:val="24"/>
          <w:szCs w:val="24"/>
        </w:rPr>
        <w:t>in vitro</w:t>
      </w:r>
      <w:r w:rsidRPr="00B73440">
        <w:rPr>
          <w:rFonts w:ascii="Times New Roman" w:eastAsia="宋体" w:hAnsi="Times New Roman" w:cs="Times New Roman"/>
          <w:sz w:val="24"/>
          <w:szCs w:val="24"/>
        </w:rPr>
        <w:t xml:space="preserve"> transcription method</w:t>
      </w:r>
      <w:r>
        <w:rPr>
          <w:rFonts w:ascii="Times New Roman" w:eastAsia="宋体" w:hAnsi="Times New Roman" w:cs="Times New Roman" w:hint="eastAsia"/>
          <w:sz w:val="24"/>
          <w:szCs w:val="24"/>
        </w:rPr>
        <w:t xml:space="preserve"> (Gene ID: 12125)</w:t>
      </w:r>
      <w:r w:rsidRPr="00B73440">
        <w:rPr>
          <w:rFonts w:ascii="Times New Roman" w:eastAsia="宋体" w:hAnsi="Times New Roman" w:cs="Times New Roman"/>
          <w:sz w:val="24"/>
          <w:szCs w:val="24"/>
        </w:rPr>
        <w:t>. This methodology is consistent with previously reported protocols.</w:t>
      </w:r>
      <w:r>
        <w:rPr>
          <w:rFonts w:ascii="Times New Roman" w:eastAsia="宋体" w:hAnsi="Times New Roman" w:cs="Times New Roman"/>
          <w:noProof/>
          <w:sz w:val="24"/>
          <w:szCs w:val="24"/>
          <w:vertAlign w:val="superscript"/>
        </w:rPr>
        <w:t>1</w:t>
      </w:r>
      <w:r w:rsidRPr="00B73440">
        <w:rPr>
          <w:rFonts w:ascii="Times New Roman" w:eastAsia="宋体" w:hAnsi="Times New Roman" w:cs="Times New Roman"/>
          <w:sz w:val="24"/>
          <w:szCs w:val="24"/>
        </w:rPr>
        <w:t xml:space="preserve"> The PVAX1-mBim plasmid was amplified by polymerase chain reaction (PCR) to generate linear mBim-encoding DNA fragments. Primer sequences were as follows:</w:t>
      </w:r>
    </w:p>
    <w:p w14:paraId="09FEA45F" w14:textId="77777777" w:rsidR="00D8516E" w:rsidRPr="00B73440" w:rsidRDefault="00D8516E" w:rsidP="00670A70">
      <w:pPr>
        <w:spacing w:line="360" w:lineRule="auto"/>
        <w:ind w:rightChars="-94" w:right="-197"/>
        <w:rPr>
          <w:rFonts w:ascii="Times New Roman" w:eastAsia="宋体" w:hAnsi="Times New Roman" w:cs="Times New Roman"/>
          <w:sz w:val="24"/>
          <w:szCs w:val="24"/>
        </w:rPr>
      </w:pPr>
      <w:r w:rsidRPr="00B73440">
        <w:rPr>
          <w:rFonts w:ascii="Times New Roman" w:eastAsia="宋体" w:hAnsi="Times New Roman" w:cs="Times New Roman"/>
          <w:sz w:val="24"/>
          <w:szCs w:val="24"/>
        </w:rPr>
        <w:t>Forward: 5ʹ-TAATACGACTCACTATAGGGAGAATGGCCAAGCAACCTTCT-3ʹ</w:t>
      </w:r>
    </w:p>
    <w:p w14:paraId="08F48557" w14:textId="77777777" w:rsidR="00D8516E" w:rsidRPr="00B73440" w:rsidRDefault="00D8516E" w:rsidP="00670A70">
      <w:pPr>
        <w:spacing w:line="360" w:lineRule="auto"/>
        <w:ind w:rightChars="-94" w:right="-197"/>
        <w:rPr>
          <w:rFonts w:ascii="Times New Roman" w:eastAsia="宋体" w:hAnsi="Times New Roman" w:cs="Times New Roman"/>
          <w:sz w:val="24"/>
          <w:szCs w:val="24"/>
        </w:rPr>
      </w:pPr>
      <w:r w:rsidRPr="00B73440">
        <w:rPr>
          <w:rFonts w:ascii="Times New Roman" w:eastAsia="宋体" w:hAnsi="Times New Roman" w:cs="Times New Roman"/>
          <w:sz w:val="24"/>
          <w:szCs w:val="24"/>
        </w:rPr>
        <w:t>Reverse: 5ʹ-ATGCCTTCTCCATACCAGACG-3ʹ</w:t>
      </w:r>
    </w:p>
    <w:p w14:paraId="27AC1042" w14:textId="77777777" w:rsidR="00D8516E" w:rsidRDefault="00D8516E" w:rsidP="007609BA">
      <w:pPr>
        <w:spacing w:line="360" w:lineRule="auto"/>
        <w:ind w:rightChars="-94" w:right="-197" w:firstLineChars="100" w:firstLine="240"/>
        <w:rPr>
          <w:rFonts w:ascii="Times New Roman" w:eastAsia="宋体" w:hAnsi="Times New Roman" w:cs="Times New Roman"/>
          <w:sz w:val="24"/>
          <w:szCs w:val="24"/>
        </w:rPr>
      </w:pPr>
      <w:r w:rsidRPr="00B73440">
        <w:rPr>
          <w:rFonts w:ascii="Times New Roman" w:eastAsia="宋体" w:hAnsi="Times New Roman" w:cs="Times New Roman"/>
          <w:sz w:val="24"/>
          <w:szCs w:val="24"/>
        </w:rPr>
        <w:t>Subsequently, the amplicon was transcribed using the T7 High-Yield RNA Synthesis Kit for Co-transcription (10673ES60, Yeasen Biotechnology, Shanghai, China) following the manufacturer's protocols. The resulting mRNA was purified using the MEGAclear Transcription Clean-Up Kit (Thermo Fisher Scientific, USA). The purified mRNA concentration was quantified and stored at -80°C until use</w:t>
      </w:r>
      <w:r w:rsidRPr="00CB2026">
        <w:rPr>
          <w:rFonts w:ascii="Times New Roman" w:eastAsia="宋体" w:hAnsi="Times New Roman" w:cs="Times New Roman"/>
          <w:sz w:val="24"/>
          <w:szCs w:val="24"/>
        </w:rPr>
        <w:t>.</w:t>
      </w:r>
    </w:p>
    <w:p w14:paraId="0EF8698E" w14:textId="77777777" w:rsidR="00D8516E" w:rsidRDefault="00D8516E" w:rsidP="00670A70">
      <w:pPr>
        <w:spacing w:line="360" w:lineRule="auto"/>
        <w:ind w:rightChars="-94" w:right="-197"/>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t>C</w:t>
      </w:r>
      <w:r w:rsidRPr="0062175C">
        <w:rPr>
          <w:rFonts w:ascii="Times New Roman" w:eastAsia="宋体" w:hAnsi="Times New Roman" w:cs="Times New Roman" w:hint="eastAsia"/>
          <w:b/>
          <w:bCs/>
          <w:sz w:val="24"/>
          <w:szCs w:val="24"/>
        </w:rPr>
        <w:t>ritical micelle concentration</w:t>
      </w:r>
      <w:r>
        <w:rPr>
          <w:rFonts w:ascii="Times New Roman" w:eastAsia="宋体" w:hAnsi="Times New Roman" w:cs="Times New Roman" w:hint="eastAsia"/>
          <w:b/>
          <w:bCs/>
          <w:sz w:val="24"/>
          <w:szCs w:val="24"/>
        </w:rPr>
        <w:t xml:space="preserve"> (CMC) measurement of DMP</w:t>
      </w:r>
    </w:p>
    <w:p w14:paraId="6AF61B30" w14:textId="77777777" w:rsidR="00D8516E" w:rsidRDefault="00D8516E" w:rsidP="00E11F17">
      <w:pPr>
        <w:spacing w:line="360" w:lineRule="auto"/>
        <w:ind w:rightChars="-94" w:right="-197"/>
        <w:rPr>
          <w:rFonts w:ascii="Times New Roman" w:hAnsi="Times New Roman" w:cs="Times New Roman"/>
          <w:sz w:val="24"/>
        </w:rPr>
      </w:pPr>
      <w:r>
        <w:rPr>
          <w:rFonts w:ascii="Times New Roman" w:eastAsia="宋体" w:hAnsi="Times New Roman" w:cs="Times New Roman" w:hint="eastAsia"/>
          <w:sz w:val="24"/>
          <w:szCs w:val="24"/>
        </w:rPr>
        <w:t xml:space="preserve">To detect the CMC of DMP </w:t>
      </w:r>
      <w:r w:rsidRPr="00D93926">
        <w:rPr>
          <w:rFonts w:ascii="Times New Roman" w:eastAsia="宋体" w:hAnsi="Times New Roman" w:cs="Times New Roman" w:hint="eastAsia"/>
          <w:sz w:val="24"/>
          <w:szCs w:val="24"/>
        </w:rPr>
        <w:t>cationic</w:t>
      </w:r>
      <w:r>
        <w:rPr>
          <w:rFonts w:ascii="Times New Roman" w:eastAsia="宋体" w:hAnsi="Times New Roman" w:cs="Times New Roman" w:hint="eastAsia"/>
          <w:sz w:val="24"/>
          <w:szCs w:val="24"/>
        </w:rPr>
        <w:t xml:space="preserve"> </w:t>
      </w:r>
      <w:r w:rsidRPr="00D93926">
        <w:rPr>
          <w:rFonts w:ascii="Times New Roman" w:eastAsia="宋体" w:hAnsi="Times New Roman" w:cs="Times New Roman" w:hint="eastAsia"/>
          <w:sz w:val="24"/>
          <w:szCs w:val="24"/>
        </w:rPr>
        <w:t>micelles</w:t>
      </w:r>
      <w:r>
        <w:rPr>
          <w:rFonts w:ascii="Times New Roman" w:eastAsia="宋体" w:hAnsi="Times New Roman" w:cs="Times New Roman" w:hint="eastAsia"/>
          <w:sz w:val="24"/>
          <w:szCs w:val="24"/>
        </w:rPr>
        <w:t>, we used p</w:t>
      </w:r>
      <w:r w:rsidRPr="000329C9">
        <w:rPr>
          <w:rFonts w:ascii="Times New Roman" w:eastAsia="宋体" w:hAnsi="Times New Roman" w:cs="Times New Roman" w:hint="eastAsia"/>
          <w:sz w:val="24"/>
          <w:szCs w:val="24"/>
        </w:rPr>
        <w:t>yrene</w:t>
      </w:r>
      <w:r>
        <w:rPr>
          <w:rFonts w:ascii="Times New Roman" w:eastAsia="宋体" w:hAnsi="Times New Roman" w:cs="Times New Roman" w:hint="eastAsia"/>
          <w:sz w:val="24"/>
          <w:szCs w:val="24"/>
        </w:rPr>
        <w:t xml:space="preserve"> (</w:t>
      </w:r>
      <w:r w:rsidRPr="005C2865">
        <w:rPr>
          <w:rFonts w:ascii="Times New Roman" w:eastAsia="宋体" w:hAnsi="Times New Roman" w:cs="Times New Roman"/>
          <w:sz w:val="24"/>
          <w:szCs w:val="24"/>
        </w:rPr>
        <w:t>Mr = 202.3</w:t>
      </w:r>
      <w:r>
        <w:rPr>
          <w:rFonts w:ascii="Times New Roman" w:eastAsia="宋体" w:hAnsi="Times New Roman" w:cs="Times New Roman" w:hint="eastAsia"/>
          <w:sz w:val="24"/>
          <w:szCs w:val="24"/>
        </w:rPr>
        <w:t>) as the fl</w:t>
      </w:r>
      <w:r w:rsidRPr="000329C9">
        <w:rPr>
          <w:rFonts w:ascii="Times New Roman" w:eastAsia="宋体" w:hAnsi="Times New Roman" w:cs="Times New Roman" w:hint="eastAsia"/>
          <w:sz w:val="24"/>
          <w:szCs w:val="24"/>
        </w:rPr>
        <w:t>uorescent dye</w:t>
      </w:r>
      <w:r>
        <w:rPr>
          <w:rFonts w:ascii="Times New Roman" w:eastAsia="宋体" w:hAnsi="Times New Roman" w:cs="Times New Roman" w:hint="eastAsia"/>
          <w:sz w:val="24"/>
          <w:szCs w:val="24"/>
        </w:rPr>
        <w:t>. 10.1 mg p</w:t>
      </w:r>
      <w:r w:rsidRPr="000329C9">
        <w:rPr>
          <w:rFonts w:ascii="Times New Roman" w:eastAsia="宋体" w:hAnsi="Times New Roman" w:cs="Times New Roman" w:hint="eastAsia"/>
          <w:sz w:val="24"/>
          <w:szCs w:val="24"/>
        </w:rPr>
        <w:t>yrene</w:t>
      </w:r>
      <w:r>
        <w:rPr>
          <w:rFonts w:ascii="Times New Roman" w:eastAsia="宋体" w:hAnsi="Times New Roman" w:cs="Times New Roman" w:hint="eastAsia"/>
          <w:sz w:val="24"/>
          <w:szCs w:val="24"/>
        </w:rPr>
        <w:t xml:space="preserve"> (T200798, </w:t>
      </w:r>
      <w:r w:rsidRPr="00F21F23">
        <w:rPr>
          <w:rFonts w:ascii="Times New Roman" w:eastAsia="宋体" w:hAnsi="Times New Roman" w:cs="Times New Roman" w:hint="eastAsia"/>
          <w:sz w:val="24"/>
          <w:szCs w:val="24"/>
        </w:rPr>
        <w:t>TargetMol Chemicals Inc.</w:t>
      </w:r>
      <w:r>
        <w:rPr>
          <w:rFonts w:ascii="Times New Roman" w:eastAsia="宋体" w:hAnsi="Times New Roman" w:cs="Times New Roman" w:hint="eastAsia"/>
          <w:sz w:val="24"/>
          <w:szCs w:val="24"/>
        </w:rPr>
        <w:t xml:space="preserve">, USA) was first </w:t>
      </w:r>
      <w:r w:rsidRPr="00D75706">
        <w:rPr>
          <w:rFonts w:ascii="Times New Roman" w:eastAsia="宋体" w:hAnsi="Times New Roman" w:cs="Times New Roman" w:hint="eastAsia"/>
          <w:sz w:val="24"/>
          <w:szCs w:val="24"/>
        </w:rPr>
        <w:t>dissolve in</w:t>
      </w:r>
      <w:r>
        <w:rPr>
          <w:rFonts w:ascii="Times New Roman" w:eastAsia="宋体" w:hAnsi="Times New Roman" w:cs="Times New Roman" w:hint="eastAsia"/>
          <w:sz w:val="24"/>
          <w:szCs w:val="24"/>
        </w:rPr>
        <w:t xml:space="preserve"> 10 mL </w:t>
      </w:r>
      <w:r w:rsidRPr="00D944C9">
        <w:rPr>
          <w:rFonts w:ascii="Times New Roman" w:eastAsia="宋体" w:hAnsi="Times New Roman" w:cs="Times New Roman" w:hint="eastAsia"/>
          <w:sz w:val="24"/>
          <w:szCs w:val="24"/>
        </w:rPr>
        <w:t>ethanol</w:t>
      </w:r>
      <w:r>
        <w:rPr>
          <w:rFonts w:ascii="Times New Roman" w:eastAsia="宋体" w:hAnsi="Times New Roman" w:cs="Times New Roman" w:hint="eastAsia"/>
          <w:sz w:val="24"/>
          <w:szCs w:val="24"/>
        </w:rPr>
        <w:t xml:space="preserve">, </w:t>
      </w:r>
      <w:r w:rsidRPr="009D6FB1">
        <w:rPr>
          <w:rFonts w:ascii="Times New Roman" w:eastAsia="宋体" w:hAnsi="Times New Roman" w:cs="Times New Roman" w:hint="eastAsia"/>
          <w:sz w:val="24"/>
          <w:szCs w:val="24"/>
        </w:rPr>
        <w:t>shaking well for dissolution</w:t>
      </w:r>
      <w:r>
        <w:rPr>
          <w:rFonts w:ascii="Times New Roman" w:eastAsia="宋体" w:hAnsi="Times New Roman" w:cs="Times New Roman" w:hint="eastAsia"/>
          <w:sz w:val="24"/>
          <w:szCs w:val="24"/>
        </w:rPr>
        <w:t xml:space="preserve"> to get the </w:t>
      </w:r>
      <w:r w:rsidRPr="00683498">
        <w:rPr>
          <w:rFonts w:ascii="Times New Roman" w:eastAsia="宋体" w:hAnsi="Times New Roman" w:cs="Times New Roman" w:hint="eastAsia"/>
          <w:sz w:val="24"/>
          <w:szCs w:val="24"/>
        </w:rPr>
        <w:t>stock solution</w:t>
      </w:r>
      <w:r>
        <w:rPr>
          <w:rFonts w:ascii="Times New Roman" w:eastAsia="宋体" w:hAnsi="Times New Roman" w:cs="Times New Roman" w:hint="eastAsia"/>
          <w:sz w:val="24"/>
          <w:szCs w:val="24"/>
        </w:rPr>
        <w:t xml:space="preserve"> (5mM). And then a </w:t>
      </w:r>
      <w:r w:rsidRPr="000E10C0">
        <w:rPr>
          <w:rFonts w:ascii="Times New Roman" w:eastAsia="宋体" w:hAnsi="Times New Roman" w:cs="Times New Roman"/>
          <w:sz w:val="24"/>
          <w:szCs w:val="24"/>
        </w:rPr>
        <w:t>100 μM</w:t>
      </w:r>
      <w:r>
        <w:rPr>
          <w:rFonts w:ascii="Times New Roman" w:eastAsia="宋体" w:hAnsi="Times New Roman" w:cs="Times New Roman" w:hint="eastAsia"/>
          <w:sz w:val="24"/>
          <w:szCs w:val="24"/>
        </w:rPr>
        <w:t xml:space="preserve"> of working </w:t>
      </w:r>
      <w:r w:rsidRPr="00683498">
        <w:rPr>
          <w:rFonts w:ascii="Times New Roman" w:eastAsia="宋体" w:hAnsi="Times New Roman" w:cs="Times New Roman" w:hint="eastAsia"/>
          <w:sz w:val="24"/>
          <w:szCs w:val="24"/>
        </w:rPr>
        <w:t>solution</w:t>
      </w:r>
      <w:r>
        <w:rPr>
          <w:rFonts w:ascii="Times New Roman" w:eastAsia="宋体" w:hAnsi="Times New Roman" w:cs="Times New Roman" w:hint="eastAsia"/>
          <w:sz w:val="24"/>
          <w:szCs w:val="24"/>
        </w:rPr>
        <w:t xml:space="preserve"> was obtained </w:t>
      </w:r>
      <w:r w:rsidRPr="00847CD6">
        <w:rPr>
          <w:rFonts w:ascii="Times New Roman" w:eastAsia="宋体" w:hAnsi="Times New Roman" w:cs="Times New Roman" w:hint="eastAsia"/>
          <w:sz w:val="24"/>
          <w:szCs w:val="24"/>
        </w:rPr>
        <w:t xml:space="preserve">by diluting the </w:t>
      </w:r>
      <w:r w:rsidRPr="00683498">
        <w:rPr>
          <w:rFonts w:ascii="Times New Roman" w:eastAsia="宋体" w:hAnsi="Times New Roman" w:cs="Times New Roman" w:hint="eastAsia"/>
          <w:sz w:val="24"/>
          <w:szCs w:val="24"/>
        </w:rPr>
        <w:t>stock</w:t>
      </w:r>
      <w:r w:rsidRPr="00847CD6">
        <w:rPr>
          <w:rFonts w:ascii="Times New Roman" w:eastAsia="宋体" w:hAnsi="Times New Roman" w:cs="Times New Roman" w:hint="eastAsia"/>
          <w:sz w:val="24"/>
          <w:szCs w:val="24"/>
        </w:rPr>
        <w:t xml:space="preserve"> solution</w:t>
      </w:r>
      <w:r>
        <w:rPr>
          <w:rFonts w:ascii="Times New Roman" w:eastAsia="宋体" w:hAnsi="Times New Roman" w:cs="Times New Roman" w:hint="eastAsia"/>
          <w:sz w:val="24"/>
          <w:szCs w:val="24"/>
        </w:rPr>
        <w:t xml:space="preserve"> with </w:t>
      </w:r>
      <w:r w:rsidRPr="00D944C9">
        <w:rPr>
          <w:rFonts w:ascii="Times New Roman" w:eastAsia="宋体" w:hAnsi="Times New Roman" w:cs="Times New Roman" w:hint="eastAsia"/>
          <w:sz w:val="24"/>
          <w:szCs w:val="24"/>
        </w:rPr>
        <w:t>ethanol</w:t>
      </w:r>
      <w:r>
        <w:rPr>
          <w:rFonts w:ascii="Times New Roman" w:eastAsia="宋体" w:hAnsi="Times New Roman" w:cs="Times New Roman" w:hint="eastAsia"/>
          <w:sz w:val="24"/>
          <w:szCs w:val="24"/>
        </w:rPr>
        <w:t>. Then the p</w:t>
      </w:r>
      <w:r w:rsidRPr="000329C9">
        <w:rPr>
          <w:rFonts w:ascii="Times New Roman" w:eastAsia="宋体" w:hAnsi="Times New Roman" w:cs="Times New Roman" w:hint="eastAsia"/>
          <w:sz w:val="24"/>
          <w:szCs w:val="24"/>
        </w:rPr>
        <w:t>yrene</w:t>
      </w:r>
      <w:r w:rsidRPr="004C0BC1">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working </w:t>
      </w:r>
      <w:r w:rsidRPr="00683498">
        <w:rPr>
          <w:rFonts w:ascii="Times New Roman" w:eastAsia="宋体" w:hAnsi="Times New Roman" w:cs="Times New Roman" w:hint="eastAsia"/>
          <w:sz w:val="24"/>
          <w:szCs w:val="24"/>
        </w:rPr>
        <w:t>solution</w:t>
      </w:r>
      <w:r>
        <w:rPr>
          <w:rFonts w:ascii="Times New Roman" w:eastAsia="宋体" w:hAnsi="Times New Roman" w:cs="Times New Roman" w:hint="eastAsia"/>
          <w:sz w:val="24"/>
          <w:szCs w:val="24"/>
        </w:rPr>
        <w:t xml:space="preserve"> was added to different concentration of DMP nanoparticles (1, 0.5, 0.2, 0.1, 0.05, 0.02, 0.01, 0.005, 0.002, 0.001, 0 mg/mL) with a f</w:t>
      </w:r>
      <w:r w:rsidRPr="00642A6F">
        <w:rPr>
          <w:rFonts w:ascii="Times New Roman" w:eastAsia="宋体" w:hAnsi="Times New Roman" w:cs="Times New Roman" w:hint="eastAsia"/>
          <w:sz w:val="24"/>
          <w:szCs w:val="24"/>
        </w:rPr>
        <w:t xml:space="preserve">inal </w:t>
      </w:r>
      <w:r>
        <w:rPr>
          <w:rFonts w:ascii="Times New Roman" w:eastAsia="宋体" w:hAnsi="Times New Roman" w:cs="Times New Roman" w:hint="eastAsia"/>
          <w:sz w:val="24"/>
          <w:szCs w:val="24"/>
        </w:rPr>
        <w:lastRenderedPageBreak/>
        <w:t>p</w:t>
      </w:r>
      <w:r w:rsidRPr="000329C9">
        <w:rPr>
          <w:rFonts w:ascii="Times New Roman" w:eastAsia="宋体" w:hAnsi="Times New Roman" w:cs="Times New Roman" w:hint="eastAsia"/>
          <w:sz w:val="24"/>
          <w:szCs w:val="24"/>
        </w:rPr>
        <w:t>yrene</w:t>
      </w:r>
      <w:r w:rsidRPr="00642A6F">
        <w:rPr>
          <w:rFonts w:ascii="Times New Roman" w:eastAsia="宋体" w:hAnsi="Times New Roman" w:cs="Times New Roman" w:hint="eastAsia"/>
          <w:sz w:val="24"/>
          <w:szCs w:val="24"/>
        </w:rPr>
        <w:t xml:space="preserve"> concentration </w:t>
      </w:r>
      <w:r>
        <w:rPr>
          <w:rFonts w:ascii="Times New Roman" w:eastAsia="宋体" w:hAnsi="Times New Roman" w:cs="Times New Roman" w:hint="eastAsia"/>
          <w:sz w:val="24"/>
          <w:szCs w:val="24"/>
        </w:rPr>
        <w:t xml:space="preserve">of 0.6 </w:t>
      </w:r>
      <w:r w:rsidRPr="000E10C0">
        <w:rPr>
          <w:rFonts w:ascii="Times New Roman" w:eastAsia="宋体" w:hAnsi="Times New Roman" w:cs="Times New Roman"/>
          <w:sz w:val="24"/>
          <w:szCs w:val="24"/>
        </w:rPr>
        <w:t>μM</w:t>
      </w:r>
      <w:r>
        <w:rPr>
          <w:rFonts w:ascii="Times New Roman" w:eastAsia="宋体" w:hAnsi="Times New Roman" w:cs="Times New Roman" w:hint="eastAsia"/>
          <w:sz w:val="24"/>
          <w:szCs w:val="24"/>
        </w:rPr>
        <w:t xml:space="preserve">. </w:t>
      </w:r>
      <w:r w:rsidRPr="0020206C">
        <w:rPr>
          <w:rFonts w:ascii="Times New Roman" w:eastAsia="宋体" w:hAnsi="Times New Roman" w:cs="Times New Roman" w:hint="eastAsia"/>
          <w:sz w:val="24"/>
          <w:szCs w:val="24"/>
        </w:rPr>
        <w:t>Then the mixture</w:t>
      </w:r>
      <w:r>
        <w:rPr>
          <w:rFonts w:ascii="Times New Roman" w:eastAsia="宋体" w:hAnsi="Times New Roman" w:cs="Times New Roman" w:hint="eastAsia"/>
          <w:sz w:val="24"/>
          <w:szCs w:val="24"/>
        </w:rPr>
        <w:t>s</w:t>
      </w:r>
      <w:r w:rsidRPr="0020206C">
        <w:rPr>
          <w:rFonts w:ascii="Times New Roman" w:eastAsia="宋体" w:hAnsi="Times New Roman" w:cs="Times New Roman" w:hint="eastAsia"/>
          <w:sz w:val="24"/>
          <w:szCs w:val="24"/>
        </w:rPr>
        <w:t xml:space="preserve"> w</w:t>
      </w:r>
      <w:r>
        <w:rPr>
          <w:rFonts w:ascii="Times New Roman" w:eastAsia="宋体" w:hAnsi="Times New Roman" w:cs="Times New Roman" w:hint="eastAsia"/>
          <w:sz w:val="24"/>
          <w:szCs w:val="24"/>
        </w:rPr>
        <w:t xml:space="preserve">ere </w:t>
      </w:r>
      <w:r w:rsidRPr="0020206C">
        <w:rPr>
          <w:rFonts w:ascii="Times New Roman" w:eastAsia="宋体" w:hAnsi="Times New Roman" w:cs="Times New Roman"/>
          <w:sz w:val="24"/>
          <w:szCs w:val="24"/>
        </w:rPr>
        <w:t xml:space="preserve">incubated at </w:t>
      </w:r>
      <w:r>
        <w:rPr>
          <w:rFonts w:ascii="Times New Roman" w:eastAsia="宋体" w:hAnsi="Times New Roman" w:cs="Times New Roman" w:hint="eastAsia"/>
          <w:sz w:val="24"/>
          <w:szCs w:val="24"/>
        </w:rPr>
        <w:t>20</w:t>
      </w:r>
      <w:r w:rsidRPr="0020206C">
        <w:rPr>
          <w:rFonts w:ascii="Times New Roman" w:eastAsia="宋体" w:hAnsi="Times New Roman" w:cs="Times New Roman"/>
          <w:sz w:val="24"/>
          <w:szCs w:val="24"/>
        </w:rPr>
        <w:t xml:space="preserve"> ◦C for </w:t>
      </w:r>
      <w:r>
        <w:rPr>
          <w:rFonts w:ascii="Times New Roman" w:eastAsia="宋体" w:hAnsi="Times New Roman" w:cs="Times New Roman" w:hint="eastAsia"/>
          <w:sz w:val="24"/>
          <w:szCs w:val="24"/>
        </w:rPr>
        <w:t>12</w:t>
      </w:r>
      <w:r w:rsidRPr="0020206C">
        <w:rPr>
          <w:rFonts w:ascii="Times New Roman" w:eastAsia="宋体" w:hAnsi="Times New Roman" w:cs="Times New Roman"/>
          <w:sz w:val="24"/>
          <w:szCs w:val="24"/>
        </w:rPr>
        <w:t xml:space="preserve"> h.</w:t>
      </w:r>
      <w:r>
        <w:rPr>
          <w:rFonts w:ascii="Times New Roman" w:eastAsia="宋体" w:hAnsi="Times New Roman" w:cs="Times New Roman" w:hint="eastAsia"/>
          <w:sz w:val="24"/>
          <w:szCs w:val="24"/>
        </w:rPr>
        <w:t xml:space="preserve"> And then the </w:t>
      </w:r>
      <w:r w:rsidRPr="0020206C">
        <w:rPr>
          <w:rFonts w:ascii="Times New Roman" w:eastAsia="宋体" w:hAnsi="Times New Roman" w:cs="Times New Roman" w:hint="eastAsia"/>
          <w:sz w:val="24"/>
          <w:szCs w:val="24"/>
        </w:rPr>
        <w:t>mixture</w:t>
      </w:r>
      <w:r>
        <w:rPr>
          <w:rFonts w:ascii="Times New Roman" w:eastAsia="宋体" w:hAnsi="Times New Roman" w:cs="Times New Roman" w:hint="eastAsia"/>
          <w:sz w:val="24"/>
          <w:szCs w:val="24"/>
        </w:rPr>
        <w:t>s</w:t>
      </w:r>
      <w:r w:rsidRPr="0020206C">
        <w:rPr>
          <w:rFonts w:ascii="Times New Roman" w:eastAsia="宋体" w:hAnsi="Times New Roman" w:cs="Times New Roman" w:hint="eastAsia"/>
          <w:sz w:val="24"/>
          <w:szCs w:val="24"/>
        </w:rPr>
        <w:t xml:space="preserve"> w</w:t>
      </w:r>
      <w:r>
        <w:rPr>
          <w:rFonts w:ascii="Times New Roman" w:eastAsia="宋体" w:hAnsi="Times New Roman" w:cs="Times New Roman" w:hint="eastAsia"/>
          <w:sz w:val="24"/>
          <w:szCs w:val="24"/>
        </w:rPr>
        <w:t>ere added to b</w:t>
      </w:r>
      <w:r w:rsidRPr="00481667">
        <w:rPr>
          <w:rFonts w:ascii="Times New Roman" w:eastAsia="宋体" w:hAnsi="Times New Roman" w:cs="Times New Roman" w:hint="eastAsia"/>
          <w:sz w:val="24"/>
          <w:szCs w:val="24"/>
        </w:rPr>
        <w:t>lack 96-well microp</w:t>
      </w:r>
      <w:r w:rsidRPr="000B22AD">
        <w:rPr>
          <w:rFonts w:ascii="Times New Roman" w:eastAsia="宋体" w:hAnsi="Times New Roman" w:cs="Times New Roman"/>
          <w:sz w:val="24"/>
          <w:szCs w:val="24"/>
        </w:rPr>
        <w:t xml:space="preserve">late and detected by </w:t>
      </w:r>
      <w:r w:rsidRPr="000B22AD">
        <w:rPr>
          <w:rFonts w:ascii="Times New Roman" w:hAnsi="Times New Roman" w:cs="Times New Roman"/>
          <w:sz w:val="24"/>
        </w:rPr>
        <w:t>full-wavelength microplate reader (Infinite E Plex, TECAN, Switzerland). The emission spectra (350</w:t>
      </w:r>
      <w:r>
        <w:rPr>
          <w:rFonts w:ascii="Times New Roman" w:hAnsi="Times New Roman" w:cs="Times New Roman" w:hint="eastAsia"/>
          <w:sz w:val="24"/>
        </w:rPr>
        <w:t>-</w:t>
      </w:r>
      <w:r w:rsidRPr="000B22AD">
        <w:rPr>
          <w:rFonts w:ascii="Times New Roman" w:hAnsi="Times New Roman" w:cs="Times New Roman"/>
          <w:sz w:val="24"/>
        </w:rPr>
        <w:t>450 nm) of the solutions were recorded at an excitation wavelength of 335 nm. Fluence intensity ratio (I</w:t>
      </w:r>
      <w:r w:rsidRPr="000B22AD">
        <w:rPr>
          <w:rFonts w:ascii="Times New Roman" w:hAnsi="Times New Roman" w:cs="Times New Roman"/>
          <w:sz w:val="24"/>
          <w:vertAlign w:val="subscript"/>
        </w:rPr>
        <w:t>1</w:t>
      </w:r>
      <w:r w:rsidRPr="000B22AD">
        <w:rPr>
          <w:rFonts w:ascii="Times New Roman" w:hAnsi="Times New Roman" w:cs="Times New Roman"/>
          <w:sz w:val="24"/>
        </w:rPr>
        <w:t>/I</w:t>
      </w:r>
      <w:r w:rsidRPr="000B22AD">
        <w:rPr>
          <w:rFonts w:ascii="Times New Roman" w:hAnsi="Times New Roman" w:cs="Times New Roman"/>
          <w:sz w:val="24"/>
          <w:vertAlign w:val="subscript"/>
        </w:rPr>
        <w:t>3</w:t>
      </w:r>
      <w:r w:rsidRPr="000B22AD">
        <w:rPr>
          <w:rFonts w:ascii="Times New Roman" w:hAnsi="Times New Roman" w:cs="Times New Roman"/>
          <w:sz w:val="24"/>
        </w:rPr>
        <w:t>) of the first peak (I</w:t>
      </w:r>
      <w:r w:rsidRPr="000B22AD">
        <w:rPr>
          <w:rFonts w:ascii="Times New Roman" w:hAnsi="Times New Roman" w:cs="Times New Roman"/>
          <w:sz w:val="24"/>
          <w:vertAlign w:val="subscript"/>
        </w:rPr>
        <w:t>1</w:t>
      </w:r>
      <w:r w:rsidRPr="000B22AD">
        <w:rPr>
          <w:rFonts w:ascii="Times New Roman" w:hAnsi="Times New Roman" w:cs="Times New Roman"/>
          <w:sz w:val="24"/>
        </w:rPr>
        <w:t xml:space="preserve"> at 373 nm) and the third</w:t>
      </w:r>
      <w:r w:rsidRPr="00E11F17">
        <w:rPr>
          <w:rFonts w:ascii="Times New Roman" w:hAnsi="Times New Roman" w:cs="Times New Roman" w:hint="eastAsia"/>
          <w:sz w:val="24"/>
        </w:rPr>
        <w:t xml:space="preserve"> peak (I</w:t>
      </w:r>
      <w:r w:rsidRPr="000B03B0">
        <w:rPr>
          <w:rFonts w:ascii="Times New Roman" w:hAnsi="Times New Roman" w:cs="Times New Roman" w:hint="eastAsia"/>
          <w:sz w:val="24"/>
          <w:vertAlign w:val="subscript"/>
        </w:rPr>
        <w:t>3</w:t>
      </w:r>
      <w:r w:rsidRPr="00E11F17">
        <w:rPr>
          <w:rFonts w:ascii="Times New Roman" w:hAnsi="Times New Roman" w:cs="Times New Roman" w:hint="eastAsia"/>
          <w:sz w:val="24"/>
        </w:rPr>
        <w:t xml:space="preserve"> at 384 nm) was </w:t>
      </w:r>
      <w:r>
        <w:rPr>
          <w:rFonts w:ascii="Times New Roman" w:hAnsi="Times New Roman" w:cs="Times New Roman" w:hint="eastAsia"/>
          <w:sz w:val="24"/>
        </w:rPr>
        <w:t>calculated for analysis using OriginPro 2024.</w:t>
      </w:r>
    </w:p>
    <w:p w14:paraId="7E7DFFE3" w14:textId="77777777" w:rsidR="00D8516E" w:rsidRDefault="00D8516E" w:rsidP="00E11F17">
      <w:pPr>
        <w:spacing w:line="360" w:lineRule="auto"/>
        <w:ind w:rightChars="-94" w:right="-197"/>
        <w:rPr>
          <w:rFonts w:ascii="Times New Roman" w:hAnsi="Times New Roman" w:cs="Times New Roman"/>
          <w:b/>
          <w:bCs/>
          <w:sz w:val="24"/>
        </w:rPr>
      </w:pPr>
      <w:r w:rsidRPr="002F25E7">
        <w:rPr>
          <w:rFonts w:ascii="Times New Roman" w:hAnsi="Times New Roman" w:cs="Times New Roman" w:hint="eastAsia"/>
          <w:b/>
          <w:bCs/>
          <w:sz w:val="24"/>
        </w:rPr>
        <w:t>Hemolysis test</w:t>
      </w:r>
    </w:p>
    <w:p w14:paraId="42CEA69E" w14:textId="77777777" w:rsidR="00D8516E" w:rsidRPr="00ED297C" w:rsidRDefault="00D8516E" w:rsidP="00E11F17">
      <w:pPr>
        <w:spacing w:line="360" w:lineRule="auto"/>
        <w:ind w:rightChars="-94" w:right="-197"/>
        <w:rPr>
          <w:rFonts w:ascii="Times New Roman" w:hAnsi="Times New Roman" w:cs="Times New Roman"/>
          <w:sz w:val="24"/>
        </w:rPr>
      </w:pPr>
      <w:r w:rsidRPr="009400F8">
        <w:rPr>
          <w:rFonts w:ascii="Times New Roman" w:hAnsi="Times New Roman" w:cs="Times New Roman" w:hint="eastAsia"/>
          <w:sz w:val="24"/>
        </w:rPr>
        <w:t xml:space="preserve">We collected the blood of </w:t>
      </w:r>
      <w:r>
        <w:rPr>
          <w:rFonts w:ascii="Times New Roman" w:hAnsi="Times New Roman" w:cs="Times New Roman" w:hint="eastAsia"/>
          <w:sz w:val="24"/>
        </w:rPr>
        <w:t>C3H/HeN</w:t>
      </w:r>
      <w:r w:rsidRPr="009400F8">
        <w:rPr>
          <w:rFonts w:ascii="Times New Roman" w:hAnsi="Times New Roman" w:cs="Times New Roman" w:hint="eastAsia"/>
          <w:sz w:val="24"/>
        </w:rPr>
        <w:t xml:space="preserve"> mice, and wash it with </w:t>
      </w:r>
      <w:r w:rsidRPr="00C24EE2">
        <w:rPr>
          <w:rFonts w:ascii="Times New Roman" w:hAnsi="Times New Roman" w:cs="Times New Roman" w:hint="eastAsia"/>
          <w:sz w:val="24"/>
        </w:rPr>
        <w:t>normal saline</w:t>
      </w:r>
      <w:r w:rsidRPr="009400F8">
        <w:rPr>
          <w:rFonts w:ascii="Times New Roman" w:hAnsi="Times New Roman" w:cs="Times New Roman" w:hint="eastAsia"/>
          <w:sz w:val="24"/>
        </w:rPr>
        <w:t>.</w:t>
      </w:r>
      <w:r>
        <w:rPr>
          <w:rFonts w:ascii="Times New Roman" w:hAnsi="Times New Roman" w:cs="Times New Roman" w:hint="eastAsia"/>
          <w:sz w:val="24"/>
        </w:rPr>
        <w:t xml:space="preserve"> After that</w:t>
      </w:r>
      <w:r w:rsidRPr="009400F8">
        <w:rPr>
          <w:rFonts w:ascii="Times New Roman" w:hAnsi="Times New Roman" w:cs="Times New Roman" w:hint="eastAsia"/>
          <w:sz w:val="24"/>
        </w:rPr>
        <w:t xml:space="preserve">, the RBCs were diluted to </w:t>
      </w:r>
      <w:r>
        <w:rPr>
          <w:rFonts w:ascii="Times New Roman" w:hAnsi="Times New Roman" w:cs="Times New Roman" w:hint="eastAsia"/>
          <w:sz w:val="24"/>
        </w:rPr>
        <w:t>2</w:t>
      </w:r>
      <w:r w:rsidRPr="009400F8">
        <w:rPr>
          <w:rFonts w:ascii="Times New Roman" w:hAnsi="Times New Roman" w:cs="Times New Roman" w:hint="eastAsia"/>
          <w:sz w:val="24"/>
        </w:rPr>
        <w:t xml:space="preserve">%. Then the </w:t>
      </w:r>
      <w:r>
        <w:rPr>
          <w:rFonts w:ascii="Times New Roman" w:hAnsi="Times New Roman" w:cs="Times New Roman" w:hint="eastAsia"/>
          <w:sz w:val="24"/>
        </w:rPr>
        <w:t>DMP</w:t>
      </w:r>
      <w:r w:rsidRPr="009400F8">
        <w:rPr>
          <w:rFonts w:ascii="Times New Roman" w:hAnsi="Times New Roman" w:cs="Times New Roman" w:hint="eastAsia"/>
          <w:sz w:val="24"/>
        </w:rPr>
        <w:t xml:space="preserve"> nanoparticle or PEI25K was added to 1mL of the diluted RBC suspension at the final concentration of </w:t>
      </w:r>
      <w:r>
        <w:rPr>
          <w:rFonts w:ascii="Times New Roman" w:hAnsi="Times New Roman" w:cs="Times New Roman" w:hint="eastAsia"/>
          <w:sz w:val="24"/>
        </w:rPr>
        <w:t>50</w:t>
      </w:r>
      <w:r w:rsidRPr="009400F8">
        <w:rPr>
          <w:rFonts w:ascii="Times New Roman" w:hAnsi="Times New Roman" w:cs="Times New Roman" w:hint="eastAsia"/>
          <w:sz w:val="24"/>
        </w:rPr>
        <w:t xml:space="preserve">, </w:t>
      </w:r>
      <w:r>
        <w:rPr>
          <w:rFonts w:ascii="Times New Roman" w:hAnsi="Times New Roman" w:cs="Times New Roman" w:hint="eastAsia"/>
          <w:sz w:val="24"/>
        </w:rPr>
        <w:t>75</w:t>
      </w:r>
      <w:r w:rsidRPr="009400F8">
        <w:rPr>
          <w:rFonts w:ascii="Times New Roman" w:hAnsi="Times New Roman" w:cs="Times New Roman" w:hint="eastAsia"/>
          <w:sz w:val="24"/>
        </w:rPr>
        <w:t xml:space="preserve">, </w:t>
      </w:r>
      <w:r>
        <w:rPr>
          <w:rFonts w:ascii="Times New Roman" w:hAnsi="Times New Roman" w:cs="Times New Roman" w:hint="eastAsia"/>
          <w:sz w:val="24"/>
        </w:rPr>
        <w:t>150</w:t>
      </w:r>
      <w:r w:rsidRPr="009400F8">
        <w:rPr>
          <w:rFonts w:ascii="Times New Roman" w:hAnsi="Times New Roman" w:cs="Times New Roman" w:hint="eastAsia"/>
          <w:sz w:val="24"/>
        </w:rPr>
        <w:t xml:space="preserve">, </w:t>
      </w:r>
      <w:r>
        <w:rPr>
          <w:rFonts w:ascii="Times New Roman" w:hAnsi="Times New Roman" w:cs="Times New Roman" w:hint="eastAsia"/>
          <w:sz w:val="24"/>
        </w:rPr>
        <w:t>300</w:t>
      </w:r>
      <w:r w:rsidRPr="009400F8">
        <w:rPr>
          <w:rFonts w:ascii="Times New Roman" w:hAnsi="Times New Roman" w:cs="Times New Roman" w:hint="eastAsia"/>
          <w:sz w:val="24"/>
        </w:rPr>
        <w:t xml:space="preserve"> or </w:t>
      </w:r>
      <w:r>
        <w:rPr>
          <w:rFonts w:ascii="Times New Roman" w:hAnsi="Times New Roman" w:cs="Times New Roman" w:hint="eastAsia"/>
          <w:sz w:val="24"/>
        </w:rPr>
        <w:t>40</w:t>
      </w:r>
      <w:r w:rsidRPr="009400F8">
        <w:rPr>
          <w:rFonts w:ascii="Times New Roman" w:hAnsi="Times New Roman" w:cs="Times New Roman" w:hint="eastAsia"/>
          <w:sz w:val="24"/>
        </w:rPr>
        <w:t xml:space="preserve">0 </w:t>
      </w:r>
      <w:r w:rsidRPr="00C5554D">
        <w:rPr>
          <w:rFonts w:ascii="Times New Roman" w:hAnsi="Times New Roman" w:cs="Times New Roman"/>
          <w:sz w:val="24"/>
        </w:rPr>
        <w:t xml:space="preserve">μg/mL, </w:t>
      </w:r>
      <w:r w:rsidRPr="009400F8">
        <w:rPr>
          <w:rFonts w:ascii="Times New Roman" w:hAnsi="Times New Roman" w:cs="Times New Roman" w:hint="eastAsia"/>
          <w:sz w:val="24"/>
        </w:rPr>
        <w:t>resp</w:t>
      </w:r>
      <w:r w:rsidRPr="00CD51D6">
        <w:rPr>
          <w:rFonts w:ascii="Times New Roman" w:hAnsi="Times New Roman" w:cs="Times New Roman"/>
          <w:sz w:val="24"/>
        </w:rPr>
        <w:t>ectively. After incubated at 37℃ for 1h, the specimens were then centrifuged under 10000×g for 5 min. All specimens were photographed and the supernatant was collected. A 100 μL amount of supernatant from the sample tube was transferred to a 96-well plate. The absorbance v</w:t>
      </w:r>
      <w:r w:rsidRPr="009400F8">
        <w:rPr>
          <w:rFonts w:ascii="Times New Roman" w:hAnsi="Times New Roman" w:cs="Times New Roman" w:hint="eastAsia"/>
          <w:sz w:val="24"/>
        </w:rPr>
        <w:t xml:space="preserve">alue of hemoglobin at 562 nm was measured. An 1mL amount of diluted RBC suspension incubated with </w:t>
      </w:r>
      <w:r w:rsidRPr="00C24EE2">
        <w:rPr>
          <w:rFonts w:ascii="Times New Roman" w:hAnsi="Times New Roman" w:cs="Times New Roman" w:hint="eastAsia"/>
          <w:sz w:val="24"/>
        </w:rPr>
        <w:t>normal saline</w:t>
      </w:r>
      <w:r w:rsidRPr="009400F8">
        <w:rPr>
          <w:rFonts w:ascii="Times New Roman" w:hAnsi="Times New Roman" w:cs="Times New Roman" w:hint="eastAsia"/>
          <w:sz w:val="24"/>
        </w:rPr>
        <w:t xml:space="preserve"> and Triton</w:t>
      </w:r>
      <w:r>
        <w:rPr>
          <w:rFonts w:ascii="Times New Roman" w:hAnsi="Times New Roman" w:cs="Times New Roman" w:hint="eastAsia"/>
          <w:sz w:val="24"/>
        </w:rPr>
        <w:t xml:space="preserve"> X-100</w:t>
      </w:r>
      <w:r w:rsidRPr="009400F8">
        <w:rPr>
          <w:rFonts w:ascii="Times New Roman" w:hAnsi="Times New Roman" w:cs="Times New Roman" w:hint="eastAsia"/>
          <w:sz w:val="24"/>
        </w:rPr>
        <w:t xml:space="preserve"> was used as the negative or positive control</w:t>
      </w:r>
      <w:r>
        <w:rPr>
          <w:rFonts w:ascii="Times New Roman" w:hAnsi="Times New Roman" w:cs="Times New Roman" w:hint="eastAsia"/>
          <w:sz w:val="24"/>
        </w:rPr>
        <w:t xml:space="preserve"> in this assay</w:t>
      </w:r>
      <w:r w:rsidRPr="009400F8">
        <w:rPr>
          <w:rFonts w:ascii="Times New Roman" w:hAnsi="Times New Roman" w:cs="Times New Roman" w:hint="eastAsia"/>
          <w:sz w:val="24"/>
        </w:rPr>
        <w:t>. The percent of hemolysis was calculated as follows: Hemolysis</w:t>
      </w:r>
      <w:r>
        <w:rPr>
          <w:rFonts w:ascii="Times New Roman" w:hAnsi="Times New Roman" w:cs="Times New Roman" w:hint="eastAsia"/>
          <w:sz w:val="24"/>
        </w:rPr>
        <w:t xml:space="preserve"> (</w:t>
      </w:r>
      <w:r w:rsidRPr="009400F8">
        <w:rPr>
          <w:rFonts w:ascii="Times New Roman" w:hAnsi="Times New Roman" w:cs="Times New Roman" w:hint="eastAsia"/>
          <w:sz w:val="24"/>
        </w:rPr>
        <w:t>%</w:t>
      </w:r>
      <w:r>
        <w:rPr>
          <w:rFonts w:ascii="Times New Roman" w:hAnsi="Times New Roman" w:cs="Times New Roman" w:hint="eastAsia"/>
          <w:sz w:val="24"/>
        </w:rPr>
        <w:t>)</w:t>
      </w:r>
      <w:r w:rsidRPr="009400F8">
        <w:rPr>
          <w:rFonts w:ascii="Times New Roman" w:hAnsi="Times New Roman" w:cs="Times New Roman" w:hint="eastAsia"/>
          <w:sz w:val="24"/>
        </w:rPr>
        <w:t xml:space="preserve"> = [(sample absorbance-negative control)/(positive control-negative control)]</w:t>
      </w:r>
      <w:r w:rsidRPr="00496CF7">
        <w:rPr>
          <w:rFonts w:ascii="Times New Roman" w:hAnsi="Times New Roman" w:cs="Times New Roman"/>
          <w:sz w:val="24"/>
        </w:rPr>
        <w:t xml:space="preserve"> × </w:t>
      </w:r>
      <w:r w:rsidRPr="009400F8">
        <w:rPr>
          <w:rFonts w:ascii="Times New Roman" w:hAnsi="Times New Roman" w:cs="Times New Roman" w:hint="eastAsia"/>
          <w:sz w:val="24"/>
        </w:rPr>
        <w:t>100%.</w:t>
      </w:r>
    </w:p>
    <w:p w14:paraId="0CDADEAF"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hint="eastAsia"/>
          <w:b/>
          <w:bCs/>
          <w:sz w:val="24"/>
          <w:szCs w:val="24"/>
        </w:rPr>
        <w:t>mRNA g</w:t>
      </w:r>
      <w:r w:rsidRPr="008458CD">
        <w:rPr>
          <w:rFonts w:ascii="Times New Roman" w:eastAsia="宋体" w:hAnsi="Times New Roman" w:cs="Times New Roman"/>
          <w:b/>
          <w:bCs/>
          <w:sz w:val="24"/>
          <w:szCs w:val="24"/>
        </w:rPr>
        <w:t>el retarding assay</w:t>
      </w:r>
    </w:p>
    <w:p w14:paraId="439D8689" w14:textId="77777777" w:rsidR="00D8516E" w:rsidRDefault="00D8516E" w:rsidP="00670A70">
      <w:pPr>
        <w:spacing w:line="360" w:lineRule="auto"/>
        <w:ind w:rightChars="-94" w:right="-197"/>
        <w:rPr>
          <w:rFonts w:ascii="Times New Roman" w:hAnsi="Times New Roman"/>
          <w:kern w:val="0"/>
          <w:sz w:val="24"/>
        </w:rPr>
      </w:pPr>
      <w:r>
        <w:rPr>
          <w:rFonts w:ascii="Times New Roman" w:eastAsia="宋体" w:hAnsi="Times New Roman" w:cs="Times New Roman"/>
          <w:kern w:val="0"/>
          <w:sz w:val="24"/>
          <w:szCs w:val="24"/>
        </w:rPr>
        <w:t>An</w:t>
      </w:r>
      <w:r>
        <w:rPr>
          <w:rFonts w:ascii="Times New Roman" w:hAnsi="Times New Roman"/>
          <w:kern w:val="0"/>
          <w:sz w:val="24"/>
        </w:rPr>
        <w:t xml:space="preserve"> mRNA gel</w:t>
      </w:r>
      <w:r>
        <w:rPr>
          <w:rFonts w:ascii="Times New Roman" w:eastAsia="宋体" w:hAnsi="Times New Roman" w:cs="Times New Roman"/>
          <w:kern w:val="0"/>
          <w:sz w:val="24"/>
          <w:szCs w:val="24"/>
        </w:rPr>
        <w:t>-</w:t>
      </w:r>
      <w:r>
        <w:rPr>
          <w:rFonts w:ascii="Times New Roman" w:hAnsi="Times New Roman"/>
          <w:kern w:val="0"/>
          <w:sz w:val="24"/>
        </w:rPr>
        <w:t xml:space="preserve">retardation assay was </w:t>
      </w:r>
      <w:r>
        <w:rPr>
          <w:rFonts w:ascii="Times New Roman" w:eastAsia="宋体" w:hAnsi="Times New Roman" w:cs="Times New Roman"/>
          <w:kern w:val="0"/>
          <w:sz w:val="24"/>
          <w:szCs w:val="24"/>
        </w:rPr>
        <w:t>used</w:t>
      </w:r>
      <w:r>
        <w:rPr>
          <w:rFonts w:ascii="Times New Roman" w:hAnsi="Times New Roman"/>
          <w:kern w:val="0"/>
          <w:sz w:val="24"/>
        </w:rPr>
        <w:t xml:space="preserve"> to evaluate the binding capacity of DMP nanoparticles to mBim mRNA. mBim mRNA </w:t>
      </w:r>
      <w:r>
        <w:rPr>
          <w:rFonts w:ascii="Times New Roman" w:eastAsia="宋体" w:hAnsi="Times New Roman" w:cs="Times New Roman"/>
          <w:kern w:val="0"/>
          <w:sz w:val="24"/>
          <w:szCs w:val="24"/>
        </w:rPr>
        <w:t xml:space="preserve">(0.5 μg) </w:t>
      </w:r>
      <w:r>
        <w:rPr>
          <w:rFonts w:ascii="Times New Roman" w:hAnsi="Times New Roman"/>
          <w:kern w:val="0"/>
          <w:sz w:val="24"/>
        </w:rPr>
        <w:t xml:space="preserve">was incubated with DMP nanoparticles at various weight ratios for 15 </w:t>
      </w:r>
      <w:r>
        <w:rPr>
          <w:rFonts w:ascii="Times New Roman" w:eastAsia="宋体" w:hAnsi="Times New Roman" w:cs="Times New Roman"/>
          <w:kern w:val="0"/>
          <w:sz w:val="24"/>
          <w:szCs w:val="24"/>
        </w:rPr>
        <w:t>min</w:t>
      </w:r>
      <w:r>
        <w:rPr>
          <w:rFonts w:ascii="Times New Roman" w:hAnsi="Times New Roman"/>
          <w:kern w:val="0"/>
          <w:sz w:val="24"/>
        </w:rPr>
        <w:t xml:space="preserve">. Subsequently, a 1% (w/v) agarose gel was prepared and stained with GoldView II Nuclear Staining Dye (Solarbio, Beijing, China). The complexes were loaded onto the gel using RNA loading buffer. Electrophoresis was </w:t>
      </w:r>
      <w:r>
        <w:rPr>
          <w:rFonts w:ascii="Times New Roman" w:eastAsia="宋体" w:hAnsi="Times New Roman" w:cs="Times New Roman"/>
          <w:kern w:val="0"/>
          <w:sz w:val="24"/>
          <w:szCs w:val="24"/>
        </w:rPr>
        <w:t>performed</w:t>
      </w:r>
      <w:r>
        <w:rPr>
          <w:rFonts w:ascii="Times New Roman" w:hAnsi="Times New Roman"/>
          <w:kern w:val="0"/>
          <w:sz w:val="24"/>
        </w:rPr>
        <w:t xml:space="preserve"> at a constant voltage of 120 V for 15 </w:t>
      </w:r>
      <w:r>
        <w:rPr>
          <w:rFonts w:ascii="Times New Roman" w:eastAsia="宋体" w:hAnsi="Times New Roman" w:cs="Times New Roman"/>
          <w:kern w:val="0"/>
          <w:sz w:val="24"/>
          <w:szCs w:val="24"/>
        </w:rPr>
        <w:t>min. The results</w:t>
      </w:r>
      <w:r>
        <w:rPr>
          <w:rFonts w:ascii="Times New Roman" w:hAnsi="Times New Roman"/>
          <w:kern w:val="0"/>
          <w:sz w:val="24"/>
        </w:rPr>
        <w:t xml:space="preserve"> were visualized using a ChemiDoc XRS imaging system (Bio-Rad</w:t>
      </w:r>
      <w:r>
        <w:rPr>
          <w:rFonts w:ascii="Times New Roman" w:eastAsia="宋体" w:hAnsi="Times New Roman" w:cs="Times New Roman"/>
          <w:kern w:val="0"/>
          <w:sz w:val="24"/>
          <w:szCs w:val="24"/>
        </w:rPr>
        <w:t>, Hercules, CA</w:t>
      </w:r>
      <w:r>
        <w:rPr>
          <w:rFonts w:ascii="Times New Roman" w:hAnsi="Times New Roman"/>
          <w:kern w:val="0"/>
          <w:sz w:val="24"/>
        </w:rPr>
        <w:t>, USA).</w:t>
      </w:r>
    </w:p>
    <w:p w14:paraId="0D3F20FF"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b/>
          <w:bCs/>
          <w:sz w:val="24"/>
          <w:szCs w:val="24"/>
        </w:rPr>
        <w:t>RNase protection assay</w:t>
      </w:r>
    </w:p>
    <w:p w14:paraId="49E18757" w14:textId="77777777" w:rsidR="00D8516E" w:rsidRDefault="00D8516E" w:rsidP="00670A70">
      <w:pPr>
        <w:spacing w:line="360" w:lineRule="auto"/>
        <w:ind w:rightChars="-94" w:right="-197"/>
        <w:rPr>
          <w:rFonts w:ascii="Times New Roman" w:eastAsia="宋体" w:hAnsi="Times New Roman" w:cs="Times New Roman"/>
          <w:sz w:val="24"/>
          <w:szCs w:val="24"/>
        </w:rPr>
      </w:pPr>
      <w:r w:rsidRPr="00B567DC">
        <w:rPr>
          <w:rFonts w:ascii="Times New Roman" w:eastAsia="宋体" w:hAnsi="Times New Roman" w:cs="Times New Roman"/>
          <w:sz w:val="24"/>
          <w:szCs w:val="24"/>
        </w:rPr>
        <w:t xml:space="preserve">The protective efficacy of DMP nanoparticles was assessed using an RNase protection assay. Initially, free mBim mRNA or DMP-mRNA complexes (0.5 μg each) were </w:t>
      </w:r>
      <w:r w:rsidRPr="00B567DC">
        <w:rPr>
          <w:rFonts w:ascii="Times New Roman" w:eastAsia="宋体" w:hAnsi="Times New Roman" w:cs="Times New Roman"/>
          <w:sz w:val="24"/>
          <w:szCs w:val="24"/>
        </w:rPr>
        <w:lastRenderedPageBreak/>
        <w:t>incubated with RNase A (Solarbio, China) at a final concentration of 25 μg/mL. The mixtures were maintained at 37 °C for various durations (0, 0.25, 1, 2, and 4 h). Subsequently, sodium dodecyl sulfate (SDS, 2.7 mg/mL) was added to all DMP-mRNA samples and incubated at 80 °C for 10 min. The resulting solutions were subjected to electrophoresis on a 1% (w/v) agarose gel and stained with GoldView II Nuclear Staining Dye at 120 V for 15 min. The results were visualized using</w:t>
      </w:r>
      <w:r>
        <w:rPr>
          <w:rFonts w:ascii="Times New Roman" w:eastAsia="宋体" w:hAnsi="Times New Roman" w:cs="Times New Roman" w:hint="eastAsia"/>
          <w:sz w:val="24"/>
          <w:szCs w:val="24"/>
        </w:rPr>
        <w:t xml:space="preserve"> ChemiDoc</w:t>
      </w:r>
      <w:r w:rsidRPr="00A156CC">
        <w:rPr>
          <w:rFonts w:ascii="Times New Roman" w:eastAsia="宋体" w:hAnsi="Times New Roman" w:cs="Times New Roman" w:hint="eastAsia"/>
          <w:sz w:val="24"/>
          <w:szCs w:val="24"/>
          <w:vertAlign w:val="superscript"/>
        </w:rPr>
        <w:t>TM</w:t>
      </w:r>
      <w:r>
        <w:rPr>
          <w:rFonts w:ascii="Times New Roman" w:eastAsia="宋体" w:hAnsi="Times New Roman" w:cs="Times New Roman" w:hint="eastAsia"/>
          <w:sz w:val="24"/>
          <w:szCs w:val="24"/>
          <w:vertAlign w:val="superscript"/>
        </w:rPr>
        <w:t xml:space="preserve"> </w:t>
      </w:r>
      <w:r>
        <w:rPr>
          <w:rFonts w:ascii="Times New Roman" w:eastAsia="宋体" w:hAnsi="Times New Roman" w:cs="Times New Roman" w:hint="eastAsia"/>
          <w:sz w:val="24"/>
          <w:szCs w:val="24"/>
        </w:rPr>
        <w:t>Imaging System (</w:t>
      </w:r>
      <w:r>
        <w:rPr>
          <w:rFonts w:ascii="Times New Roman" w:hAnsi="Times New Roman"/>
          <w:kern w:val="0"/>
          <w:sz w:val="24"/>
        </w:rPr>
        <w:t>Bio-Rad</w:t>
      </w:r>
      <w:r>
        <w:rPr>
          <w:rFonts w:ascii="Times New Roman" w:eastAsia="宋体" w:hAnsi="Times New Roman" w:cs="Times New Roman"/>
          <w:kern w:val="0"/>
          <w:sz w:val="24"/>
          <w:szCs w:val="24"/>
        </w:rPr>
        <w:t>, Hercules, CA</w:t>
      </w:r>
      <w:r>
        <w:rPr>
          <w:rFonts w:ascii="Times New Roman" w:hAnsi="Times New Roman"/>
          <w:kern w:val="0"/>
          <w:sz w:val="24"/>
        </w:rPr>
        <w:t>, USA</w:t>
      </w:r>
      <w:r>
        <w:rPr>
          <w:rFonts w:ascii="Times New Roman" w:eastAsia="宋体" w:hAnsi="Times New Roman" w:cs="Times New Roman" w:hint="eastAsia"/>
          <w:sz w:val="24"/>
          <w:szCs w:val="24"/>
        </w:rPr>
        <w:t>)</w:t>
      </w:r>
      <w:r w:rsidRPr="00B567DC">
        <w:rPr>
          <w:rFonts w:ascii="Times New Roman" w:eastAsia="宋体" w:hAnsi="Times New Roman" w:cs="Times New Roman"/>
          <w:sz w:val="24"/>
          <w:szCs w:val="24"/>
        </w:rPr>
        <w:t>.</w:t>
      </w:r>
    </w:p>
    <w:p w14:paraId="6C11F0FD"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hint="eastAsia"/>
          <w:b/>
          <w:bCs/>
          <w:sz w:val="24"/>
          <w:szCs w:val="24"/>
        </w:rPr>
        <w:t>C</w:t>
      </w:r>
      <w:r w:rsidRPr="008458CD">
        <w:rPr>
          <w:rFonts w:ascii="Times New Roman" w:eastAsia="宋体" w:hAnsi="Times New Roman" w:cs="Times New Roman"/>
          <w:b/>
          <w:bCs/>
          <w:sz w:val="24"/>
          <w:szCs w:val="24"/>
        </w:rPr>
        <w:t>ytotoxicity assay</w:t>
      </w:r>
    </w:p>
    <w:p w14:paraId="075718B1" w14:textId="77777777" w:rsidR="00D8516E" w:rsidRPr="003442EF" w:rsidRDefault="00D8516E" w:rsidP="00670A70">
      <w:pPr>
        <w:spacing w:line="360" w:lineRule="auto"/>
        <w:ind w:rightChars="-94" w:right="-197"/>
        <w:rPr>
          <w:rFonts w:ascii="Times New Roman" w:eastAsia="宋体" w:hAnsi="Times New Roman"/>
          <w:sz w:val="24"/>
          <w:szCs w:val="24"/>
        </w:rPr>
      </w:pPr>
      <w:r w:rsidRPr="003442EF">
        <w:rPr>
          <w:rFonts w:ascii="Times New Roman" w:eastAsia="宋体" w:hAnsi="Times New Roman"/>
          <w:sz w:val="24"/>
          <w:szCs w:val="24"/>
        </w:rPr>
        <w:t xml:space="preserve">The cytotoxicity of DMP nanoparticles was assessed using the MTT assay in 293T cells. Cells were seeded in 96-well plates at a density of 1.5 × 10⁴ cells/well and incubated for 48 h at 37 °C. Subsequently, DMP nanoparticles and PEI25K were added to the wells at various concentrations. Each treatment group contained six replicate wells, followed by an additional 24-hour incubation. Thereafter, 20 μL of MTT solution (5 mg/mL; Sigma-Aldrich, USA) was added to each well to terminate the reaction. After 4 h of incubation at 37 °C in the dark, the supernatant was aspirated and replaced with 150 μL dimethyl sulfoxide (DMSO) solution. Following a 10-minute incubation at </w:t>
      </w:r>
      <w:r>
        <w:rPr>
          <w:rFonts w:ascii="Times New Roman" w:eastAsia="宋体" w:hAnsi="Times New Roman" w:hint="eastAsia"/>
          <w:sz w:val="24"/>
          <w:szCs w:val="24"/>
        </w:rPr>
        <w:t>25</w:t>
      </w:r>
      <w:r w:rsidRPr="003442EF">
        <w:rPr>
          <w:rFonts w:ascii="Times New Roman" w:eastAsia="宋体" w:hAnsi="Times New Roman"/>
          <w:sz w:val="24"/>
          <w:szCs w:val="24"/>
        </w:rPr>
        <w:t xml:space="preserve"> °C, the absorbance at 562 nm was measured using a SpectraMax absorbance reader (Molecular Devices, USA).</w:t>
      </w:r>
      <w:r w:rsidRPr="003442EF">
        <w:rPr>
          <w:rFonts w:ascii="Times New Roman" w:eastAsia="宋体" w:hAnsi="Times New Roman" w:hint="eastAsia"/>
          <w:sz w:val="24"/>
          <w:szCs w:val="24"/>
        </w:rPr>
        <w:t xml:space="preserve"> </w:t>
      </w:r>
    </w:p>
    <w:p w14:paraId="335AFEAA"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E282E">
        <w:rPr>
          <w:rFonts w:ascii="Times New Roman" w:eastAsia="宋体" w:hAnsi="Times New Roman" w:cs="Times New Roman"/>
          <w:b/>
          <w:bCs/>
          <w:i/>
          <w:iCs/>
          <w:sz w:val="24"/>
          <w:szCs w:val="24"/>
        </w:rPr>
        <w:t>In vitro</w:t>
      </w:r>
      <w:r w:rsidRPr="008E282E">
        <w:rPr>
          <w:rFonts w:ascii="Times New Roman" w:eastAsia="宋体" w:hAnsi="Times New Roman" w:cs="Times New Roman"/>
          <w:b/>
          <w:bCs/>
          <w:sz w:val="24"/>
          <w:szCs w:val="24"/>
        </w:rPr>
        <w:t xml:space="preserve"> </w:t>
      </w:r>
      <w:r w:rsidRPr="008E282E">
        <w:rPr>
          <w:rFonts w:ascii="Times New Roman" w:eastAsia="宋体" w:hAnsi="Times New Roman" w:cs="Times New Roman" w:hint="eastAsia"/>
          <w:b/>
          <w:bCs/>
          <w:sz w:val="24"/>
          <w:szCs w:val="24"/>
        </w:rPr>
        <w:t>a</w:t>
      </w:r>
      <w:r w:rsidRPr="008E282E">
        <w:rPr>
          <w:rFonts w:ascii="Times New Roman" w:eastAsia="宋体" w:hAnsi="Times New Roman" w:cs="Times New Roman"/>
          <w:b/>
          <w:bCs/>
          <w:sz w:val="24"/>
          <w:szCs w:val="24"/>
        </w:rPr>
        <w:t>nti-</w:t>
      </w:r>
      <w:r w:rsidRPr="008E282E">
        <w:rPr>
          <w:rFonts w:ascii="Times New Roman" w:eastAsia="宋体" w:hAnsi="Times New Roman" w:cs="Times New Roman" w:hint="eastAsia"/>
          <w:b/>
          <w:bCs/>
          <w:sz w:val="24"/>
          <w:szCs w:val="24"/>
        </w:rPr>
        <w:t>p</w:t>
      </w:r>
      <w:r w:rsidRPr="008E282E">
        <w:rPr>
          <w:rFonts w:ascii="Times New Roman" w:eastAsia="宋体" w:hAnsi="Times New Roman" w:cs="Times New Roman"/>
          <w:b/>
          <w:bCs/>
          <w:sz w:val="24"/>
          <w:szCs w:val="24"/>
        </w:rPr>
        <w:t xml:space="preserve">roliferation </w:t>
      </w:r>
      <w:r w:rsidRPr="008E282E">
        <w:rPr>
          <w:rFonts w:ascii="Times New Roman" w:eastAsia="宋体" w:hAnsi="Times New Roman" w:cs="Times New Roman" w:hint="eastAsia"/>
          <w:b/>
          <w:bCs/>
          <w:sz w:val="24"/>
          <w:szCs w:val="24"/>
        </w:rPr>
        <w:t>a</w:t>
      </w:r>
      <w:r w:rsidRPr="008E282E">
        <w:rPr>
          <w:rFonts w:ascii="Times New Roman" w:eastAsia="宋体" w:hAnsi="Times New Roman" w:cs="Times New Roman"/>
          <w:b/>
          <w:bCs/>
          <w:sz w:val="24"/>
          <w:szCs w:val="24"/>
        </w:rPr>
        <w:t>ssay</w:t>
      </w:r>
    </w:p>
    <w:p w14:paraId="44E89AB9" w14:textId="77777777" w:rsidR="00D8516E" w:rsidRDefault="00D8516E" w:rsidP="00670A70">
      <w:pPr>
        <w:spacing w:line="360" w:lineRule="auto"/>
        <w:ind w:rightChars="-94" w:right="-197"/>
        <w:rPr>
          <w:rFonts w:ascii="Times New Roman" w:eastAsia="宋体" w:hAnsi="Times New Roman" w:cs="Times New Roman"/>
          <w:sz w:val="24"/>
          <w:szCs w:val="24"/>
        </w:rPr>
      </w:pPr>
      <w:r w:rsidRPr="00517307">
        <w:rPr>
          <w:rFonts w:ascii="Times New Roman" w:eastAsia="宋体" w:hAnsi="Times New Roman" w:cs="Times New Roman"/>
          <w:sz w:val="24"/>
          <w:szCs w:val="24"/>
        </w:rPr>
        <w:t>To evaluate the antiproliferative effects of the DMP-mBim complex, SCC-VII cells were seeded in 96-well plates at a density of 5,000 cells/well. Following the established transfection protocol, the cells were treated with DMP or DMP-mBim complex (0.5 μg/well). Transfection was initiated 24 h after seeding. After an additional 24-hour incubation, the anti-proliferative activity was quantified using the MTT assay</w:t>
      </w:r>
      <w:r>
        <w:rPr>
          <w:rFonts w:ascii="Times New Roman" w:eastAsia="宋体" w:hAnsi="Times New Roman" w:cs="Times New Roman" w:hint="eastAsia"/>
          <w:sz w:val="24"/>
          <w:szCs w:val="24"/>
        </w:rPr>
        <w:t xml:space="preserve"> as mentioned before</w:t>
      </w:r>
      <w:r w:rsidRPr="00517307">
        <w:rPr>
          <w:rFonts w:ascii="Times New Roman" w:eastAsia="宋体" w:hAnsi="Times New Roman" w:cs="Times New Roman"/>
          <w:sz w:val="24"/>
          <w:szCs w:val="24"/>
        </w:rPr>
        <w:t>.</w:t>
      </w:r>
    </w:p>
    <w:p w14:paraId="2A847251"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300162">
        <w:rPr>
          <w:rFonts w:ascii="Times New Roman" w:eastAsia="宋体" w:hAnsi="Times New Roman" w:cs="Times New Roman"/>
          <w:b/>
          <w:bCs/>
          <w:sz w:val="24"/>
          <w:szCs w:val="24"/>
        </w:rPr>
        <w:t>Clonogenic assay</w:t>
      </w:r>
    </w:p>
    <w:p w14:paraId="36224F5D" w14:textId="77777777" w:rsidR="00D8516E" w:rsidRPr="0080346A" w:rsidRDefault="00D8516E" w:rsidP="00670A70">
      <w:pPr>
        <w:spacing w:line="360" w:lineRule="auto"/>
        <w:ind w:rightChars="-94" w:right="-197"/>
        <w:rPr>
          <w:rFonts w:ascii="Times New Roman" w:eastAsia="宋体" w:hAnsi="Times New Roman" w:cs="Times New Roman"/>
          <w:sz w:val="24"/>
          <w:szCs w:val="24"/>
        </w:rPr>
      </w:pPr>
      <w:r w:rsidRPr="0080346A">
        <w:rPr>
          <w:rFonts w:ascii="Times New Roman" w:eastAsia="宋体" w:hAnsi="Times New Roman" w:cs="Times New Roman"/>
          <w:sz w:val="24"/>
          <w:szCs w:val="24"/>
        </w:rPr>
        <w:t>A clonogenic assay was performed to evaluate the antiproliferative effects of the complex. SCC-VII cells were seeded in 6-well plates at a density of 1,000 cells/well. Transfection with DMP and DMP-mBim mRNA (2 μg per well) was performed 24 and 96 h post-</w:t>
      </w:r>
      <w:r w:rsidRPr="0080346A">
        <w:rPr>
          <w:rFonts w:ascii="Times New Roman" w:eastAsia="宋体" w:hAnsi="Times New Roman" w:cs="Times New Roman"/>
          <w:sz w:val="24"/>
          <w:szCs w:val="24"/>
        </w:rPr>
        <w:lastRenderedPageBreak/>
        <w:t>seeding. The culture was terminated 9 days after transfection, and the colonies were visible on the plates. The supernatant was aspirated, and the wells were gently washed three times with PBS. Cells were fixed by incubation with 4% paraformaldehyde for 15 min, followed by staining with 1 mL of 0.5% (w/v) crystal violet solution for 20 min. The plates were then washed with PBS. Images of</w:t>
      </w:r>
      <w:r w:rsidRPr="0080346A">
        <w:rPr>
          <w:rFonts w:ascii="Times New Roman" w:eastAsia="宋体" w:hAnsi="Times New Roman" w:cs="Times New Roman"/>
          <w:b/>
          <w:sz w:val="24"/>
          <w:szCs w:val="24"/>
        </w:rPr>
        <w:t xml:space="preserve"> </w:t>
      </w:r>
      <w:r w:rsidRPr="0080346A">
        <w:rPr>
          <w:rFonts w:ascii="Times New Roman" w:eastAsia="宋体" w:hAnsi="Times New Roman" w:cs="Times New Roman"/>
          <w:sz w:val="24"/>
          <w:szCs w:val="24"/>
        </w:rPr>
        <w:t>the plates were acquired, and colonies were quantified.</w:t>
      </w:r>
    </w:p>
    <w:p w14:paraId="5D4B76A1" w14:textId="77777777" w:rsidR="00D8516E" w:rsidRPr="008458CD" w:rsidRDefault="00D8516E" w:rsidP="00670A70">
      <w:pPr>
        <w:spacing w:line="360" w:lineRule="auto"/>
        <w:ind w:rightChars="-94" w:right="-197"/>
        <w:rPr>
          <w:rFonts w:ascii="Times New Roman" w:eastAsia="宋体" w:hAnsi="Times New Roman" w:cs="Times New Roman"/>
          <w:b/>
          <w:sz w:val="24"/>
          <w:szCs w:val="24"/>
        </w:rPr>
      </w:pPr>
      <w:r w:rsidRPr="008458CD">
        <w:rPr>
          <w:rFonts w:ascii="Times New Roman" w:eastAsia="宋体" w:hAnsi="Times New Roman" w:cs="Times New Roman"/>
          <w:b/>
          <w:sz w:val="24"/>
          <w:szCs w:val="24"/>
        </w:rPr>
        <w:t>Quantitative real-time PCR</w:t>
      </w:r>
    </w:p>
    <w:p w14:paraId="3312E225" w14:textId="77777777" w:rsidR="00D8516E" w:rsidRPr="00F10F38" w:rsidRDefault="00D8516E" w:rsidP="00670A70">
      <w:pPr>
        <w:spacing w:line="360" w:lineRule="auto"/>
        <w:ind w:rightChars="-94" w:right="-197"/>
        <w:rPr>
          <w:rFonts w:ascii="Times New Roman" w:eastAsia="宋体" w:hAnsi="Times New Roman" w:cs="Times New Roman"/>
          <w:sz w:val="24"/>
          <w:szCs w:val="24"/>
        </w:rPr>
      </w:pPr>
      <w:r w:rsidRPr="00F10F38">
        <w:rPr>
          <w:rFonts w:ascii="Times New Roman" w:eastAsia="宋体" w:hAnsi="Times New Roman" w:cs="Times New Roman"/>
          <w:sz w:val="24"/>
          <w:szCs w:val="24"/>
        </w:rPr>
        <w:t>To assess mBim transcription levels post-transfection, SCC-VII cells were seeded in 24-well plates (4 × 10⁴ cells/well) and transfected with either DMP or DMP-mBim mRNA (1 μg per well). Total RNA was extracted 24 h post-transfection using the FastPure Cell/Tissue Total RNA Isolation Kit (Vazyme, Nanjing, China). Subsequently, cDNA was synthesized from the RNA template using the SuperScript II Reverse Transcriptase kit (</w:t>
      </w:r>
      <w:r w:rsidRPr="002944AE">
        <w:rPr>
          <w:rFonts w:ascii="Times New Roman" w:eastAsia="宋体" w:hAnsi="Times New Roman" w:cs="Times New Roman"/>
          <w:sz w:val="24"/>
          <w:szCs w:val="24"/>
        </w:rPr>
        <w:t>Invitrogen, USA</w:t>
      </w:r>
      <w:r w:rsidRPr="00F10F38">
        <w:rPr>
          <w:rFonts w:ascii="Times New Roman" w:eastAsia="宋体" w:hAnsi="Times New Roman" w:cs="Times New Roman"/>
          <w:sz w:val="24"/>
          <w:szCs w:val="24"/>
        </w:rPr>
        <w:t>), following the manufacturer’s protocol. Quantitative PCR was performed using SYBR qPCR Master Mix (Vazyme, China) on an ABI 7500 system (Applied Biosystems, USA) under the following cycling conditions: 50°C for 2 min; 95°C for 10 min; and 40 cycles of 95°C for 15 s and 60°C for 1 min. mBim expression was normalized to that of β-actin. Primer sequences were as follows:</w:t>
      </w:r>
      <w:r w:rsidRPr="00F10F38">
        <w:rPr>
          <w:rFonts w:ascii="Times New Roman" w:eastAsia="宋体" w:hAnsi="Times New Roman" w:cs="Times New Roman"/>
          <w:sz w:val="24"/>
          <w:szCs w:val="24"/>
        </w:rPr>
        <w:br/>
        <w:t>mBim: Forward 5ʹ-TTTGACACAGACAGGAGCCC-3ʹ, Reverse 5ʹ-CAGCTCCTGTGCAATCCGTA-3ʹ;</w:t>
      </w:r>
    </w:p>
    <w:p w14:paraId="767A6F3E" w14:textId="77777777" w:rsidR="00D8516E" w:rsidRPr="00F10F38" w:rsidRDefault="00D8516E" w:rsidP="00670A70">
      <w:pPr>
        <w:spacing w:line="360" w:lineRule="auto"/>
        <w:ind w:rightChars="-94" w:right="-197"/>
        <w:rPr>
          <w:rFonts w:ascii="Times New Roman" w:eastAsia="宋体" w:hAnsi="Times New Roman" w:cs="Times New Roman"/>
          <w:sz w:val="24"/>
          <w:szCs w:val="24"/>
        </w:rPr>
      </w:pPr>
      <w:r w:rsidRPr="00F10F38">
        <w:rPr>
          <w:rFonts w:ascii="Times New Roman" w:eastAsia="宋体" w:hAnsi="Times New Roman" w:cs="Times New Roman"/>
          <w:sz w:val="24"/>
          <w:szCs w:val="24"/>
        </w:rPr>
        <w:t>β-actin: Forward 5ʹ-CCCAGGCATTGCTGACAGG-3ʹ, Reverse 5ʹ-TGGAAGGTGGACAGTGAGGC-3ʹ.</w:t>
      </w:r>
    </w:p>
    <w:p w14:paraId="520A9A81" w14:textId="77777777" w:rsidR="00D8516E" w:rsidRDefault="00D8516E" w:rsidP="00670A70">
      <w:pPr>
        <w:spacing w:line="360" w:lineRule="auto"/>
        <w:ind w:rightChars="-94" w:right="-197" w:firstLineChars="100" w:firstLine="240"/>
        <w:rPr>
          <w:rFonts w:ascii="Times New Roman" w:eastAsia="宋体" w:hAnsi="Times New Roman" w:cs="Times New Roman"/>
          <w:b/>
          <w:bCs/>
          <w:i/>
          <w:iCs/>
          <w:sz w:val="24"/>
          <w:szCs w:val="24"/>
        </w:rPr>
      </w:pPr>
      <w:r w:rsidRPr="00F10F38">
        <w:rPr>
          <w:rFonts w:ascii="Times New Roman" w:eastAsia="宋体" w:hAnsi="Times New Roman" w:cs="Times New Roman"/>
          <w:sz w:val="24"/>
          <w:szCs w:val="24"/>
        </w:rPr>
        <w:t>All primers were synthesized and purified using HPLC (TSINGKE Biological Technology, Chengdu, China).</w:t>
      </w:r>
      <w:r w:rsidRPr="00F10F38">
        <w:rPr>
          <w:rFonts w:ascii="Times New Roman" w:eastAsia="宋体" w:hAnsi="Times New Roman" w:cs="Times New Roman"/>
          <w:b/>
          <w:bCs/>
          <w:i/>
          <w:iCs/>
          <w:sz w:val="24"/>
          <w:szCs w:val="24"/>
        </w:rPr>
        <w:t xml:space="preserve"> </w:t>
      </w:r>
    </w:p>
    <w:p w14:paraId="7BD61FCD"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b/>
          <w:bCs/>
          <w:i/>
          <w:iCs/>
          <w:sz w:val="24"/>
          <w:szCs w:val="24"/>
        </w:rPr>
        <w:t>In vitro</w:t>
      </w:r>
      <w:r w:rsidRPr="008458CD">
        <w:rPr>
          <w:rFonts w:ascii="Times New Roman" w:eastAsia="宋体" w:hAnsi="Times New Roman" w:cs="Times New Roman"/>
          <w:b/>
          <w:bCs/>
          <w:sz w:val="24"/>
          <w:szCs w:val="24"/>
        </w:rPr>
        <w:t xml:space="preserve"> </w:t>
      </w:r>
      <w:r w:rsidRPr="008458CD">
        <w:rPr>
          <w:rFonts w:ascii="Times New Roman" w:eastAsia="宋体" w:hAnsi="Times New Roman" w:cs="Times New Roman" w:hint="eastAsia"/>
          <w:b/>
          <w:bCs/>
          <w:sz w:val="24"/>
          <w:szCs w:val="24"/>
        </w:rPr>
        <w:t>a</w:t>
      </w:r>
      <w:r w:rsidRPr="008458CD">
        <w:rPr>
          <w:rFonts w:ascii="Times New Roman" w:eastAsia="宋体" w:hAnsi="Times New Roman" w:cs="Times New Roman"/>
          <w:b/>
          <w:bCs/>
          <w:sz w:val="24"/>
          <w:szCs w:val="24"/>
        </w:rPr>
        <w:t xml:space="preserve">poptosis </w:t>
      </w:r>
      <w:r w:rsidRPr="008458CD">
        <w:rPr>
          <w:rFonts w:ascii="Times New Roman" w:eastAsia="宋体" w:hAnsi="Times New Roman" w:cs="Times New Roman" w:hint="eastAsia"/>
          <w:b/>
          <w:bCs/>
          <w:sz w:val="24"/>
          <w:szCs w:val="24"/>
        </w:rPr>
        <w:t>a</w:t>
      </w:r>
      <w:r w:rsidRPr="008458CD">
        <w:rPr>
          <w:rFonts w:ascii="Times New Roman" w:eastAsia="宋体" w:hAnsi="Times New Roman" w:cs="Times New Roman"/>
          <w:b/>
          <w:bCs/>
          <w:sz w:val="24"/>
          <w:szCs w:val="24"/>
        </w:rPr>
        <w:t>ssay</w:t>
      </w:r>
    </w:p>
    <w:p w14:paraId="608EEC9D" w14:textId="77777777" w:rsidR="00D8516E" w:rsidRDefault="00D8516E" w:rsidP="00670A70">
      <w:pPr>
        <w:spacing w:line="360" w:lineRule="auto"/>
        <w:ind w:rightChars="-94" w:right="-197"/>
        <w:rPr>
          <w:rFonts w:ascii="Times New Roman" w:eastAsia="宋体" w:hAnsi="Times New Roman" w:cs="Times New Roman"/>
          <w:sz w:val="24"/>
          <w:szCs w:val="24"/>
        </w:rPr>
      </w:pPr>
      <w:r w:rsidRPr="005B0490">
        <w:rPr>
          <w:rFonts w:ascii="Times New Roman" w:eastAsia="宋体" w:hAnsi="Times New Roman" w:cs="Times New Roman"/>
          <w:sz w:val="24"/>
          <w:szCs w:val="24"/>
        </w:rPr>
        <w:t xml:space="preserve">Given the pro-apoptotic function of </w:t>
      </w:r>
      <w:r>
        <w:rPr>
          <w:rFonts w:ascii="Times New Roman" w:eastAsia="宋体" w:hAnsi="Times New Roman" w:cs="Times New Roman" w:hint="eastAsia"/>
          <w:sz w:val="24"/>
          <w:szCs w:val="24"/>
        </w:rPr>
        <w:t>m</w:t>
      </w:r>
      <w:r w:rsidRPr="005B0490">
        <w:rPr>
          <w:rFonts w:ascii="Times New Roman" w:eastAsia="宋体" w:hAnsi="Times New Roman" w:cs="Times New Roman"/>
          <w:sz w:val="24"/>
          <w:szCs w:val="24"/>
        </w:rPr>
        <w:t xml:space="preserve">Bim, we examined the cell death mechanisms after transfection. SCC-VII cells were seeded in 24-well plates (2.3 × 10⁴ cells/well). Following the aforementioned transfection protocol, the cells were treated with DMP or DMP-mBim complexes (2 μg mRNA/well) on two occasions: 24 and 48 h post-seeding. Twenty-four hours after the second transfection, the cells were harvested and dual-stained </w:t>
      </w:r>
      <w:r w:rsidRPr="005B0490">
        <w:rPr>
          <w:rFonts w:ascii="Times New Roman" w:eastAsia="宋体" w:hAnsi="Times New Roman" w:cs="Times New Roman"/>
          <w:sz w:val="24"/>
          <w:szCs w:val="24"/>
        </w:rPr>
        <w:lastRenderedPageBreak/>
        <w:t>with Annexin V-FITC and propidium iodide (KeyGEN BioTECH, China). Apoptotic cells were quantified by flow cytometry.</w:t>
      </w:r>
    </w:p>
    <w:p w14:paraId="661827A9"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b/>
          <w:bCs/>
          <w:sz w:val="24"/>
          <w:szCs w:val="24"/>
        </w:rPr>
        <w:t>Live/dead staining</w:t>
      </w:r>
    </w:p>
    <w:p w14:paraId="47B67C6C" w14:textId="77777777" w:rsidR="00D8516E" w:rsidRPr="00975CFF" w:rsidRDefault="00D8516E" w:rsidP="00670A70">
      <w:pPr>
        <w:spacing w:line="360" w:lineRule="auto"/>
        <w:ind w:rightChars="-94" w:right="-197"/>
        <w:rPr>
          <w:rFonts w:ascii="Times New Roman" w:eastAsia="宋体" w:hAnsi="Times New Roman" w:cs="Times New Roman"/>
          <w:b/>
          <w:bCs/>
          <w:sz w:val="24"/>
          <w:szCs w:val="24"/>
        </w:rPr>
      </w:pPr>
      <w:r w:rsidRPr="001C5AD6">
        <w:rPr>
          <w:rFonts w:ascii="Times New Roman" w:eastAsia="宋体" w:hAnsi="Times New Roman" w:cs="Times New Roman"/>
          <w:sz w:val="24"/>
          <w:szCs w:val="24"/>
        </w:rPr>
        <w:t>Cell viability was assessed using live/dead staining after transfection. SCC-VII cells were seeded in 24-well plates at a density of 2.3 × 10⁴ cells/well. Following the aforementioned transfection protocol, the cells were transfected with DMP or DMP-mBim complexes (2 μg mRNA/well) 24 h after seeding. After an additional 24-hour incubation, dual staining was performed using the Calcein AM/PI Double Stain Kit (Yeasen Biotechnology) according to the manufacturer’s instructions. Fluorescence microscopy images were acquired</w:t>
      </w:r>
      <w:r>
        <w:rPr>
          <w:rFonts w:ascii="Times New Roman" w:eastAsia="宋体" w:hAnsi="Times New Roman" w:cs="Times New Roman" w:hint="eastAsia"/>
          <w:sz w:val="24"/>
          <w:szCs w:val="24"/>
        </w:rPr>
        <w:t xml:space="preserve"> (</w:t>
      </w:r>
      <w:r w:rsidRPr="000360F0">
        <w:rPr>
          <w:rFonts w:ascii="Times New Roman" w:eastAsia="宋体" w:hAnsi="Times New Roman" w:cs="Times New Roman"/>
          <w:sz w:val="24"/>
          <w:szCs w:val="24"/>
        </w:rPr>
        <w:t>Olympus, Tokyo, Japan</w:t>
      </w:r>
      <w:r>
        <w:rPr>
          <w:rFonts w:ascii="Times New Roman" w:eastAsia="宋体" w:hAnsi="Times New Roman" w:cs="Times New Roman" w:hint="eastAsia"/>
          <w:sz w:val="24"/>
          <w:szCs w:val="24"/>
        </w:rPr>
        <w:t>)</w:t>
      </w:r>
      <w:r w:rsidRPr="001C5AD6">
        <w:rPr>
          <w:rFonts w:ascii="Times New Roman" w:eastAsia="宋体" w:hAnsi="Times New Roman" w:cs="Times New Roman"/>
          <w:sz w:val="24"/>
          <w:szCs w:val="24"/>
        </w:rPr>
        <w:t xml:space="preserve"> and analyzed using ImageJ software to quantify fluorescence intensity</w:t>
      </w:r>
      <w:r>
        <w:rPr>
          <w:rFonts w:ascii="Times New Roman" w:eastAsia="宋体" w:hAnsi="Times New Roman" w:cs="Times New Roman" w:hint="eastAsia"/>
          <w:b/>
          <w:bCs/>
          <w:sz w:val="24"/>
          <w:szCs w:val="24"/>
        </w:rPr>
        <w:t>.</w:t>
      </w:r>
    </w:p>
    <w:p w14:paraId="3ED02901" w14:textId="77777777" w:rsidR="00D8516E" w:rsidRPr="008458CD" w:rsidRDefault="00D8516E" w:rsidP="00670A70">
      <w:pPr>
        <w:spacing w:line="360" w:lineRule="auto"/>
        <w:ind w:rightChars="-94" w:right="-197"/>
        <w:rPr>
          <w:rFonts w:ascii="Times New Roman" w:eastAsia="宋体" w:hAnsi="Times New Roman"/>
          <w:b/>
          <w:bCs/>
          <w:sz w:val="24"/>
          <w:szCs w:val="24"/>
        </w:rPr>
      </w:pPr>
      <w:r w:rsidRPr="008458CD">
        <w:rPr>
          <w:rFonts w:ascii="Times New Roman" w:eastAsia="宋体" w:hAnsi="Times New Roman" w:hint="eastAsia"/>
          <w:b/>
          <w:bCs/>
          <w:sz w:val="24"/>
          <w:szCs w:val="24"/>
        </w:rPr>
        <w:t xml:space="preserve">Double-layered </w:t>
      </w:r>
      <w:r w:rsidRPr="007609BA">
        <w:rPr>
          <w:rFonts w:ascii="Times New Roman" w:eastAsia="宋体" w:hAnsi="Times New Roman" w:hint="eastAsia"/>
          <w:b/>
          <w:bCs/>
          <w:sz w:val="24"/>
          <w:szCs w:val="24"/>
        </w:rPr>
        <w:t>scaffold</w:t>
      </w:r>
      <w:r w:rsidRPr="008458CD">
        <w:rPr>
          <w:rFonts w:ascii="Times New Roman" w:eastAsia="宋体" w:hAnsi="Times New Roman"/>
          <w:b/>
          <w:bCs/>
          <w:sz w:val="24"/>
          <w:szCs w:val="24"/>
        </w:rPr>
        <w:t xml:space="preserve"> </w:t>
      </w:r>
      <w:r w:rsidRPr="008458CD">
        <w:rPr>
          <w:rFonts w:ascii="Times New Roman" w:eastAsia="宋体" w:hAnsi="Times New Roman"/>
          <w:b/>
          <w:bCs/>
          <w:i/>
          <w:iCs/>
          <w:sz w:val="24"/>
          <w:szCs w:val="24"/>
        </w:rPr>
        <w:t xml:space="preserve">in vitro </w:t>
      </w:r>
      <w:r w:rsidRPr="008458CD">
        <w:rPr>
          <w:rFonts w:ascii="Times New Roman" w:eastAsia="宋体" w:hAnsi="Times New Roman"/>
          <w:b/>
          <w:bCs/>
          <w:sz w:val="24"/>
          <w:szCs w:val="24"/>
        </w:rPr>
        <w:t xml:space="preserve">and </w:t>
      </w:r>
      <w:r w:rsidRPr="008458CD">
        <w:rPr>
          <w:rFonts w:ascii="Times New Roman" w:eastAsia="宋体" w:hAnsi="Times New Roman"/>
          <w:b/>
          <w:bCs/>
          <w:i/>
          <w:iCs/>
          <w:sz w:val="24"/>
          <w:szCs w:val="24"/>
        </w:rPr>
        <w:t xml:space="preserve">in vivo </w:t>
      </w:r>
      <w:r w:rsidRPr="008458CD">
        <w:rPr>
          <w:rFonts w:ascii="Times New Roman" w:eastAsia="宋体" w:hAnsi="Times New Roman"/>
          <w:b/>
          <w:bCs/>
          <w:sz w:val="24"/>
          <w:szCs w:val="24"/>
        </w:rPr>
        <w:t>degradation ability</w:t>
      </w:r>
    </w:p>
    <w:p w14:paraId="52C1E92C" w14:textId="77777777" w:rsidR="00D8516E" w:rsidRPr="009D425C" w:rsidRDefault="00D8516E" w:rsidP="00670A70">
      <w:pPr>
        <w:spacing w:line="360" w:lineRule="auto"/>
        <w:ind w:rightChars="-94" w:right="-197"/>
        <w:rPr>
          <w:rFonts w:ascii="Times New Roman" w:eastAsia="宋体" w:hAnsi="Times New Roman"/>
          <w:sz w:val="24"/>
          <w:szCs w:val="24"/>
        </w:rPr>
      </w:pPr>
      <w:r w:rsidRPr="009D425C">
        <w:rPr>
          <w:rFonts w:ascii="Times New Roman" w:eastAsia="宋体" w:hAnsi="Times New Roman"/>
          <w:sz w:val="24"/>
          <w:szCs w:val="24"/>
        </w:rPr>
        <w:t xml:space="preserve">First, the </w:t>
      </w:r>
      <w:r w:rsidRPr="009D425C">
        <w:rPr>
          <w:rFonts w:ascii="Times New Roman" w:eastAsia="宋体" w:hAnsi="Times New Roman"/>
          <w:i/>
          <w:sz w:val="24"/>
          <w:szCs w:val="24"/>
        </w:rPr>
        <w:t>in vitro</w:t>
      </w:r>
      <w:r w:rsidRPr="009D425C">
        <w:rPr>
          <w:rFonts w:ascii="Times New Roman" w:eastAsia="宋体" w:hAnsi="Times New Roman"/>
          <w:sz w:val="24"/>
          <w:szCs w:val="24"/>
        </w:rPr>
        <w:t xml:space="preserve"> degradability of the double-layered </w:t>
      </w:r>
      <w:r>
        <w:rPr>
          <w:rFonts w:ascii="Times New Roman" w:eastAsia="宋体" w:hAnsi="Times New Roman" w:hint="eastAsia"/>
          <w:sz w:val="24"/>
          <w:szCs w:val="24"/>
        </w:rPr>
        <w:t>scaffold</w:t>
      </w:r>
      <w:r w:rsidRPr="009D425C">
        <w:rPr>
          <w:rFonts w:ascii="Times New Roman" w:eastAsia="宋体" w:hAnsi="Times New Roman"/>
          <w:sz w:val="24"/>
          <w:szCs w:val="24"/>
        </w:rPr>
        <w:t xml:space="preserve">s was assessed. The inner </w:t>
      </w:r>
      <w:r>
        <w:rPr>
          <w:rFonts w:ascii="Times New Roman" w:eastAsia="宋体" w:hAnsi="Times New Roman" w:hint="eastAsia"/>
          <w:sz w:val="24"/>
          <w:szCs w:val="24"/>
        </w:rPr>
        <w:t>scaffold</w:t>
      </w:r>
      <w:r w:rsidRPr="009D425C">
        <w:rPr>
          <w:rFonts w:ascii="Times New Roman" w:eastAsia="宋体" w:hAnsi="Times New Roman"/>
          <w:sz w:val="24"/>
          <w:szCs w:val="24"/>
        </w:rPr>
        <w:t xml:space="preserve"> layer was stained with a red</w:t>
      </w:r>
      <w:r>
        <w:rPr>
          <w:rFonts w:ascii="Times New Roman" w:eastAsia="宋体" w:hAnsi="Times New Roman" w:hint="eastAsia"/>
          <w:sz w:val="24"/>
          <w:szCs w:val="24"/>
        </w:rPr>
        <w:t xml:space="preserve"> </w:t>
      </w:r>
      <w:r w:rsidRPr="009D425C">
        <w:rPr>
          <w:rFonts w:ascii="Times New Roman" w:eastAsia="宋体" w:hAnsi="Times New Roman"/>
          <w:sz w:val="24"/>
          <w:szCs w:val="24"/>
        </w:rPr>
        <w:t xml:space="preserve">non-diffusible hydrogel dye, whereas the outer layer remained unstained. The </w:t>
      </w:r>
      <w:r>
        <w:rPr>
          <w:rFonts w:ascii="Times New Roman" w:eastAsia="宋体" w:hAnsi="Times New Roman" w:hint="eastAsia"/>
          <w:sz w:val="24"/>
          <w:szCs w:val="24"/>
        </w:rPr>
        <w:t>scaffold</w:t>
      </w:r>
      <w:r w:rsidRPr="009D425C">
        <w:rPr>
          <w:rFonts w:ascii="Times New Roman" w:eastAsia="宋体" w:hAnsi="Times New Roman"/>
          <w:sz w:val="24"/>
          <w:szCs w:val="24"/>
        </w:rPr>
        <w:t xml:space="preserve"> was prepared according to the aforementioned procedure and placed in a 24-well plate containing 1 mL of PBS with varying concentrations of collagenase IV (0, 10, 50, 100, 150, 200, 400, and 500 μg). The plate was incubated at 37 °C for 2 h, and the </w:t>
      </w:r>
      <w:r>
        <w:rPr>
          <w:rFonts w:ascii="Times New Roman" w:eastAsia="宋体" w:hAnsi="Times New Roman" w:hint="eastAsia"/>
          <w:sz w:val="24"/>
          <w:szCs w:val="24"/>
        </w:rPr>
        <w:t>scaffold</w:t>
      </w:r>
      <w:r w:rsidRPr="009D425C">
        <w:rPr>
          <w:rFonts w:ascii="Times New Roman" w:eastAsia="宋体" w:hAnsi="Times New Roman"/>
          <w:sz w:val="24"/>
          <w:szCs w:val="24"/>
        </w:rPr>
        <w:t>s were photographed to document their degradation.</w:t>
      </w:r>
    </w:p>
    <w:p w14:paraId="741B26B5" w14:textId="77777777" w:rsidR="00D8516E" w:rsidRPr="009D425C" w:rsidRDefault="00D8516E" w:rsidP="007609BA">
      <w:pPr>
        <w:spacing w:line="360" w:lineRule="auto"/>
        <w:ind w:rightChars="-94" w:right="-197" w:firstLineChars="100" w:firstLine="240"/>
        <w:rPr>
          <w:rFonts w:ascii="Times New Roman" w:eastAsia="宋体" w:hAnsi="Times New Roman"/>
          <w:sz w:val="24"/>
          <w:szCs w:val="24"/>
        </w:rPr>
      </w:pPr>
      <w:r w:rsidRPr="009D425C">
        <w:rPr>
          <w:rFonts w:ascii="Times New Roman" w:eastAsia="宋体" w:hAnsi="Times New Roman"/>
          <w:sz w:val="24"/>
          <w:szCs w:val="24"/>
        </w:rPr>
        <w:t xml:space="preserve">The degradation process was also evaluated </w:t>
      </w:r>
      <w:r w:rsidRPr="009D425C">
        <w:rPr>
          <w:rFonts w:ascii="Times New Roman" w:eastAsia="宋体" w:hAnsi="Times New Roman"/>
          <w:i/>
          <w:sz w:val="24"/>
          <w:szCs w:val="24"/>
        </w:rPr>
        <w:t>in vivo</w:t>
      </w:r>
      <w:r w:rsidRPr="009D425C">
        <w:rPr>
          <w:rFonts w:ascii="Times New Roman" w:eastAsia="宋体" w:hAnsi="Times New Roman"/>
          <w:sz w:val="24"/>
          <w:szCs w:val="24"/>
        </w:rPr>
        <w:t xml:space="preserve">. The inner PR and outer GM hydrogels were stained with red and blue non-diffusible hydrogel dyes (EFL), respectively, before crosslinking under 405 nm blue light illumination. Stained hydrogels were subcutaneously implanted into C3H/HeN mice. The volume of the double-layered </w:t>
      </w:r>
      <w:r>
        <w:rPr>
          <w:rFonts w:ascii="Times New Roman" w:eastAsia="宋体" w:hAnsi="Times New Roman" w:hint="eastAsia"/>
          <w:sz w:val="24"/>
          <w:szCs w:val="24"/>
        </w:rPr>
        <w:t>scaffolds</w:t>
      </w:r>
      <w:r w:rsidRPr="009D425C">
        <w:rPr>
          <w:rFonts w:ascii="Times New Roman" w:eastAsia="宋体" w:hAnsi="Times New Roman"/>
          <w:sz w:val="24"/>
          <w:szCs w:val="24"/>
        </w:rPr>
        <w:t xml:space="preserve"> was measured daily using the following formula: Volume = 0.5 × length × width². On Days 4, 7, 12, and 15, one mouse was euthanized, and the </w:t>
      </w:r>
      <w:r w:rsidRPr="009D425C">
        <w:rPr>
          <w:rFonts w:ascii="Times New Roman" w:eastAsia="宋体" w:hAnsi="Times New Roman"/>
          <w:i/>
          <w:sz w:val="24"/>
          <w:szCs w:val="24"/>
        </w:rPr>
        <w:t>in vivo</w:t>
      </w:r>
      <w:r w:rsidRPr="009D425C">
        <w:rPr>
          <w:rFonts w:ascii="Times New Roman" w:eastAsia="宋体" w:hAnsi="Times New Roman"/>
          <w:sz w:val="24"/>
          <w:szCs w:val="24"/>
        </w:rPr>
        <w:t xml:space="preserve"> hydrogels were retrieved for observation and imaging purposes.</w:t>
      </w:r>
    </w:p>
    <w:p w14:paraId="50A8D2E8" w14:textId="77777777" w:rsidR="00D8516E" w:rsidRPr="000A5478" w:rsidRDefault="00D8516E" w:rsidP="00670A70">
      <w:pPr>
        <w:spacing w:line="360" w:lineRule="auto"/>
        <w:ind w:rightChars="-94" w:right="-197"/>
        <w:rPr>
          <w:rFonts w:ascii="Times New Roman" w:eastAsia="宋体" w:hAnsi="Times New Roman"/>
          <w:b/>
          <w:bCs/>
          <w:sz w:val="24"/>
          <w:szCs w:val="24"/>
        </w:rPr>
      </w:pPr>
      <w:r w:rsidRPr="000A5478">
        <w:rPr>
          <w:rFonts w:ascii="Times New Roman" w:eastAsia="宋体" w:hAnsi="Times New Roman"/>
          <w:b/>
          <w:bCs/>
          <w:sz w:val="24"/>
          <w:szCs w:val="24"/>
        </w:rPr>
        <w:t xml:space="preserve">Quantification of mRNA released from </w:t>
      </w:r>
      <w:r>
        <w:rPr>
          <w:rFonts w:ascii="Times New Roman" w:eastAsia="宋体" w:hAnsi="Times New Roman" w:hint="eastAsia"/>
          <w:b/>
          <w:bCs/>
          <w:sz w:val="24"/>
          <w:szCs w:val="24"/>
        </w:rPr>
        <w:t>scaffold</w:t>
      </w:r>
      <w:r w:rsidRPr="000A5478">
        <w:rPr>
          <w:rFonts w:ascii="Times New Roman" w:eastAsia="宋体" w:hAnsi="Times New Roman"/>
          <w:b/>
          <w:bCs/>
          <w:sz w:val="24"/>
          <w:szCs w:val="24"/>
        </w:rPr>
        <w:t>s</w:t>
      </w:r>
    </w:p>
    <w:p w14:paraId="77AFF082" w14:textId="77777777" w:rsidR="00D8516E" w:rsidRPr="000A5478" w:rsidRDefault="00D8516E" w:rsidP="00670A70">
      <w:pPr>
        <w:spacing w:line="360" w:lineRule="auto"/>
        <w:ind w:rightChars="-94" w:right="-197"/>
        <w:rPr>
          <w:rFonts w:ascii="Times New Roman" w:eastAsia="宋体" w:hAnsi="Times New Roman"/>
          <w:sz w:val="24"/>
          <w:szCs w:val="24"/>
        </w:rPr>
      </w:pPr>
      <w:r w:rsidRPr="000A5478">
        <w:rPr>
          <w:rFonts w:ascii="Times New Roman" w:eastAsia="宋体" w:hAnsi="Times New Roman"/>
          <w:sz w:val="24"/>
          <w:szCs w:val="24"/>
        </w:rPr>
        <w:t xml:space="preserve">Next, the </w:t>
      </w:r>
      <w:r w:rsidRPr="000A5478">
        <w:rPr>
          <w:rFonts w:ascii="Times New Roman" w:eastAsia="宋体" w:hAnsi="Times New Roman"/>
          <w:i/>
          <w:sz w:val="24"/>
          <w:szCs w:val="24"/>
        </w:rPr>
        <w:t>in vitro</w:t>
      </w:r>
      <w:r w:rsidRPr="000A5478">
        <w:rPr>
          <w:rFonts w:ascii="Times New Roman" w:eastAsia="宋体" w:hAnsi="Times New Roman"/>
          <w:sz w:val="24"/>
          <w:szCs w:val="24"/>
        </w:rPr>
        <w:t xml:space="preserve"> release of mRNA from the outer layer of the GM hydrogel was quantified over a 7-day period. A 100 μL volume of 5% GM hydrogel containing the </w:t>
      </w:r>
      <w:r w:rsidRPr="000A5478">
        <w:rPr>
          <w:rFonts w:ascii="Times New Roman" w:eastAsia="宋体" w:hAnsi="Times New Roman"/>
          <w:sz w:val="24"/>
          <w:szCs w:val="24"/>
        </w:rPr>
        <w:lastRenderedPageBreak/>
        <w:t xml:space="preserve">DMP-mBim complex (10 μg mRNA) was prepared prior to crosslinking and placed in 24-well plates with 1 mL of PBS containing 1 μL collagenase IV (0.1 mg/mL). The plates were incubated at 37 °C, and the supernatant was collected every 24 h, followed by the addition of fresh PBS containing collagenase IV. All supernatant samples were stored at −80 °C. By Day 7, the </w:t>
      </w:r>
      <w:r>
        <w:rPr>
          <w:rFonts w:ascii="Times New Roman" w:eastAsia="宋体" w:hAnsi="Times New Roman" w:hint="eastAsia"/>
          <w:sz w:val="24"/>
          <w:szCs w:val="24"/>
        </w:rPr>
        <w:t>scaffold</w:t>
      </w:r>
      <w:r w:rsidRPr="000A5478">
        <w:rPr>
          <w:rFonts w:ascii="Times New Roman" w:eastAsia="宋体" w:hAnsi="Times New Roman"/>
          <w:sz w:val="24"/>
          <w:szCs w:val="24"/>
        </w:rPr>
        <w:t xml:space="preserve"> was fully degraded. Subsequently, the mRNA content in the supernatant was analyzed using a Synergy™ HTX Multi-Mode microplate reader, following the low-range protocol of the Quant-iT™ RiboGreen® RNA Assay Kit (Thermo Fisher Scientific, USA)</w:t>
      </w:r>
    </w:p>
    <w:p w14:paraId="33AAB073" w14:textId="77777777" w:rsidR="00D8516E" w:rsidRPr="008458CD" w:rsidRDefault="00D8516E" w:rsidP="00670A70">
      <w:pPr>
        <w:spacing w:line="360" w:lineRule="auto"/>
        <w:ind w:rightChars="-94" w:right="-197"/>
        <w:rPr>
          <w:rFonts w:ascii="Times New Roman" w:eastAsia="宋体" w:hAnsi="Times New Roman"/>
          <w:b/>
          <w:bCs/>
          <w:sz w:val="24"/>
          <w:szCs w:val="24"/>
        </w:rPr>
      </w:pPr>
      <w:r w:rsidRPr="008458CD">
        <w:rPr>
          <w:rFonts w:ascii="Times New Roman" w:eastAsia="宋体" w:hAnsi="Times New Roman" w:hint="eastAsia"/>
          <w:b/>
          <w:bCs/>
          <w:sz w:val="24"/>
          <w:szCs w:val="24"/>
        </w:rPr>
        <w:t>T</w:t>
      </w:r>
      <w:r w:rsidRPr="008458CD">
        <w:rPr>
          <w:rFonts w:ascii="Times New Roman" w:eastAsia="宋体" w:hAnsi="Times New Roman"/>
          <w:b/>
          <w:bCs/>
          <w:sz w:val="24"/>
          <w:szCs w:val="24"/>
        </w:rPr>
        <w:t xml:space="preserve">ransfection ability </w:t>
      </w:r>
      <w:r w:rsidRPr="008458CD">
        <w:rPr>
          <w:rFonts w:ascii="Times New Roman" w:eastAsia="宋体" w:hAnsi="Times New Roman" w:hint="eastAsia"/>
          <w:b/>
          <w:bCs/>
          <w:sz w:val="24"/>
          <w:szCs w:val="24"/>
        </w:rPr>
        <w:t>of r</w:t>
      </w:r>
      <w:r w:rsidRPr="008458CD">
        <w:rPr>
          <w:rFonts w:ascii="Times New Roman" w:eastAsia="宋体" w:hAnsi="Times New Roman"/>
          <w:b/>
          <w:bCs/>
          <w:sz w:val="24"/>
          <w:szCs w:val="24"/>
        </w:rPr>
        <w:t xml:space="preserve">eleased gene complexes </w:t>
      </w:r>
      <w:r w:rsidRPr="008458CD">
        <w:rPr>
          <w:rFonts w:ascii="Times New Roman" w:eastAsia="宋体" w:hAnsi="Times New Roman"/>
          <w:b/>
          <w:bCs/>
          <w:i/>
          <w:iCs/>
          <w:sz w:val="24"/>
          <w:szCs w:val="24"/>
        </w:rPr>
        <w:t xml:space="preserve">in vitro </w:t>
      </w:r>
    </w:p>
    <w:p w14:paraId="3640041E" w14:textId="77777777" w:rsidR="00D8516E" w:rsidRPr="0021006D" w:rsidRDefault="00D8516E" w:rsidP="00670A70">
      <w:pPr>
        <w:spacing w:line="360" w:lineRule="auto"/>
        <w:ind w:rightChars="-94" w:right="-197"/>
        <w:rPr>
          <w:rFonts w:ascii="Times New Roman" w:eastAsia="宋体" w:hAnsi="Times New Roman"/>
          <w:sz w:val="24"/>
          <w:szCs w:val="24"/>
        </w:rPr>
      </w:pPr>
      <w:r w:rsidRPr="0021006D">
        <w:rPr>
          <w:rFonts w:ascii="Times New Roman" w:eastAsia="宋体" w:hAnsi="Times New Roman"/>
          <w:sz w:val="24"/>
          <w:szCs w:val="24"/>
        </w:rPr>
        <w:t xml:space="preserve">Following confirmation of mRNA release from the </w:t>
      </w:r>
      <w:r>
        <w:rPr>
          <w:rFonts w:ascii="Times New Roman" w:eastAsia="宋体" w:hAnsi="Times New Roman" w:hint="eastAsia"/>
          <w:sz w:val="24"/>
          <w:szCs w:val="24"/>
        </w:rPr>
        <w:t>outer</w:t>
      </w:r>
      <w:r w:rsidRPr="0021006D">
        <w:rPr>
          <w:rFonts w:ascii="Times New Roman" w:eastAsia="宋体" w:hAnsi="Times New Roman"/>
          <w:sz w:val="24"/>
          <w:szCs w:val="24"/>
        </w:rPr>
        <w:t xml:space="preserve"> </w:t>
      </w:r>
      <w:r>
        <w:rPr>
          <w:rFonts w:ascii="Times New Roman" w:eastAsia="宋体" w:hAnsi="Times New Roman" w:hint="eastAsia"/>
          <w:sz w:val="24"/>
          <w:szCs w:val="24"/>
        </w:rPr>
        <w:t>scaffold</w:t>
      </w:r>
      <w:r w:rsidRPr="0021006D">
        <w:rPr>
          <w:rFonts w:ascii="Times New Roman" w:eastAsia="宋体" w:hAnsi="Times New Roman"/>
          <w:sz w:val="24"/>
          <w:szCs w:val="24"/>
        </w:rPr>
        <w:t xml:space="preserve">, the transfection efficiency of the DMP-mRNA complex was assessed following short- and long-term degradation. For short-term degradation, 100 μL of 5% GM hydrogel containing the DMP-EGFP complex (1 μg mRNA) was crosslinked in a 24-well plate, and 500 μL of RPMI 1640 medium containing 10 μL of collagenase IV (1 mg/mL) was added. SCC-VII cells were simultaneously seeded in a separate 24-well plate (3 × 10⁴ cells/well) and incubated at 37 °C. After 24 h, the </w:t>
      </w:r>
      <w:r>
        <w:rPr>
          <w:rFonts w:ascii="Times New Roman" w:eastAsia="宋体" w:hAnsi="Times New Roman" w:hint="eastAsia"/>
          <w:sz w:val="24"/>
          <w:szCs w:val="24"/>
        </w:rPr>
        <w:t>scaffold</w:t>
      </w:r>
      <w:r w:rsidRPr="0021006D">
        <w:rPr>
          <w:rFonts w:ascii="Times New Roman" w:eastAsia="宋体" w:hAnsi="Times New Roman"/>
          <w:sz w:val="24"/>
          <w:szCs w:val="24"/>
        </w:rPr>
        <w:t xml:space="preserve"> was completely degraded, and the cell culture medium was replaced with </w:t>
      </w:r>
      <w:r>
        <w:rPr>
          <w:rFonts w:ascii="Times New Roman" w:eastAsia="宋体" w:hAnsi="Times New Roman" w:hint="eastAsia"/>
          <w:sz w:val="24"/>
          <w:szCs w:val="24"/>
        </w:rPr>
        <w:t>scaffold</w:t>
      </w:r>
      <w:r w:rsidRPr="0021006D">
        <w:rPr>
          <w:rFonts w:ascii="Times New Roman" w:eastAsia="宋体" w:hAnsi="Times New Roman"/>
          <w:sz w:val="24"/>
          <w:szCs w:val="24"/>
        </w:rPr>
        <w:t xml:space="preserve"> degradation products to initiate the transfection. After 8 h of incubation, 500 μL of RPMI 1640 medium supplemented with 10% FBS was added to each well. After 24 h of transfection, the transfection efficiency of the released DMP-EGFP complex was measured using a NovoCyte Flow Cytometer (ACEA Biosciences) and imaged using a fluorescence microscope (Imager Z2, Zeiss, Germany).</w:t>
      </w:r>
    </w:p>
    <w:p w14:paraId="50EAD2A8" w14:textId="77777777" w:rsidR="00D8516E" w:rsidRPr="00225C07" w:rsidRDefault="00D8516E" w:rsidP="00004CE0">
      <w:pPr>
        <w:spacing w:line="360" w:lineRule="auto"/>
        <w:ind w:rightChars="-94" w:right="-197" w:firstLineChars="100" w:firstLine="240"/>
        <w:rPr>
          <w:rFonts w:ascii="Times New Roman" w:eastAsia="宋体" w:hAnsi="Times New Roman"/>
          <w:sz w:val="24"/>
          <w:szCs w:val="24"/>
        </w:rPr>
      </w:pPr>
      <w:r w:rsidRPr="0021006D">
        <w:rPr>
          <w:rFonts w:ascii="Times New Roman" w:eastAsia="宋体" w:hAnsi="Times New Roman"/>
          <w:sz w:val="24"/>
          <w:szCs w:val="24"/>
        </w:rPr>
        <w:t>For long-term degradation, 100 μL of 5% GM hydrogel containing the DMP-EGFP complex (10 μg mRNA) was prepared and placed in a 24-well plate with 1 mL of RPMI 1640 medium containing 1 μL of collagenase IV (0.1 mg/mL). The supernatant was collected every 24 h, and fresh medium containing collagenase IV was added. By Day 7, the</w:t>
      </w:r>
      <w:r w:rsidRPr="006B6A29">
        <w:rPr>
          <w:rFonts w:ascii="Times New Roman" w:eastAsia="宋体" w:hAnsi="Times New Roman" w:hint="eastAsia"/>
          <w:sz w:val="24"/>
          <w:szCs w:val="24"/>
        </w:rPr>
        <w:t xml:space="preserve"> </w:t>
      </w:r>
      <w:r>
        <w:rPr>
          <w:rFonts w:ascii="Times New Roman" w:eastAsia="宋体" w:hAnsi="Times New Roman" w:hint="eastAsia"/>
          <w:sz w:val="24"/>
          <w:szCs w:val="24"/>
        </w:rPr>
        <w:t>scaffold</w:t>
      </w:r>
      <w:r w:rsidRPr="0021006D">
        <w:rPr>
          <w:rFonts w:ascii="Times New Roman" w:eastAsia="宋体" w:hAnsi="Times New Roman"/>
          <w:sz w:val="24"/>
          <w:szCs w:val="24"/>
        </w:rPr>
        <w:t>s had completely degraded. The collected supernatants were then used to treat SCC-VII cells seeded at 4 × 10⁴ cells/well. After 24 h of incubation, the transfection efficiency was quantified using a NovoCyte Flow Cytometer, and the cells were imaged using a fluorescence microscope.</w:t>
      </w:r>
    </w:p>
    <w:p w14:paraId="5BA0561D" w14:textId="77777777" w:rsidR="00D8516E" w:rsidRPr="008458CD" w:rsidRDefault="00D8516E" w:rsidP="00670A70">
      <w:pPr>
        <w:spacing w:line="360" w:lineRule="auto"/>
        <w:ind w:rightChars="-94" w:right="-197"/>
        <w:rPr>
          <w:rFonts w:ascii="Times New Roman" w:eastAsia="宋体" w:hAnsi="Times New Roman"/>
          <w:b/>
          <w:bCs/>
          <w:i/>
          <w:iCs/>
          <w:sz w:val="24"/>
          <w:szCs w:val="24"/>
        </w:rPr>
      </w:pPr>
      <w:bookmarkStart w:id="1" w:name="_Hlk198823434"/>
      <w:r w:rsidRPr="008458CD">
        <w:rPr>
          <w:rFonts w:ascii="Times New Roman" w:eastAsia="宋体" w:hAnsi="Times New Roman" w:hint="eastAsia"/>
          <w:b/>
          <w:bCs/>
          <w:sz w:val="24"/>
          <w:szCs w:val="24"/>
        </w:rPr>
        <w:lastRenderedPageBreak/>
        <w:t>Biological function of r</w:t>
      </w:r>
      <w:r w:rsidRPr="008458CD">
        <w:rPr>
          <w:rFonts w:ascii="Times New Roman" w:eastAsia="宋体" w:hAnsi="Times New Roman"/>
          <w:b/>
          <w:bCs/>
          <w:sz w:val="24"/>
          <w:szCs w:val="24"/>
        </w:rPr>
        <w:t xml:space="preserve">eleased gene complexes </w:t>
      </w:r>
      <w:r w:rsidRPr="008458CD">
        <w:rPr>
          <w:rFonts w:ascii="Times New Roman" w:eastAsia="宋体" w:hAnsi="Times New Roman"/>
          <w:b/>
          <w:bCs/>
          <w:i/>
          <w:iCs/>
          <w:sz w:val="24"/>
          <w:szCs w:val="24"/>
        </w:rPr>
        <w:t>in vitro</w:t>
      </w:r>
    </w:p>
    <w:p w14:paraId="311483A2" w14:textId="77777777" w:rsidR="00D8516E" w:rsidRPr="00E57055" w:rsidRDefault="00D8516E" w:rsidP="00670A70">
      <w:pPr>
        <w:spacing w:line="360" w:lineRule="auto"/>
        <w:ind w:rightChars="-94" w:right="-197"/>
        <w:rPr>
          <w:rFonts w:ascii="Times New Roman" w:eastAsia="宋体" w:hAnsi="Times New Roman"/>
          <w:sz w:val="24"/>
          <w:szCs w:val="24"/>
        </w:rPr>
      </w:pPr>
      <w:r w:rsidRPr="00E57055">
        <w:rPr>
          <w:rFonts w:ascii="Times New Roman" w:eastAsia="宋体" w:hAnsi="Times New Roman"/>
          <w:sz w:val="24"/>
          <w:szCs w:val="24"/>
        </w:rPr>
        <w:t xml:space="preserve">The transcription levels of mBim and the antiproliferative effects of the released gene complex were evaluated in SCC-VII cells </w:t>
      </w:r>
      <w:r w:rsidRPr="00E57055">
        <w:rPr>
          <w:rFonts w:ascii="Times New Roman" w:eastAsia="宋体" w:hAnsi="Times New Roman"/>
          <w:i/>
          <w:sz w:val="24"/>
          <w:szCs w:val="24"/>
        </w:rPr>
        <w:t>in vitro</w:t>
      </w:r>
      <w:r w:rsidRPr="00E57055">
        <w:rPr>
          <w:rFonts w:ascii="Times New Roman" w:eastAsia="宋体" w:hAnsi="Times New Roman"/>
          <w:sz w:val="24"/>
          <w:szCs w:val="24"/>
        </w:rPr>
        <w:t xml:space="preserve"> using the short-term degradation method described above. For quantitative real-time PCR, SCC-VII cells were seeded in 24-well plates (2.5 × 10⁴ cells/well). GM hydrogel (100 μL) containing the DMP-mBim complex (1 μg) or DMP alone was crosslinked in a 24-well plate and incubated in 500 μL of RPMI 1640 medium containing 10 μL of collagenase IV (1 mg/mL) overnight. After 24 h of degradation, the cells were transfected with degradation products, and FBS-supplemented medium was added 8 h later. RNA was extracted 24 h post-transfection using a FastPure Cell/Tissue Total RNA Isolation Kit (Vazyme, China), and cDNA was synthesized using a SuperScript II Reverse Transcriptase kit (Invitrogen, USA), according to the manufacturer’s instructions. Quantitative PCR was performed using qPCR Master Mix (Vazyme, China), as previously described.</w:t>
      </w:r>
    </w:p>
    <w:p w14:paraId="7B0AA34F" w14:textId="77777777" w:rsidR="00D8516E" w:rsidRPr="00E57055" w:rsidRDefault="00D8516E" w:rsidP="006B6A29">
      <w:pPr>
        <w:spacing w:line="360" w:lineRule="auto"/>
        <w:ind w:rightChars="-94" w:right="-197" w:firstLineChars="100" w:firstLine="240"/>
        <w:rPr>
          <w:rFonts w:ascii="Times New Roman" w:eastAsia="宋体" w:hAnsi="Times New Roman"/>
          <w:sz w:val="24"/>
          <w:szCs w:val="24"/>
        </w:rPr>
      </w:pPr>
      <w:r w:rsidRPr="00E57055">
        <w:rPr>
          <w:rFonts w:ascii="Times New Roman" w:eastAsia="宋体" w:hAnsi="Times New Roman"/>
          <w:sz w:val="24"/>
          <w:szCs w:val="24"/>
        </w:rPr>
        <w:t>The growth-inhibitory effect of the released DMP-mBim complex on SCC-VII cells was assessed using the MTT assay. Cells were seeded in 96-well plates (5 × 10 cells per well). GM hydrogels containing DMP-mBim (0.5 μg) or DMP alone were crosslinked in a 24-well plate and degraded following the same protocol. The resulting degradation products were used to treat the cells after 24 h of incubation, and FBS-supplemented medium was added 8 h later. After 24 h of transfection, an MTT assay was performed, as previously described, to evaluate cell proliferation.</w:t>
      </w:r>
    </w:p>
    <w:p w14:paraId="6227F626" w14:textId="77777777" w:rsidR="00D8516E" w:rsidRPr="006C3FC8" w:rsidRDefault="00D8516E" w:rsidP="006B6A29">
      <w:pPr>
        <w:spacing w:line="360" w:lineRule="auto"/>
        <w:ind w:rightChars="-94" w:right="-197" w:firstLineChars="100" w:firstLine="240"/>
        <w:rPr>
          <w:rFonts w:ascii="Times New Roman" w:eastAsia="宋体" w:hAnsi="Times New Roman"/>
          <w:sz w:val="24"/>
          <w:szCs w:val="24"/>
        </w:rPr>
      </w:pPr>
      <w:r w:rsidRPr="00E57055">
        <w:rPr>
          <w:rFonts w:ascii="Times New Roman" w:eastAsia="宋体" w:hAnsi="Times New Roman"/>
          <w:sz w:val="24"/>
          <w:szCs w:val="24"/>
        </w:rPr>
        <w:t xml:space="preserve">Cell viability was assessed using the live/dead staining method. The GM hydrogel (100 μL) containing the DMP-mBim complex (3 μg) or DMP alone was crosslinked in a 24-well plate and incubated in 500 μL of RPMI 1640 medium containing 10 μL of collagenase IV (1 mg/mL) overnight. SCC-VII cells were seeded in 24-well plates (3 × 10 cells/well). After 24 h, the </w:t>
      </w:r>
      <w:r>
        <w:rPr>
          <w:rFonts w:ascii="Times New Roman" w:eastAsia="宋体" w:hAnsi="Times New Roman" w:hint="eastAsia"/>
          <w:sz w:val="24"/>
          <w:szCs w:val="24"/>
        </w:rPr>
        <w:t>scaffold</w:t>
      </w:r>
      <w:r w:rsidRPr="00E57055">
        <w:rPr>
          <w:rFonts w:ascii="Times New Roman" w:eastAsia="宋体" w:hAnsi="Times New Roman"/>
          <w:sz w:val="24"/>
          <w:szCs w:val="24"/>
        </w:rPr>
        <w:t xml:space="preserve"> was fully degraded, and the supernatant was used to treat the cells. After 24 h of incubation, the cells were stained with a Calcein AM/PI Double Stain Kit (Yeasen Biotechnology, Shanghai, China). Fluorescence images were captured, and quantitative analysis was performed using the ImageJ software.</w:t>
      </w:r>
    </w:p>
    <w:bookmarkEnd w:id="1"/>
    <w:p w14:paraId="321AF1BD" w14:textId="77777777" w:rsidR="00D8516E" w:rsidRPr="006B6A29" w:rsidRDefault="00D8516E" w:rsidP="00670A70">
      <w:pPr>
        <w:spacing w:line="360" w:lineRule="auto"/>
        <w:ind w:rightChars="-94" w:right="-197"/>
        <w:rPr>
          <w:rFonts w:ascii="Times New Roman" w:eastAsia="宋体" w:hAnsi="Times New Roman" w:cs="Times New Roman"/>
          <w:b/>
          <w:bCs/>
          <w:sz w:val="24"/>
          <w:szCs w:val="24"/>
        </w:rPr>
      </w:pPr>
      <w:r w:rsidRPr="006B6A29">
        <w:rPr>
          <w:rFonts w:ascii="Times New Roman" w:eastAsia="宋体" w:hAnsi="Times New Roman" w:cs="Times New Roman"/>
          <w:b/>
          <w:bCs/>
          <w:sz w:val="24"/>
          <w:szCs w:val="24"/>
        </w:rPr>
        <w:t xml:space="preserve">Controlled release of T cells from </w:t>
      </w:r>
      <w:r w:rsidRPr="006B6A29">
        <w:rPr>
          <w:rFonts w:ascii="Times New Roman" w:eastAsia="宋体" w:hAnsi="Times New Roman" w:cs="Times New Roman" w:hint="eastAsia"/>
          <w:b/>
          <w:bCs/>
          <w:sz w:val="24"/>
          <w:szCs w:val="24"/>
        </w:rPr>
        <w:t>the</w:t>
      </w:r>
      <w:r w:rsidRPr="006B6A29">
        <w:rPr>
          <w:rFonts w:ascii="Times New Roman" w:eastAsia="宋体" w:hAnsi="Times New Roman" w:cs="Times New Roman"/>
          <w:b/>
          <w:bCs/>
          <w:sz w:val="24"/>
          <w:szCs w:val="24"/>
        </w:rPr>
        <w:t xml:space="preserve"> inner layer </w:t>
      </w:r>
      <w:r w:rsidRPr="006B6A29">
        <w:rPr>
          <w:rFonts w:ascii="Times New Roman" w:eastAsia="宋体" w:hAnsi="Times New Roman" w:hint="eastAsia"/>
          <w:b/>
          <w:bCs/>
          <w:sz w:val="24"/>
          <w:szCs w:val="24"/>
        </w:rPr>
        <w:t>scaffold</w:t>
      </w:r>
    </w:p>
    <w:p w14:paraId="4EB8A2A5" w14:textId="77777777" w:rsidR="00D8516E" w:rsidRDefault="00D8516E" w:rsidP="00670A70">
      <w:pPr>
        <w:spacing w:line="360" w:lineRule="auto"/>
        <w:ind w:rightChars="-94" w:right="-197"/>
        <w:rPr>
          <w:rFonts w:ascii="Times New Roman" w:eastAsia="宋体" w:hAnsi="Times New Roman"/>
          <w:sz w:val="24"/>
          <w:szCs w:val="24"/>
        </w:rPr>
      </w:pPr>
      <w:r w:rsidRPr="00BC0A19">
        <w:rPr>
          <w:rFonts w:ascii="Times New Roman" w:eastAsia="宋体" w:hAnsi="Times New Roman"/>
          <w:sz w:val="24"/>
          <w:szCs w:val="24"/>
        </w:rPr>
        <w:lastRenderedPageBreak/>
        <w:t xml:space="preserve">We assessed the release kinetics of T cells from the inner PR hydrogel layer of the double-layer </w:t>
      </w:r>
      <w:r>
        <w:rPr>
          <w:rFonts w:ascii="Times New Roman" w:eastAsia="宋体" w:hAnsi="Times New Roman" w:hint="eastAsia"/>
          <w:sz w:val="24"/>
          <w:szCs w:val="24"/>
        </w:rPr>
        <w:t>scaffold</w:t>
      </w:r>
      <w:r w:rsidRPr="00BC0A19">
        <w:rPr>
          <w:rFonts w:ascii="Times New Roman" w:eastAsia="宋体" w:hAnsi="Times New Roman"/>
          <w:sz w:val="24"/>
          <w:szCs w:val="24"/>
        </w:rPr>
        <w:t xml:space="preserve"> system. T cells (3 × 10⁶ cells per </w:t>
      </w:r>
      <w:r>
        <w:rPr>
          <w:rFonts w:ascii="Times New Roman" w:eastAsia="宋体" w:hAnsi="Times New Roman" w:hint="eastAsia"/>
          <w:sz w:val="24"/>
          <w:szCs w:val="24"/>
        </w:rPr>
        <w:t>scaffold</w:t>
      </w:r>
      <w:r w:rsidRPr="00BC0A19">
        <w:rPr>
          <w:rFonts w:ascii="Times New Roman" w:eastAsia="宋体" w:hAnsi="Times New Roman"/>
          <w:sz w:val="24"/>
          <w:szCs w:val="24"/>
        </w:rPr>
        <w:t xml:space="preserve">) were encapsulated in 50 μL PR hydrogel supplemented with anti-mouse CD3, CD28, and </w:t>
      </w:r>
      <w:r>
        <w:rPr>
          <w:rFonts w:ascii="Times New Roman" w:eastAsia="宋体" w:hAnsi="Times New Roman" w:hint="eastAsia"/>
          <w:sz w:val="24"/>
          <w:szCs w:val="24"/>
        </w:rPr>
        <w:t>I</w:t>
      </w:r>
      <w:r w:rsidRPr="00086042">
        <w:rPr>
          <w:rFonts w:ascii="Times New Roman" w:eastAsia="宋体" w:hAnsi="Times New Roman" w:hint="eastAsia"/>
          <w:sz w:val="24"/>
          <w:szCs w:val="24"/>
        </w:rPr>
        <w:t>nterleukin</w:t>
      </w:r>
      <w:r>
        <w:rPr>
          <w:rFonts w:ascii="Times New Roman" w:eastAsia="宋体" w:hAnsi="Times New Roman" w:hint="eastAsia"/>
          <w:sz w:val="24"/>
          <w:szCs w:val="24"/>
        </w:rPr>
        <w:t>-2 (</w:t>
      </w:r>
      <w:r w:rsidRPr="00BC0A19">
        <w:rPr>
          <w:rFonts w:ascii="Times New Roman" w:eastAsia="宋体" w:hAnsi="Times New Roman"/>
          <w:sz w:val="24"/>
          <w:szCs w:val="24"/>
        </w:rPr>
        <w:t>IL-2</w:t>
      </w:r>
      <w:r>
        <w:rPr>
          <w:rFonts w:ascii="Times New Roman" w:eastAsia="宋体" w:hAnsi="Times New Roman" w:hint="eastAsia"/>
          <w:sz w:val="24"/>
          <w:szCs w:val="24"/>
        </w:rPr>
        <w:t>)</w:t>
      </w:r>
      <w:r w:rsidRPr="00BC0A19">
        <w:rPr>
          <w:rFonts w:ascii="Times New Roman" w:eastAsia="宋体" w:hAnsi="Times New Roman"/>
          <w:sz w:val="24"/>
          <w:szCs w:val="24"/>
        </w:rPr>
        <w:t xml:space="preserve">. The construct was surrounded by a 100 μL outer layer of empty GM hydrogel. The assembled </w:t>
      </w:r>
      <w:r>
        <w:rPr>
          <w:rFonts w:ascii="Times New Roman" w:eastAsia="宋体" w:hAnsi="Times New Roman" w:hint="eastAsia"/>
          <w:sz w:val="24"/>
          <w:szCs w:val="24"/>
        </w:rPr>
        <w:t>scaffold</w:t>
      </w:r>
      <w:r w:rsidRPr="00BC0A19">
        <w:rPr>
          <w:rFonts w:ascii="Times New Roman" w:eastAsia="宋体" w:hAnsi="Times New Roman"/>
          <w:sz w:val="24"/>
          <w:szCs w:val="24"/>
        </w:rPr>
        <w:t xml:space="preserve">s were immersed in 1 mL of RPMI 1640 medium, containing 10% FBS and 1 μg/mL collagenase IV. The supernatant was collected from each well at 24-hour intervals, and the released cells were quantified using an automated cell counter (Countstar). Following each collection, the wells were replenished with fresh RPMI 1640 medium supplemented with 10% FBS and 1 μg/mL collagenase IV. The measurements were continued until complete </w:t>
      </w:r>
      <w:r>
        <w:rPr>
          <w:rFonts w:ascii="Times New Roman" w:eastAsia="宋体" w:hAnsi="Times New Roman" w:hint="eastAsia"/>
          <w:sz w:val="24"/>
          <w:szCs w:val="24"/>
        </w:rPr>
        <w:t>scaffold</w:t>
      </w:r>
      <w:r w:rsidRPr="00BC0A19">
        <w:rPr>
          <w:rFonts w:ascii="Times New Roman" w:eastAsia="宋体" w:hAnsi="Times New Roman"/>
          <w:sz w:val="24"/>
          <w:szCs w:val="24"/>
        </w:rPr>
        <w:t xml:space="preserve"> degradation.</w:t>
      </w:r>
    </w:p>
    <w:p w14:paraId="1C447C9E" w14:textId="77777777" w:rsidR="00D8516E" w:rsidRPr="008458CD" w:rsidRDefault="00D8516E" w:rsidP="00670A70">
      <w:pPr>
        <w:spacing w:line="360" w:lineRule="auto"/>
        <w:ind w:rightChars="-94" w:right="-197"/>
        <w:rPr>
          <w:rFonts w:ascii="Times New Roman" w:eastAsia="宋体" w:hAnsi="Times New Roman"/>
          <w:b/>
          <w:bCs/>
          <w:sz w:val="24"/>
          <w:szCs w:val="24"/>
        </w:rPr>
      </w:pPr>
      <w:r w:rsidRPr="008458CD">
        <w:rPr>
          <w:rFonts w:ascii="Times New Roman" w:eastAsia="宋体" w:hAnsi="Times New Roman"/>
          <w:b/>
          <w:bCs/>
          <w:sz w:val="24"/>
          <w:szCs w:val="24"/>
        </w:rPr>
        <w:t xml:space="preserve">T-cell proliferation ability </w:t>
      </w:r>
      <w:r w:rsidRPr="008458CD">
        <w:rPr>
          <w:rFonts w:ascii="Times New Roman" w:eastAsia="宋体" w:hAnsi="Times New Roman" w:hint="eastAsia"/>
          <w:b/>
          <w:bCs/>
          <w:sz w:val="24"/>
          <w:szCs w:val="24"/>
        </w:rPr>
        <w:t>in</w:t>
      </w:r>
      <w:r w:rsidRPr="008458CD">
        <w:rPr>
          <w:rFonts w:ascii="Times New Roman" w:eastAsia="宋体" w:hAnsi="Times New Roman"/>
          <w:b/>
          <w:bCs/>
          <w:sz w:val="24"/>
          <w:szCs w:val="24"/>
        </w:rPr>
        <w:t xml:space="preserve"> the </w:t>
      </w:r>
      <w:r w:rsidRPr="008458CD">
        <w:rPr>
          <w:rFonts w:ascii="Times New Roman" w:eastAsia="宋体" w:hAnsi="Times New Roman" w:hint="eastAsia"/>
          <w:b/>
          <w:bCs/>
          <w:sz w:val="24"/>
          <w:szCs w:val="24"/>
        </w:rPr>
        <w:t xml:space="preserve">inner layer </w:t>
      </w:r>
      <w:r w:rsidRPr="00834F48">
        <w:rPr>
          <w:rFonts w:ascii="Times New Roman" w:eastAsia="宋体" w:hAnsi="Times New Roman" w:hint="eastAsia"/>
          <w:b/>
          <w:bCs/>
          <w:sz w:val="24"/>
          <w:szCs w:val="24"/>
        </w:rPr>
        <w:t xml:space="preserve">scaffold </w:t>
      </w:r>
      <w:r w:rsidRPr="008458CD">
        <w:rPr>
          <w:rFonts w:ascii="Times New Roman" w:eastAsia="宋体" w:hAnsi="Times New Roman" w:hint="eastAsia"/>
          <w:b/>
          <w:bCs/>
          <w:sz w:val="24"/>
          <w:szCs w:val="24"/>
        </w:rPr>
        <w:t>(CFSE)</w:t>
      </w:r>
    </w:p>
    <w:p w14:paraId="0A6D89BA" w14:textId="77777777" w:rsidR="00D8516E" w:rsidRPr="00B90E91" w:rsidRDefault="00D8516E" w:rsidP="00670A70">
      <w:pPr>
        <w:spacing w:line="360" w:lineRule="auto"/>
        <w:ind w:rightChars="-94" w:right="-197"/>
        <w:rPr>
          <w:rFonts w:ascii="Times New Roman" w:eastAsia="宋体" w:hAnsi="Times New Roman"/>
          <w:sz w:val="24"/>
          <w:szCs w:val="24"/>
        </w:rPr>
      </w:pPr>
      <w:bookmarkStart w:id="2" w:name="_Hlk198824671"/>
      <w:r w:rsidRPr="00B90E91">
        <w:rPr>
          <w:rFonts w:ascii="Times New Roman" w:eastAsia="宋体" w:hAnsi="Times New Roman"/>
          <w:sz w:val="24"/>
          <w:szCs w:val="24"/>
        </w:rPr>
        <w:t xml:space="preserve">The proliferative ability of the extracted T cells was evaluated both in the plate and the inner </w:t>
      </w:r>
      <w:r>
        <w:rPr>
          <w:rFonts w:ascii="Times New Roman" w:eastAsia="宋体" w:hAnsi="Times New Roman" w:hint="eastAsia"/>
          <w:sz w:val="24"/>
          <w:szCs w:val="24"/>
        </w:rPr>
        <w:t>scaffold</w:t>
      </w:r>
      <w:r w:rsidRPr="00B90E91">
        <w:rPr>
          <w:rFonts w:ascii="Times New Roman" w:eastAsia="宋体" w:hAnsi="Times New Roman"/>
          <w:sz w:val="24"/>
          <w:szCs w:val="24"/>
        </w:rPr>
        <w:t xml:space="preserve"> layer. Following extraction and washing, T cells were seeded onto anti-mouse CD3/CD28-precoated 6-well plates at 6 × 10⁶ cells/well in 2 mL of RPMI 1640 medium. Interleukin-2 (IL-2; BioLegend, San Diego, CA, USA) was used to promote the proliferation of cells. Cells were cultured at 37°C under 5% CO₂ for 72 h, then harvested and stained with CFSE Cell Proliferation Kit (C34554, Invitrogen, USA), with this timepoint designated Day 0. Stained cells were divided into four experimental groups, and in the medium group, cells were seeded in 24-well plates (8 × 10</w:t>
      </w:r>
      <w:r w:rsidRPr="00B90E91">
        <w:rPr>
          <w:rFonts w:ascii="Times New Roman" w:eastAsia="宋体" w:hAnsi="Times New Roman"/>
          <w:sz w:val="24"/>
          <w:szCs w:val="24"/>
          <w:vertAlign w:val="superscript"/>
        </w:rPr>
        <w:t>5</w:t>
      </w:r>
      <w:r w:rsidRPr="00B90E91">
        <w:rPr>
          <w:rFonts w:ascii="Times New Roman" w:eastAsia="宋体" w:hAnsi="Times New Roman"/>
          <w:sz w:val="24"/>
          <w:szCs w:val="24"/>
        </w:rPr>
        <w:t xml:space="preserve"> cells per well) to evaluate their proliferation ability in plates with new interleukin-2. In the other three groups, cells were cultured in 50 μL PR hydrogel with different outer layers (GM hydrogel, GM hydrogel containing DMP, and GM hydrogel containing DMP-mBim (4 μg) complex). </w:t>
      </w:r>
      <w:r>
        <w:rPr>
          <w:rFonts w:ascii="Times New Roman" w:eastAsia="宋体" w:hAnsi="Times New Roman" w:hint="eastAsia"/>
          <w:sz w:val="24"/>
          <w:szCs w:val="24"/>
        </w:rPr>
        <w:t xml:space="preserve">The four groups were named as: Medium, Gel/PR-T cell, Gel-DMP/PR-T cell and Gel-DMP-mBim/PR-T cell. </w:t>
      </w:r>
      <w:r w:rsidRPr="00B90E91">
        <w:rPr>
          <w:rFonts w:ascii="Times New Roman" w:eastAsia="宋体" w:hAnsi="Times New Roman"/>
          <w:sz w:val="24"/>
          <w:szCs w:val="24"/>
        </w:rPr>
        <w:t xml:space="preserve">Complete double-layered constructs were incubated in 24-well plates containing 1 mL RPMI 1640 medium. On Day 5, the </w:t>
      </w:r>
      <w:r>
        <w:rPr>
          <w:rFonts w:ascii="Times New Roman" w:eastAsia="宋体" w:hAnsi="Times New Roman" w:hint="eastAsia"/>
          <w:sz w:val="24"/>
          <w:szCs w:val="24"/>
        </w:rPr>
        <w:t>scaffold</w:t>
      </w:r>
      <w:r w:rsidRPr="00B90E91">
        <w:rPr>
          <w:rFonts w:ascii="Times New Roman" w:eastAsia="宋体" w:hAnsi="Times New Roman"/>
          <w:sz w:val="24"/>
          <w:szCs w:val="24"/>
        </w:rPr>
        <w:t>s were enzymatically digested with collagenase IV to harvest the cells. All samples were analyzed by flow cytometry.</w:t>
      </w:r>
    </w:p>
    <w:p w14:paraId="27494D42" w14:textId="77777777" w:rsidR="00D8516E" w:rsidRPr="00FA0050" w:rsidRDefault="00D8516E" w:rsidP="00670A70">
      <w:pPr>
        <w:spacing w:line="360" w:lineRule="auto"/>
        <w:ind w:rightChars="-94" w:right="-197"/>
        <w:rPr>
          <w:rFonts w:ascii="Times New Roman" w:eastAsia="宋体" w:hAnsi="Times New Roman" w:cs="Times New Roman"/>
          <w:b/>
          <w:bCs/>
          <w:sz w:val="24"/>
          <w:szCs w:val="24"/>
        </w:rPr>
      </w:pPr>
      <w:r w:rsidRPr="00FA0050">
        <w:rPr>
          <w:rFonts w:ascii="Times New Roman" w:eastAsia="宋体" w:hAnsi="Times New Roman" w:cs="Times New Roman"/>
          <w:b/>
          <w:bCs/>
          <w:sz w:val="24"/>
          <w:szCs w:val="24"/>
        </w:rPr>
        <w:t xml:space="preserve">Assessing the T cell phenotype in </w:t>
      </w:r>
      <w:r>
        <w:rPr>
          <w:rFonts w:ascii="Times New Roman" w:eastAsia="宋体" w:hAnsi="Times New Roman" w:cs="Times New Roman" w:hint="eastAsia"/>
          <w:b/>
          <w:bCs/>
          <w:sz w:val="24"/>
          <w:szCs w:val="24"/>
        </w:rPr>
        <w:t>the</w:t>
      </w:r>
      <w:r w:rsidRPr="00FA0050">
        <w:rPr>
          <w:rFonts w:ascii="Times New Roman" w:eastAsia="宋体" w:hAnsi="Times New Roman" w:cs="Times New Roman"/>
          <w:b/>
          <w:bCs/>
          <w:sz w:val="24"/>
          <w:szCs w:val="24"/>
        </w:rPr>
        <w:t xml:space="preserve"> double-layered scaffold</w:t>
      </w:r>
    </w:p>
    <w:p w14:paraId="4225A8A8" w14:textId="77777777" w:rsidR="00D8516E" w:rsidRDefault="00D8516E" w:rsidP="00670A70">
      <w:pPr>
        <w:spacing w:line="360" w:lineRule="auto"/>
        <w:ind w:rightChars="-94" w:right="-197"/>
        <w:rPr>
          <w:rFonts w:ascii="Times New Roman" w:eastAsia="宋体" w:hAnsi="Times New Roman"/>
          <w:sz w:val="24"/>
          <w:szCs w:val="24"/>
        </w:rPr>
      </w:pPr>
      <w:r w:rsidRPr="00F413AE">
        <w:rPr>
          <w:rFonts w:ascii="Times New Roman" w:eastAsia="宋体" w:hAnsi="Times New Roman"/>
          <w:sz w:val="24"/>
          <w:szCs w:val="24"/>
        </w:rPr>
        <w:t xml:space="preserve">Besides proliferation capacity, the T-cell phenotype was assessed </w:t>
      </w:r>
      <w:r w:rsidRPr="00F413AE">
        <w:rPr>
          <w:rFonts w:ascii="Times New Roman" w:eastAsia="宋体" w:hAnsi="Times New Roman"/>
          <w:i/>
          <w:sz w:val="24"/>
          <w:szCs w:val="24"/>
        </w:rPr>
        <w:t>in vitro</w:t>
      </w:r>
      <w:r w:rsidRPr="00F413AE">
        <w:rPr>
          <w:rFonts w:ascii="Times New Roman" w:eastAsia="宋体" w:hAnsi="Times New Roman"/>
          <w:sz w:val="24"/>
          <w:szCs w:val="24"/>
        </w:rPr>
        <w:t xml:space="preserve"> and compared </w:t>
      </w:r>
      <w:r w:rsidRPr="00F413AE">
        <w:rPr>
          <w:rFonts w:ascii="Times New Roman" w:eastAsia="宋体" w:hAnsi="Times New Roman"/>
          <w:sz w:val="24"/>
          <w:szCs w:val="24"/>
        </w:rPr>
        <w:lastRenderedPageBreak/>
        <w:t>to conventional medium culture with double-layered systems. Following extraction, T cells (6 × 10</w:t>
      </w:r>
      <w:r w:rsidRPr="00F413AE">
        <w:rPr>
          <w:rFonts w:ascii="Times New Roman" w:eastAsia="宋体" w:hAnsi="Times New Roman"/>
          <w:sz w:val="24"/>
          <w:szCs w:val="24"/>
          <w:vertAlign w:val="superscript"/>
        </w:rPr>
        <w:t>6</w:t>
      </w:r>
      <w:r w:rsidRPr="00F413AE">
        <w:rPr>
          <w:rFonts w:ascii="Times New Roman" w:eastAsia="宋体" w:hAnsi="Times New Roman"/>
          <w:sz w:val="24"/>
          <w:szCs w:val="24"/>
        </w:rPr>
        <w:t xml:space="preserve"> cells/well) were seeded onto anti-mouse CD3/CD28-precoated 6-well plates in an interleukin-2-supplemented medium. After 72-hour culture at 37 °C/5% CO₂, the cells were harvested and allocated to three experimental groups. In the medium control group, cells were seeded in 24-well plates (8 × 10</w:t>
      </w:r>
      <w:r w:rsidRPr="00F413AE">
        <w:rPr>
          <w:rFonts w:ascii="Times New Roman" w:eastAsia="宋体" w:hAnsi="Times New Roman"/>
          <w:sz w:val="24"/>
          <w:szCs w:val="24"/>
          <w:vertAlign w:val="superscript"/>
        </w:rPr>
        <w:t>5</w:t>
      </w:r>
      <w:r w:rsidRPr="00F413AE">
        <w:rPr>
          <w:rFonts w:ascii="Times New Roman" w:eastAsia="宋体" w:hAnsi="Times New Roman"/>
          <w:sz w:val="24"/>
          <w:szCs w:val="24"/>
        </w:rPr>
        <w:t xml:space="preserve"> cells/well) to evaluate their proliferative ability in medium containing fresh interleukin-2. In the other two groups, cells were cultured in 50 μL PR hydrogel with different outer layers (GM hydrogel and GM hydrogel containing DMP-mBim (4 μg) complex). </w:t>
      </w:r>
      <w:r>
        <w:rPr>
          <w:rFonts w:ascii="Times New Roman" w:eastAsia="宋体" w:hAnsi="Times New Roman" w:hint="eastAsia"/>
          <w:sz w:val="24"/>
          <w:szCs w:val="24"/>
        </w:rPr>
        <w:t>The three groups were named as: Medium, Gel/PR-T cell and Gel-DMP-mBim/PR-T cell.</w:t>
      </w:r>
      <w:r w:rsidRPr="00F413AE">
        <w:rPr>
          <w:rFonts w:ascii="Times New Roman" w:eastAsia="宋体" w:hAnsi="Times New Roman"/>
          <w:sz w:val="24"/>
          <w:szCs w:val="24"/>
        </w:rPr>
        <w:t xml:space="preserve"> This time point was designated as Day 0. Double-layered </w:t>
      </w:r>
      <w:r>
        <w:rPr>
          <w:rFonts w:ascii="Times New Roman" w:eastAsia="宋体" w:hAnsi="Times New Roman" w:hint="eastAsia"/>
          <w:sz w:val="24"/>
          <w:szCs w:val="24"/>
        </w:rPr>
        <w:t>scaffolds</w:t>
      </w:r>
      <w:r w:rsidRPr="00F413AE">
        <w:rPr>
          <w:rFonts w:ascii="Times New Roman" w:eastAsia="宋体" w:hAnsi="Times New Roman"/>
          <w:sz w:val="24"/>
          <w:szCs w:val="24"/>
        </w:rPr>
        <w:t xml:space="preserve"> were incubated in 24-well plates containing 1 mL of RPMI 1640 medium. On Day 5, the </w:t>
      </w:r>
      <w:r>
        <w:rPr>
          <w:rFonts w:ascii="Times New Roman" w:eastAsia="宋体" w:hAnsi="Times New Roman" w:hint="eastAsia"/>
          <w:sz w:val="24"/>
          <w:szCs w:val="24"/>
        </w:rPr>
        <w:t>scaffold</w:t>
      </w:r>
      <w:r w:rsidRPr="00F413AE">
        <w:rPr>
          <w:rFonts w:ascii="Times New Roman" w:eastAsia="宋体" w:hAnsi="Times New Roman"/>
          <w:sz w:val="24"/>
          <w:szCs w:val="24"/>
        </w:rPr>
        <w:t>s were enzymatically digested with collagenase IV for cell retrieval. The cells were washed with PBS and stained with the following fluorescently labeled antibodies: CD3 (FITC), CD4 (PE), CD8 (APC), CD44 (PE), CD62L (APC), CD3 (FITC), and CD25 (APC). Cell samples were analyzed using flow cytometry.</w:t>
      </w:r>
    </w:p>
    <w:p w14:paraId="39C3FA0A" w14:textId="77777777" w:rsidR="00D8516E" w:rsidRPr="004E767A" w:rsidRDefault="00D8516E" w:rsidP="00A92B92">
      <w:pPr>
        <w:spacing w:line="360" w:lineRule="auto"/>
        <w:rPr>
          <w:rFonts w:ascii="Times New Roman" w:eastAsia="宋体" w:hAnsi="Times New Roman" w:cs="Times New Roman"/>
          <w:sz w:val="24"/>
          <w:szCs w:val="24"/>
        </w:rPr>
      </w:pPr>
      <w:bookmarkStart w:id="3" w:name="_Hlk222781635"/>
      <w:r w:rsidRPr="004E767A">
        <w:rPr>
          <w:rFonts w:ascii="Times New Roman" w:eastAsia="宋体" w:hAnsi="Times New Roman" w:cs="Times New Roman"/>
          <w:b/>
          <w:bCs/>
          <w:sz w:val="24"/>
          <w:szCs w:val="24"/>
        </w:rPr>
        <w:t>Bone marrow derived dendritic cell isolation</w:t>
      </w:r>
    </w:p>
    <w:bookmarkEnd w:id="3"/>
    <w:p w14:paraId="2E5C36A3" w14:textId="77777777" w:rsidR="00D8516E" w:rsidRPr="00A92B92" w:rsidRDefault="00D8516E" w:rsidP="00670A70">
      <w:pPr>
        <w:spacing w:line="360" w:lineRule="auto"/>
        <w:ind w:rightChars="-94" w:right="-197"/>
        <w:rPr>
          <w:rFonts w:ascii="Times New Roman" w:eastAsia="宋体" w:hAnsi="Times New Roman"/>
          <w:sz w:val="24"/>
          <w:szCs w:val="24"/>
        </w:rPr>
      </w:pPr>
      <w:r>
        <w:rPr>
          <w:rFonts w:ascii="Times New Roman" w:eastAsia="宋体" w:hAnsi="Times New Roman" w:cs="Times New Roman" w:hint="eastAsia"/>
          <w:sz w:val="24"/>
          <w:szCs w:val="24"/>
        </w:rPr>
        <w:t xml:space="preserve">The </w:t>
      </w:r>
      <w:r w:rsidRPr="004E767A">
        <w:rPr>
          <w:rFonts w:ascii="Times New Roman" w:eastAsia="宋体" w:hAnsi="Times New Roman" w:cs="Times New Roman"/>
          <w:sz w:val="24"/>
          <w:szCs w:val="24"/>
        </w:rPr>
        <w:t xml:space="preserve">bone marrow-derived dendritic cells (BMDC) were isolated from six-week-old </w:t>
      </w:r>
      <w:r>
        <w:rPr>
          <w:rFonts w:ascii="Times New Roman" w:eastAsia="宋体" w:hAnsi="Times New Roman" w:cs="Times New Roman" w:hint="eastAsia"/>
          <w:sz w:val="24"/>
          <w:szCs w:val="24"/>
        </w:rPr>
        <w:t>C3H/HeN</w:t>
      </w:r>
      <w:r w:rsidRPr="004E767A">
        <w:rPr>
          <w:rFonts w:ascii="Times New Roman" w:eastAsia="宋体" w:hAnsi="Times New Roman" w:cs="Times New Roman"/>
          <w:sz w:val="24"/>
          <w:szCs w:val="24"/>
        </w:rPr>
        <w:t xml:space="preserve"> mice</w:t>
      </w:r>
      <w:r>
        <w:rPr>
          <w:rFonts w:ascii="Times New Roman" w:eastAsia="宋体" w:hAnsi="Times New Roman" w:cs="Times New Roman" w:hint="eastAsia"/>
          <w:sz w:val="24"/>
          <w:szCs w:val="24"/>
        </w:rPr>
        <w:t xml:space="preserve"> for the co-cultivation assay</w:t>
      </w:r>
      <w:r w:rsidRPr="004E767A">
        <w:rPr>
          <w:rFonts w:ascii="Times New Roman" w:eastAsia="宋体" w:hAnsi="Times New Roman" w:cs="Times New Roman"/>
          <w:sz w:val="24"/>
          <w:szCs w:val="24"/>
        </w:rPr>
        <w:t>. Briefly, the mice were euthanized</w:t>
      </w:r>
      <w:r>
        <w:rPr>
          <w:rFonts w:ascii="Times New Roman" w:eastAsia="宋体" w:hAnsi="Times New Roman" w:cs="Times New Roman" w:hint="eastAsia"/>
          <w:sz w:val="24"/>
          <w:szCs w:val="24"/>
        </w:rPr>
        <w:t xml:space="preserve"> and</w:t>
      </w:r>
      <w:r w:rsidRPr="004E767A">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its</w:t>
      </w:r>
      <w:r w:rsidRPr="004E767A">
        <w:rPr>
          <w:rFonts w:ascii="Times New Roman" w:eastAsia="宋体" w:hAnsi="Times New Roman" w:cs="Times New Roman"/>
          <w:sz w:val="24"/>
          <w:szCs w:val="24"/>
        </w:rPr>
        <w:t xml:space="preserve"> femur and tibia were dissected. After </w:t>
      </w:r>
      <w:r w:rsidRPr="00A00FDB">
        <w:rPr>
          <w:rFonts w:ascii="Times New Roman" w:eastAsia="宋体" w:hAnsi="Times New Roman" w:cs="Times New Roman" w:hint="eastAsia"/>
          <w:sz w:val="24"/>
          <w:szCs w:val="24"/>
        </w:rPr>
        <w:t>removing the muscle from the surface of the bone</w:t>
      </w:r>
      <w:r>
        <w:rPr>
          <w:rFonts w:ascii="Times New Roman" w:eastAsia="宋体" w:hAnsi="Times New Roman" w:cs="Times New Roman" w:hint="eastAsia"/>
          <w:sz w:val="24"/>
          <w:szCs w:val="24"/>
        </w:rPr>
        <w:t xml:space="preserve">, </w:t>
      </w:r>
      <w:r w:rsidRPr="004E767A">
        <w:rPr>
          <w:rFonts w:ascii="Times New Roman" w:eastAsia="宋体" w:hAnsi="Times New Roman" w:cs="Times New Roman"/>
          <w:sz w:val="24"/>
          <w:szCs w:val="24"/>
        </w:rPr>
        <w:t xml:space="preserve">both ends of the bone </w:t>
      </w:r>
      <w:r>
        <w:rPr>
          <w:rFonts w:ascii="Times New Roman" w:eastAsia="宋体" w:hAnsi="Times New Roman" w:cs="Times New Roman" w:hint="eastAsia"/>
          <w:sz w:val="24"/>
          <w:szCs w:val="24"/>
        </w:rPr>
        <w:t>was cut and</w:t>
      </w:r>
      <w:r w:rsidRPr="004E767A">
        <w:rPr>
          <w:rFonts w:ascii="Times New Roman" w:eastAsia="宋体" w:hAnsi="Times New Roman" w:cs="Times New Roman"/>
          <w:sz w:val="24"/>
          <w:szCs w:val="24"/>
        </w:rPr>
        <w:t xml:space="preserve"> the syringe filled with 1 mL 1640 RPMI medium</w:t>
      </w:r>
      <w:r>
        <w:rPr>
          <w:rFonts w:ascii="Times New Roman" w:eastAsia="宋体" w:hAnsi="Times New Roman" w:cs="Times New Roman" w:hint="eastAsia"/>
          <w:sz w:val="24"/>
          <w:szCs w:val="24"/>
        </w:rPr>
        <w:t xml:space="preserve"> (10%FBS)</w:t>
      </w:r>
      <w:r w:rsidRPr="004E767A">
        <w:rPr>
          <w:rFonts w:ascii="Times New Roman" w:eastAsia="宋体" w:hAnsi="Times New Roman" w:cs="Times New Roman"/>
          <w:sz w:val="24"/>
          <w:szCs w:val="24"/>
        </w:rPr>
        <w:t xml:space="preserve"> was inserted into the bone</w:t>
      </w:r>
      <w:r>
        <w:rPr>
          <w:rFonts w:ascii="Times New Roman" w:eastAsia="宋体" w:hAnsi="Times New Roman" w:cs="Times New Roman" w:hint="eastAsia"/>
          <w:sz w:val="24"/>
          <w:szCs w:val="24"/>
        </w:rPr>
        <w:t xml:space="preserve">. Then </w:t>
      </w:r>
      <w:r w:rsidRPr="004E767A">
        <w:rPr>
          <w:rFonts w:ascii="Times New Roman" w:eastAsia="宋体" w:hAnsi="Times New Roman" w:cs="Times New Roman"/>
          <w:sz w:val="24"/>
          <w:szCs w:val="24"/>
        </w:rPr>
        <w:t xml:space="preserve">the bone marrow was flushed out into a petri dish with 10 mL 1640 RPMI </w:t>
      </w:r>
      <w:r>
        <w:rPr>
          <w:rFonts w:ascii="Times New Roman" w:eastAsia="宋体" w:hAnsi="Times New Roman" w:cs="Times New Roman" w:hint="eastAsia"/>
          <w:sz w:val="24"/>
          <w:szCs w:val="24"/>
        </w:rPr>
        <w:t>(10%FBS)</w:t>
      </w:r>
      <w:r w:rsidRPr="004E767A">
        <w:rPr>
          <w:rFonts w:ascii="Times New Roman" w:eastAsia="宋体" w:hAnsi="Times New Roman" w:cs="Times New Roman"/>
          <w:sz w:val="24"/>
          <w:szCs w:val="24"/>
        </w:rPr>
        <w:t xml:space="preserve">. Cells were harvested, passed through a sterile 70 μm Nylon cell strainer, and centrifuged at 1500 rpm for </w:t>
      </w:r>
      <w:r>
        <w:rPr>
          <w:rFonts w:ascii="Times New Roman" w:eastAsia="宋体" w:hAnsi="Times New Roman" w:cs="Times New Roman" w:hint="eastAsia"/>
          <w:sz w:val="24"/>
          <w:szCs w:val="24"/>
        </w:rPr>
        <w:t>5</w:t>
      </w:r>
      <w:r w:rsidRPr="004E767A">
        <w:rPr>
          <w:rFonts w:ascii="Times New Roman" w:eastAsia="宋体" w:hAnsi="Times New Roman" w:cs="Times New Roman"/>
          <w:sz w:val="24"/>
          <w:szCs w:val="24"/>
        </w:rPr>
        <w:t xml:space="preserve"> min. The cell pellet was resuspended with RBC lysis buffer followed by washing with 1640 RPMI. The cell suspension was then cultured in 1640 RPMI medium containing 20 ng/</w:t>
      </w:r>
      <w:r>
        <w:rPr>
          <w:rFonts w:ascii="Times New Roman" w:eastAsia="宋体" w:hAnsi="Times New Roman" w:cs="Times New Roman" w:hint="eastAsia"/>
          <w:sz w:val="24"/>
          <w:szCs w:val="24"/>
        </w:rPr>
        <w:t>m</w:t>
      </w:r>
      <w:r w:rsidRPr="004E767A">
        <w:rPr>
          <w:rFonts w:ascii="Times New Roman" w:eastAsia="宋体" w:hAnsi="Times New Roman" w:cs="Times New Roman"/>
          <w:sz w:val="24"/>
          <w:szCs w:val="24"/>
        </w:rPr>
        <w:t>L granulocyte-macrophage colony-stimulating factor (GM-CSF) at 37℃, 5% CO</w:t>
      </w:r>
      <w:r w:rsidRPr="004E767A">
        <w:rPr>
          <w:rFonts w:ascii="Times New Roman" w:eastAsia="宋体" w:hAnsi="Times New Roman" w:cs="Times New Roman"/>
          <w:sz w:val="24"/>
          <w:szCs w:val="24"/>
          <w:vertAlign w:val="subscript"/>
        </w:rPr>
        <w:t>2</w:t>
      </w:r>
      <w:r w:rsidRPr="004E767A">
        <w:rPr>
          <w:rFonts w:ascii="Times New Roman" w:eastAsia="宋体" w:hAnsi="Times New Roman" w:cs="Times New Roman"/>
          <w:sz w:val="24"/>
          <w:szCs w:val="24"/>
        </w:rPr>
        <w:t xml:space="preserve"> humidified incubator.</w:t>
      </w:r>
      <w:r>
        <w:rPr>
          <w:rFonts w:ascii="Times New Roman" w:eastAsia="宋体" w:hAnsi="Times New Roman" w:cs="Times New Roman" w:hint="eastAsia"/>
          <w:sz w:val="24"/>
          <w:szCs w:val="24"/>
        </w:rPr>
        <w:t xml:space="preserve"> The day of cell harvest was counted as the Day 0.</w:t>
      </w:r>
      <w:r w:rsidRPr="004E767A">
        <w:rPr>
          <w:rFonts w:ascii="Times New Roman" w:eastAsia="宋体" w:hAnsi="Times New Roman" w:cs="Times New Roman"/>
          <w:sz w:val="24"/>
          <w:szCs w:val="24"/>
        </w:rPr>
        <w:t xml:space="preserve"> On </w:t>
      </w:r>
      <w:r>
        <w:rPr>
          <w:rFonts w:ascii="Times New Roman" w:eastAsia="宋体" w:hAnsi="Times New Roman" w:cs="Times New Roman" w:hint="eastAsia"/>
          <w:sz w:val="24"/>
          <w:szCs w:val="24"/>
        </w:rPr>
        <w:t>D</w:t>
      </w:r>
      <w:r w:rsidRPr="004E767A">
        <w:rPr>
          <w:rFonts w:ascii="Times New Roman" w:eastAsia="宋体" w:hAnsi="Times New Roman" w:cs="Times New Roman"/>
          <w:sz w:val="24"/>
          <w:szCs w:val="24"/>
        </w:rPr>
        <w:t xml:space="preserve">ay 2 and </w:t>
      </w:r>
      <w:r>
        <w:rPr>
          <w:rFonts w:ascii="Times New Roman" w:eastAsia="宋体" w:hAnsi="Times New Roman" w:cs="Times New Roman" w:hint="eastAsia"/>
          <w:sz w:val="24"/>
          <w:szCs w:val="24"/>
        </w:rPr>
        <w:t>D</w:t>
      </w:r>
      <w:r w:rsidRPr="004E767A">
        <w:rPr>
          <w:rFonts w:ascii="Times New Roman" w:eastAsia="宋体" w:hAnsi="Times New Roman" w:cs="Times New Roman"/>
          <w:sz w:val="24"/>
          <w:szCs w:val="24"/>
        </w:rPr>
        <w:t>ay 4, 4 mL additional 1640 RPMI complete medium containing 20 ng/</w:t>
      </w:r>
      <w:r>
        <w:rPr>
          <w:rFonts w:ascii="Times New Roman" w:eastAsia="宋体" w:hAnsi="Times New Roman" w:cs="Times New Roman" w:hint="eastAsia"/>
          <w:sz w:val="24"/>
          <w:szCs w:val="24"/>
        </w:rPr>
        <w:t>m</w:t>
      </w:r>
      <w:r w:rsidRPr="004E767A">
        <w:rPr>
          <w:rFonts w:ascii="Times New Roman" w:eastAsia="宋体" w:hAnsi="Times New Roman" w:cs="Times New Roman"/>
          <w:sz w:val="24"/>
          <w:szCs w:val="24"/>
        </w:rPr>
        <w:t xml:space="preserve">L GM-CSF was added into the dish. </w:t>
      </w:r>
      <w:r>
        <w:rPr>
          <w:rFonts w:ascii="Times New Roman" w:eastAsia="宋体" w:hAnsi="Times New Roman" w:cs="Times New Roman" w:hint="eastAsia"/>
          <w:sz w:val="24"/>
          <w:szCs w:val="24"/>
        </w:rPr>
        <w:t>On the Day 6, t</w:t>
      </w:r>
      <w:r w:rsidRPr="004E767A">
        <w:rPr>
          <w:rFonts w:ascii="Times New Roman" w:eastAsia="宋体" w:hAnsi="Times New Roman" w:cs="Times New Roman"/>
          <w:sz w:val="24"/>
          <w:szCs w:val="24"/>
        </w:rPr>
        <w:t xml:space="preserve">he non-adherent and loosely adherent cells were harvested for subsequent </w:t>
      </w:r>
      <w:r w:rsidRPr="004E767A">
        <w:rPr>
          <w:rFonts w:ascii="Times New Roman" w:eastAsia="宋体" w:hAnsi="Times New Roman" w:cs="Times New Roman"/>
          <w:sz w:val="24"/>
          <w:szCs w:val="24"/>
        </w:rPr>
        <w:lastRenderedPageBreak/>
        <w:t>experiments.</w:t>
      </w:r>
    </w:p>
    <w:bookmarkEnd w:id="2"/>
    <w:p w14:paraId="22A8DF5D" w14:textId="77777777" w:rsidR="00D8516E" w:rsidRPr="008458CD" w:rsidRDefault="00D8516E" w:rsidP="00670A70">
      <w:pPr>
        <w:spacing w:line="360" w:lineRule="auto"/>
        <w:ind w:rightChars="-94" w:right="-197"/>
        <w:rPr>
          <w:rFonts w:ascii="Times New Roman" w:eastAsia="宋体" w:hAnsi="Times New Roman" w:cs="Times New Roman"/>
          <w:b/>
          <w:bCs/>
          <w:sz w:val="24"/>
          <w:szCs w:val="24"/>
        </w:rPr>
      </w:pPr>
      <w:r w:rsidRPr="008458CD">
        <w:rPr>
          <w:rFonts w:ascii="Times New Roman" w:eastAsia="宋体" w:hAnsi="Times New Roman" w:cs="Times New Roman"/>
          <w:b/>
          <w:bCs/>
          <w:sz w:val="24"/>
          <w:szCs w:val="24"/>
        </w:rPr>
        <w:t>Immunohistochemistry analysis</w:t>
      </w:r>
    </w:p>
    <w:p w14:paraId="438DA596" w14:textId="77777777" w:rsidR="00D8516E" w:rsidRDefault="00D8516E" w:rsidP="00670A70">
      <w:pPr>
        <w:spacing w:line="360" w:lineRule="auto"/>
        <w:ind w:rightChars="-94" w:right="-197"/>
        <w:rPr>
          <w:rFonts w:ascii="Times New Roman" w:eastAsia="宋体" w:hAnsi="Times New Roman" w:cs="Times New Roman"/>
          <w:sz w:val="24"/>
          <w:szCs w:val="24"/>
        </w:rPr>
      </w:pPr>
      <w:r w:rsidRPr="000360F0">
        <w:rPr>
          <w:rFonts w:ascii="Times New Roman" w:eastAsia="宋体" w:hAnsi="Times New Roman" w:cs="Times New Roman"/>
          <w:sz w:val="24"/>
          <w:szCs w:val="24"/>
        </w:rPr>
        <w:t>In the subcutaneous tumor model, histological analysis was performed to evaluate the expression of specific proteins in tumor tissues after treatment. The tumors were fixed in 4% paraformaldehyde, dehydrated, cleared, and embedded in paraffin blocks. Paraffin-embedded tissues were sectioned to a thickness of 3–4 μm for staining purposes. Apoptosis in tumor tissues was detected using the terminal deoxynucleotididyl transferase dUTP nick-end labeling (TUNEL) kit (Promega, USA). For other sections, following antigen retrieval, tissue sections were incubated with the following primary antibodies: Bim (1:250, CST), CD31 (1:50, Abcam), CD4 (1:1000, Abcam), CD8 (1:500, Abcam), IFN-γ (1:200, Abcam), and TNF-α (1:500, Abcam). The sections were then treated with horseradish peroxidase (HRP)-conjugated secondary antibodies. Whole tissue sections were scanned using the SLIDEVIEW VS200 system (Olympus, Tokyo, Japan) for imaging and analysis</w:t>
      </w:r>
      <w:r w:rsidRPr="00434BCF">
        <w:rPr>
          <w:rFonts w:ascii="Times New Roman" w:eastAsia="宋体" w:hAnsi="Times New Roman" w:cs="Times New Roman"/>
          <w:sz w:val="24"/>
          <w:szCs w:val="24"/>
        </w:rPr>
        <w:t>.</w:t>
      </w:r>
    </w:p>
    <w:p w14:paraId="2C164B2D" w14:textId="77777777" w:rsidR="00D8516E" w:rsidRDefault="00D8516E" w:rsidP="00670A70">
      <w:pPr>
        <w:spacing w:line="360" w:lineRule="auto"/>
        <w:ind w:rightChars="-94" w:right="-197"/>
        <w:rPr>
          <w:rFonts w:ascii="Times New Roman" w:eastAsia="宋体" w:hAnsi="Times New Roman" w:cs="Times New Roman"/>
          <w:b/>
          <w:bCs/>
          <w:sz w:val="24"/>
          <w:szCs w:val="24"/>
        </w:rPr>
      </w:pPr>
      <w:r w:rsidRPr="00F9144D">
        <w:rPr>
          <w:rFonts w:ascii="Times New Roman" w:eastAsia="宋体" w:hAnsi="Times New Roman" w:cs="Times New Roman" w:hint="eastAsia"/>
          <w:b/>
          <w:bCs/>
          <w:sz w:val="24"/>
          <w:szCs w:val="24"/>
        </w:rPr>
        <w:t>Statistical power analysis and sample size calculation in animal experiments</w:t>
      </w:r>
    </w:p>
    <w:p w14:paraId="6E4ED576" w14:textId="77777777" w:rsidR="00D8516E" w:rsidRPr="00124390" w:rsidRDefault="00D8516E" w:rsidP="00107390">
      <w:pPr>
        <w:spacing w:line="360" w:lineRule="auto"/>
        <w:ind w:rightChars="-94" w:right="-197"/>
        <w:rPr>
          <w:rFonts w:ascii="Times New Roman" w:eastAsia="宋体" w:hAnsi="Times New Roman" w:cs="Times New Roman"/>
          <w:sz w:val="24"/>
          <w:szCs w:val="24"/>
        </w:rPr>
      </w:pPr>
      <w:r w:rsidRPr="00B032F4">
        <w:rPr>
          <w:rFonts w:ascii="Times New Roman" w:eastAsia="宋体" w:hAnsi="Times New Roman" w:cs="Times New Roman" w:hint="eastAsia"/>
          <w:sz w:val="24"/>
          <w:szCs w:val="24"/>
        </w:rPr>
        <w:t>The sample size was determined based on an a priori statistical power analysis</w:t>
      </w:r>
      <w:r>
        <w:rPr>
          <w:rFonts w:ascii="Times New Roman" w:eastAsia="宋体" w:hAnsi="Times New Roman" w:cs="Times New Roman" w:hint="eastAsia"/>
          <w:sz w:val="24"/>
          <w:szCs w:val="24"/>
        </w:rPr>
        <w:t xml:space="preserve"> using G*Power 3.1.9.7 software</w:t>
      </w:r>
      <w:r w:rsidRPr="00B032F4">
        <w:rPr>
          <w:rFonts w:ascii="Times New Roman" w:eastAsia="宋体" w:hAnsi="Times New Roman" w:cs="Times New Roman" w:hint="eastAsia"/>
          <w:sz w:val="24"/>
          <w:szCs w:val="24"/>
        </w:rPr>
        <w:t xml:space="preserve">. Assuming a </w:t>
      </w:r>
      <w:r>
        <w:rPr>
          <w:rFonts w:ascii="Times New Roman" w:eastAsia="宋体" w:hAnsi="Times New Roman" w:cs="Times New Roman" w:hint="eastAsia"/>
          <w:sz w:val="24"/>
          <w:szCs w:val="24"/>
        </w:rPr>
        <w:t>typically</w:t>
      </w:r>
      <w:r w:rsidRPr="00B032F4">
        <w:rPr>
          <w:rFonts w:ascii="Times New Roman" w:eastAsia="宋体" w:hAnsi="Times New Roman" w:cs="Times New Roman" w:hint="eastAsia"/>
          <w:sz w:val="24"/>
          <w:szCs w:val="24"/>
        </w:rPr>
        <w:t xml:space="preserve"> meaningful reduction in tumor volume of </w:t>
      </w:r>
      <w:r>
        <w:rPr>
          <w:rFonts w:ascii="Times New Roman" w:eastAsia="宋体" w:hAnsi="Times New Roman" w:cs="Times New Roman" w:hint="eastAsia"/>
          <w:sz w:val="24"/>
          <w:szCs w:val="24"/>
        </w:rPr>
        <w:t xml:space="preserve">half of the volume in NS group, </w:t>
      </w:r>
      <w:r w:rsidRPr="00B032F4">
        <w:rPr>
          <w:rFonts w:ascii="Times New Roman" w:eastAsia="宋体" w:hAnsi="Times New Roman" w:cs="Times New Roman" w:hint="eastAsia"/>
          <w:sz w:val="24"/>
          <w:szCs w:val="24"/>
        </w:rPr>
        <w:t xml:space="preserve">a two-tailed t test with </w:t>
      </w:r>
      <w:r w:rsidRPr="0095469F">
        <w:rPr>
          <w:rFonts w:ascii="Times New Roman" w:eastAsia="宋体" w:hAnsi="Times New Roman" w:cs="Times New Roman"/>
          <w:sz w:val="24"/>
          <w:szCs w:val="24"/>
        </w:rPr>
        <w:t>α = 0.0</w:t>
      </w:r>
      <w:r w:rsidRPr="00B032F4">
        <w:rPr>
          <w:rFonts w:ascii="Times New Roman" w:eastAsia="宋体" w:hAnsi="Times New Roman" w:cs="Times New Roman" w:hint="eastAsia"/>
          <w:sz w:val="24"/>
          <w:szCs w:val="24"/>
        </w:rPr>
        <w:t xml:space="preserve">5 and </w:t>
      </w:r>
      <w:r>
        <w:rPr>
          <w:rFonts w:ascii="Times New Roman" w:eastAsia="宋体" w:hAnsi="Times New Roman" w:cs="Times New Roman" w:hint="eastAsia"/>
          <w:sz w:val="24"/>
          <w:szCs w:val="24"/>
        </w:rPr>
        <w:t>9</w:t>
      </w:r>
      <w:r w:rsidRPr="00B032F4">
        <w:rPr>
          <w:rFonts w:ascii="Times New Roman" w:eastAsia="宋体" w:hAnsi="Times New Roman" w:cs="Times New Roman" w:hint="eastAsia"/>
          <w:sz w:val="24"/>
          <w:szCs w:val="24"/>
        </w:rPr>
        <w:t>0% power indicated that 7 mice per group would be sufficient to detect this effect.</w:t>
      </w:r>
      <w:r>
        <w:rPr>
          <w:rFonts w:ascii="Times New Roman" w:eastAsia="宋体" w:hAnsi="Times New Roman" w:cs="Times New Roman" w:hint="eastAsia"/>
          <w:sz w:val="24"/>
          <w:szCs w:val="24"/>
        </w:rPr>
        <w:t xml:space="preserve"> And we chose this sample size in the </w:t>
      </w:r>
      <w:r w:rsidRPr="00774F7C">
        <w:rPr>
          <w:rFonts w:ascii="Times New Roman" w:eastAsia="宋体" w:hAnsi="Times New Roman" w:cs="Times New Roman" w:hint="eastAsia"/>
          <w:i/>
          <w:iCs/>
          <w:sz w:val="24"/>
          <w:szCs w:val="24"/>
        </w:rPr>
        <w:t>in vivo</w:t>
      </w:r>
      <w:r>
        <w:rPr>
          <w:rFonts w:ascii="Times New Roman" w:eastAsia="宋体" w:hAnsi="Times New Roman" w:cs="Times New Roman" w:hint="eastAsia"/>
          <w:sz w:val="24"/>
          <w:szCs w:val="24"/>
        </w:rPr>
        <w:t xml:space="preserve"> experiments.</w:t>
      </w:r>
    </w:p>
    <w:p w14:paraId="61600115" w14:textId="77777777" w:rsidR="00D8516E" w:rsidRDefault="00D8516E" w:rsidP="00670A70">
      <w:pPr>
        <w:widowControl/>
        <w:ind w:rightChars="-94" w:right="-197"/>
        <w:jc w:val="left"/>
        <w:rPr>
          <w:rFonts w:ascii="Times New Roman" w:hAnsi="Times New Roman"/>
          <w:sz w:val="24"/>
        </w:rPr>
      </w:pPr>
    </w:p>
    <w:p w14:paraId="3B166E27" w14:textId="77777777" w:rsidR="00D8516E" w:rsidRPr="004E2CAC" w:rsidRDefault="00D8516E" w:rsidP="00107390">
      <w:pPr>
        <w:widowControl/>
        <w:spacing w:line="360" w:lineRule="auto"/>
        <w:ind w:rightChars="-94" w:right="-197"/>
        <w:jc w:val="left"/>
        <w:rPr>
          <w:rFonts w:ascii="Times New Roman" w:hAnsi="Times New Roman"/>
          <w:b/>
          <w:bCs/>
          <w:sz w:val="24"/>
        </w:rPr>
      </w:pPr>
      <w:r w:rsidRPr="004E2CAC">
        <w:rPr>
          <w:rFonts w:ascii="Times New Roman" w:hAnsi="Times New Roman" w:hint="eastAsia"/>
          <w:b/>
          <w:bCs/>
          <w:sz w:val="24"/>
        </w:rPr>
        <w:t>Refer</w:t>
      </w:r>
      <w:r>
        <w:rPr>
          <w:rFonts w:ascii="Times New Roman" w:hAnsi="Times New Roman" w:hint="eastAsia"/>
          <w:b/>
          <w:bCs/>
          <w:sz w:val="24"/>
        </w:rPr>
        <w:t>e</w:t>
      </w:r>
      <w:r w:rsidRPr="004E2CAC">
        <w:rPr>
          <w:rFonts w:ascii="Times New Roman" w:hAnsi="Times New Roman" w:hint="eastAsia"/>
          <w:b/>
          <w:bCs/>
          <w:sz w:val="24"/>
        </w:rPr>
        <w:t>nces</w:t>
      </w:r>
    </w:p>
    <w:p w14:paraId="668C9ABE" w14:textId="77777777" w:rsidR="00D8516E" w:rsidRPr="004E2CAC" w:rsidRDefault="00D8516E" w:rsidP="00107390">
      <w:pPr>
        <w:pStyle w:val="EndNoteBibliography"/>
        <w:spacing w:line="360" w:lineRule="auto"/>
        <w:rPr>
          <w:rFonts w:ascii="Times New Roman" w:hAnsi="Times New Roman" w:cs="Times New Roman"/>
          <w:sz w:val="24"/>
          <w:szCs w:val="24"/>
        </w:rPr>
      </w:pPr>
      <w:r w:rsidRPr="004E2CAC">
        <w:rPr>
          <w:rFonts w:ascii="Times New Roman" w:hAnsi="Times New Roman" w:cs="Times New Roman"/>
          <w:sz w:val="24"/>
          <w:szCs w:val="24"/>
        </w:rPr>
        <w:t xml:space="preserve">1. Gao Y, Men K, Pan C, et al. Functionalized DMP-039 hybrid nanoparticle as a novel mRNA vector for efficient cancer suicide gene therapy. </w:t>
      </w:r>
      <w:r w:rsidRPr="004E2CAC">
        <w:rPr>
          <w:rFonts w:ascii="Times New Roman" w:hAnsi="Times New Roman" w:cs="Times New Roman"/>
          <w:i/>
          <w:sz w:val="24"/>
          <w:szCs w:val="24"/>
        </w:rPr>
        <w:t>Int J Nanomedicine</w:t>
      </w:r>
      <w:r w:rsidRPr="004E2CAC">
        <w:rPr>
          <w:rFonts w:ascii="Times New Roman" w:hAnsi="Times New Roman" w:cs="Times New Roman"/>
          <w:sz w:val="24"/>
          <w:szCs w:val="24"/>
        </w:rPr>
        <w:t>. 2021;16:5211-5232. doi:10.2147/ijn.s319092</w:t>
      </w:r>
    </w:p>
    <w:p w14:paraId="3B195D4A" w14:textId="77777777" w:rsidR="00D8516E" w:rsidRDefault="00D8516E" w:rsidP="00107390">
      <w:pPr>
        <w:widowControl/>
        <w:spacing w:line="360" w:lineRule="auto"/>
        <w:ind w:rightChars="-94" w:right="-197"/>
        <w:jc w:val="left"/>
        <w:rPr>
          <w:rFonts w:ascii="Times New Roman" w:eastAsia="宋体" w:hAnsi="Times New Roman"/>
          <w:sz w:val="24"/>
          <w:szCs w:val="24"/>
        </w:rPr>
      </w:pPr>
    </w:p>
    <w:p w14:paraId="571CB9CC" w14:textId="77777777" w:rsidR="00D8516E" w:rsidRPr="008C2307" w:rsidRDefault="00D8516E" w:rsidP="008C2307">
      <w:pPr>
        <w:widowControl/>
        <w:jc w:val="left"/>
        <w:rPr>
          <w:rFonts w:ascii="Times New Roman" w:eastAsia="宋体" w:hAnsi="Times New Roman"/>
          <w:sz w:val="24"/>
          <w:szCs w:val="24"/>
        </w:rPr>
      </w:pPr>
      <w:r>
        <w:rPr>
          <w:rFonts w:ascii="Times New Roman" w:eastAsia="宋体" w:hAnsi="Times New Roman"/>
          <w:sz w:val="24"/>
          <w:szCs w:val="24"/>
        </w:rPr>
        <w:br w:type="page"/>
      </w:r>
    </w:p>
    <w:p w14:paraId="04109FC1" w14:textId="77777777" w:rsidR="00D8516E" w:rsidRPr="00D7563E" w:rsidRDefault="00D8516E" w:rsidP="00D7563E">
      <w:pPr>
        <w:rPr>
          <w:rFonts w:ascii="Times New Roman" w:hAnsi="Times New Roman" w:cs="Times New Roman"/>
          <w:b/>
          <w:bCs/>
          <w:sz w:val="24"/>
          <w:szCs w:val="24"/>
        </w:rPr>
      </w:pPr>
      <w:r w:rsidRPr="00D7563E">
        <w:rPr>
          <w:rFonts w:ascii="Times New Roman" w:hAnsi="Times New Roman" w:cs="Times New Roman"/>
          <w:b/>
          <w:bCs/>
          <w:sz w:val="24"/>
          <w:szCs w:val="24"/>
        </w:rPr>
        <w:lastRenderedPageBreak/>
        <w:t>Table S1. The antibody used in the analysis of the study.</w:t>
      </w:r>
    </w:p>
    <w:p w14:paraId="0CCD5E06" w14:textId="77777777" w:rsidR="00D8516E" w:rsidRPr="00E11026" w:rsidRDefault="00D8516E" w:rsidP="00670A70">
      <w:pPr>
        <w:ind w:rightChars="-94" w:right="-197"/>
        <w:rPr>
          <w:rFonts w:ascii="Times New Roman" w:hAnsi="Times New Roman"/>
          <w:sz w:val="24"/>
        </w:rPr>
      </w:pPr>
    </w:p>
    <w:tbl>
      <w:tblPr>
        <w:tblStyle w:val="af2"/>
        <w:tblW w:w="0" w:type="auto"/>
        <w:tblLook w:val="04A0" w:firstRow="1" w:lastRow="0" w:firstColumn="1" w:lastColumn="0" w:noHBand="0" w:noVBand="1"/>
      </w:tblPr>
      <w:tblGrid>
        <w:gridCol w:w="1866"/>
        <w:gridCol w:w="1776"/>
        <w:gridCol w:w="1572"/>
        <w:gridCol w:w="1572"/>
        <w:gridCol w:w="1510"/>
      </w:tblGrid>
      <w:tr w:rsidR="00D8516E" w:rsidRPr="00E11026" w14:paraId="047D8F93" w14:textId="77777777" w:rsidTr="00231452">
        <w:trPr>
          <w:trHeight w:val="699"/>
        </w:trPr>
        <w:tc>
          <w:tcPr>
            <w:tcW w:w="1866" w:type="dxa"/>
          </w:tcPr>
          <w:p w14:paraId="3D9CB46B"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N</w:t>
            </w:r>
            <w:r w:rsidRPr="00E11026">
              <w:rPr>
                <w:rFonts w:ascii="Times New Roman" w:hAnsi="Times New Roman" w:cs="Times New Roman"/>
                <w:sz w:val="24"/>
                <w:szCs w:val="24"/>
              </w:rPr>
              <w:t>ame</w:t>
            </w:r>
          </w:p>
        </w:tc>
        <w:tc>
          <w:tcPr>
            <w:tcW w:w="1776" w:type="dxa"/>
          </w:tcPr>
          <w:p w14:paraId="3FC2351A" w14:textId="77777777" w:rsidR="00D8516E" w:rsidRPr="00E11026" w:rsidRDefault="00D8516E" w:rsidP="00670A70">
            <w:pPr>
              <w:ind w:rightChars="-94" w:right="-197"/>
              <w:jc w:val="center"/>
              <w:rPr>
                <w:rFonts w:ascii="Times New Roman" w:hAnsi="Times New Roman" w:cs="Times New Roman"/>
                <w:sz w:val="24"/>
                <w:szCs w:val="24"/>
              </w:rPr>
            </w:pPr>
            <w:r w:rsidRPr="00FE56AD">
              <w:rPr>
                <w:rFonts w:ascii="Times New Roman" w:hAnsi="Times New Roman" w:cs="Times New Roman" w:hint="eastAsia"/>
                <w:sz w:val="24"/>
                <w:szCs w:val="24"/>
              </w:rPr>
              <w:t>Fluorochrome</w:t>
            </w:r>
          </w:p>
        </w:tc>
        <w:tc>
          <w:tcPr>
            <w:tcW w:w="1572" w:type="dxa"/>
          </w:tcPr>
          <w:p w14:paraId="187C042F"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C</w:t>
            </w:r>
            <w:r w:rsidRPr="00E11026">
              <w:rPr>
                <w:rFonts w:ascii="Times New Roman" w:hAnsi="Times New Roman" w:cs="Times New Roman"/>
                <w:sz w:val="24"/>
                <w:szCs w:val="24"/>
              </w:rPr>
              <w:t>lone name</w:t>
            </w:r>
          </w:p>
        </w:tc>
        <w:tc>
          <w:tcPr>
            <w:tcW w:w="1572" w:type="dxa"/>
          </w:tcPr>
          <w:p w14:paraId="68B93B77"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L</w:t>
            </w:r>
            <w:r w:rsidRPr="00E11026">
              <w:rPr>
                <w:rFonts w:ascii="Times New Roman" w:hAnsi="Times New Roman" w:cs="Times New Roman" w:hint="eastAsia"/>
                <w:sz w:val="24"/>
                <w:szCs w:val="24"/>
              </w:rPr>
              <w:t>ot number</w:t>
            </w:r>
          </w:p>
        </w:tc>
        <w:tc>
          <w:tcPr>
            <w:tcW w:w="1510" w:type="dxa"/>
          </w:tcPr>
          <w:p w14:paraId="252B2D82" w14:textId="77777777" w:rsidR="00D8516E" w:rsidRPr="00E11026" w:rsidRDefault="00D8516E" w:rsidP="00670A70">
            <w:pPr>
              <w:ind w:rightChars="-94" w:right="-197"/>
              <w:jc w:val="center"/>
              <w:rPr>
                <w:rFonts w:ascii="Times New Roman" w:hAnsi="Times New Roman" w:cs="Times New Roman"/>
                <w:sz w:val="24"/>
                <w:szCs w:val="24"/>
              </w:rPr>
            </w:pPr>
            <w:r w:rsidRPr="0043434A">
              <w:rPr>
                <w:rFonts w:ascii="Times New Roman" w:hAnsi="Times New Roman" w:cs="Times New Roman" w:hint="eastAsia"/>
                <w:sz w:val="24"/>
                <w:szCs w:val="24"/>
              </w:rPr>
              <w:t>Company</w:t>
            </w:r>
          </w:p>
        </w:tc>
      </w:tr>
      <w:tr w:rsidR="00D8516E" w:rsidRPr="00E11026" w14:paraId="065E590C" w14:textId="77777777" w:rsidTr="00231452">
        <w:tc>
          <w:tcPr>
            <w:tcW w:w="1866" w:type="dxa"/>
          </w:tcPr>
          <w:p w14:paraId="5FF9A87B" w14:textId="77777777" w:rsidR="00D8516E" w:rsidRPr="00E11026" w:rsidRDefault="00D8516E" w:rsidP="00670A70">
            <w:pPr>
              <w:ind w:rightChars="-94" w:right="-197"/>
              <w:jc w:val="center"/>
              <w:rPr>
                <w:rFonts w:ascii="Times New Roman" w:hAnsi="Times New Roman" w:cs="Times New Roman"/>
                <w:sz w:val="24"/>
                <w:szCs w:val="24"/>
              </w:rPr>
            </w:pPr>
            <w:bookmarkStart w:id="4" w:name="OLE_LINK1"/>
            <w:r w:rsidRPr="00E11026">
              <w:rPr>
                <w:rFonts w:ascii="Times New Roman" w:hAnsi="Times New Roman" w:cs="Times New Roman"/>
                <w:sz w:val="24"/>
                <w:szCs w:val="24"/>
              </w:rPr>
              <w:t>CD3</w:t>
            </w:r>
            <w:bookmarkEnd w:id="4"/>
          </w:p>
        </w:tc>
        <w:tc>
          <w:tcPr>
            <w:tcW w:w="1776" w:type="dxa"/>
          </w:tcPr>
          <w:p w14:paraId="07C16BBA"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FITC</w:t>
            </w:r>
          </w:p>
        </w:tc>
        <w:tc>
          <w:tcPr>
            <w:tcW w:w="1572" w:type="dxa"/>
          </w:tcPr>
          <w:p w14:paraId="224E6769"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w:t>
            </w:r>
            <w:r>
              <w:rPr>
                <w:rFonts w:ascii="Times New Roman" w:hAnsi="Times New Roman" w:cs="Times New Roman" w:hint="eastAsia"/>
                <w:sz w:val="24"/>
                <w:szCs w:val="24"/>
              </w:rPr>
              <w:t>7</w:t>
            </w:r>
            <w:r w:rsidRPr="00E11026">
              <w:rPr>
                <w:rFonts w:ascii="Times New Roman" w:hAnsi="Times New Roman" w:cs="Times New Roman"/>
                <w:sz w:val="24"/>
                <w:szCs w:val="24"/>
              </w:rPr>
              <w:t>A2</w:t>
            </w:r>
          </w:p>
        </w:tc>
        <w:tc>
          <w:tcPr>
            <w:tcW w:w="1572" w:type="dxa"/>
          </w:tcPr>
          <w:p w14:paraId="34E1DA66"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100204</w:t>
            </w:r>
          </w:p>
        </w:tc>
        <w:tc>
          <w:tcPr>
            <w:tcW w:w="1510" w:type="dxa"/>
          </w:tcPr>
          <w:p w14:paraId="578437D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39BBB907" w14:textId="77777777" w:rsidTr="00231452">
        <w:tc>
          <w:tcPr>
            <w:tcW w:w="1866" w:type="dxa"/>
          </w:tcPr>
          <w:p w14:paraId="6C8AC818"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CD4</w:t>
            </w:r>
          </w:p>
        </w:tc>
        <w:tc>
          <w:tcPr>
            <w:tcW w:w="1776" w:type="dxa"/>
          </w:tcPr>
          <w:p w14:paraId="232B3D67"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PE</w:t>
            </w:r>
          </w:p>
        </w:tc>
        <w:tc>
          <w:tcPr>
            <w:tcW w:w="1572" w:type="dxa"/>
          </w:tcPr>
          <w:p w14:paraId="4CDF557C"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GK1.5</w:t>
            </w:r>
          </w:p>
        </w:tc>
        <w:tc>
          <w:tcPr>
            <w:tcW w:w="1572" w:type="dxa"/>
          </w:tcPr>
          <w:p w14:paraId="2EDF5150"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100408</w:t>
            </w:r>
          </w:p>
        </w:tc>
        <w:tc>
          <w:tcPr>
            <w:tcW w:w="1510" w:type="dxa"/>
          </w:tcPr>
          <w:p w14:paraId="483F26AE"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5A92A2A4" w14:textId="77777777" w:rsidTr="00231452">
        <w:tc>
          <w:tcPr>
            <w:tcW w:w="1866" w:type="dxa"/>
          </w:tcPr>
          <w:p w14:paraId="71B616E2" w14:textId="77777777" w:rsidR="00D8516E"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CD8</w:t>
            </w:r>
          </w:p>
        </w:tc>
        <w:tc>
          <w:tcPr>
            <w:tcW w:w="1776" w:type="dxa"/>
          </w:tcPr>
          <w:p w14:paraId="7198D808" w14:textId="77777777" w:rsidR="00D8516E"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APC</w:t>
            </w:r>
          </w:p>
        </w:tc>
        <w:tc>
          <w:tcPr>
            <w:tcW w:w="1572" w:type="dxa"/>
          </w:tcPr>
          <w:p w14:paraId="0FA49588"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53-6.7</w:t>
            </w:r>
          </w:p>
        </w:tc>
        <w:tc>
          <w:tcPr>
            <w:tcW w:w="1572" w:type="dxa"/>
          </w:tcPr>
          <w:p w14:paraId="3809482A"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100712</w:t>
            </w:r>
          </w:p>
        </w:tc>
        <w:tc>
          <w:tcPr>
            <w:tcW w:w="1510" w:type="dxa"/>
          </w:tcPr>
          <w:p w14:paraId="57225138"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43695E3A" w14:textId="77777777" w:rsidTr="00231452">
        <w:tc>
          <w:tcPr>
            <w:tcW w:w="1866" w:type="dxa"/>
          </w:tcPr>
          <w:p w14:paraId="46764A7D"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CD44</w:t>
            </w:r>
          </w:p>
        </w:tc>
        <w:tc>
          <w:tcPr>
            <w:tcW w:w="1776" w:type="dxa"/>
          </w:tcPr>
          <w:p w14:paraId="4314803E"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PE</w:t>
            </w:r>
          </w:p>
        </w:tc>
        <w:tc>
          <w:tcPr>
            <w:tcW w:w="1572" w:type="dxa"/>
          </w:tcPr>
          <w:p w14:paraId="04889468"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IM7</w:t>
            </w:r>
          </w:p>
        </w:tc>
        <w:tc>
          <w:tcPr>
            <w:tcW w:w="1572" w:type="dxa"/>
          </w:tcPr>
          <w:p w14:paraId="06B2110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103024</w:t>
            </w:r>
          </w:p>
        </w:tc>
        <w:tc>
          <w:tcPr>
            <w:tcW w:w="1510" w:type="dxa"/>
          </w:tcPr>
          <w:p w14:paraId="7843282E"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71F8599E" w14:textId="77777777" w:rsidTr="00231452">
        <w:tc>
          <w:tcPr>
            <w:tcW w:w="1866" w:type="dxa"/>
          </w:tcPr>
          <w:p w14:paraId="3C50B81A"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CD62L</w:t>
            </w:r>
          </w:p>
        </w:tc>
        <w:tc>
          <w:tcPr>
            <w:tcW w:w="1776" w:type="dxa"/>
          </w:tcPr>
          <w:p w14:paraId="7FB39FE6"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APC</w:t>
            </w:r>
          </w:p>
        </w:tc>
        <w:tc>
          <w:tcPr>
            <w:tcW w:w="1572" w:type="dxa"/>
          </w:tcPr>
          <w:p w14:paraId="290A2E5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MEL-14</w:t>
            </w:r>
          </w:p>
        </w:tc>
        <w:tc>
          <w:tcPr>
            <w:tcW w:w="1572" w:type="dxa"/>
          </w:tcPr>
          <w:p w14:paraId="069FCBB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104412</w:t>
            </w:r>
          </w:p>
        </w:tc>
        <w:tc>
          <w:tcPr>
            <w:tcW w:w="1510" w:type="dxa"/>
          </w:tcPr>
          <w:p w14:paraId="3B561F37"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79EE3304" w14:textId="77777777" w:rsidTr="00231452">
        <w:tc>
          <w:tcPr>
            <w:tcW w:w="1866" w:type="dxa"/>
          </w:tcPr>
          <w:p w14:paraId="5F92FE07"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CD25</w:t>
            </w:r>
          </w:p>
        </w:tc>
        <w:tc>
          <w:tcPr>
            <w:tcW w:w="1776" w:type="dxa"/>
          </w:tcPr>
          <w:p w14:paraId="252847A8"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APC</w:t>
            </w:r>
          </w:p>
        </w:tc>
        <w:tc>
          <w:tcPr>
            <w:tcW w:w="1572" w:type="dxa"/>
          </w:tcPr>
          <w:p w14:paraId="1551CE34"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PC61</w:t>
            </w:r>
          </w:p>
        </w:tc>
        <w:tc>
          <w:tcPr>
            <w:tcW w:w="1572" w:type="dxa"/>
          </w:tcPr>
          <w:p w14:paraId="7E605004"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102012</w:t>
            </w:r>
          </w:p>
        </w:tc>
        <w:tc>
          <w:tcPr>
            <w:tcW w:w="1510" w:type="dxa"/>
          </w:tcPr>
          <w:p w14:paraId="4FEAB35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6EB2C201" w14:textId="77777777" w:rsidTr="00231452">
        <w:tc>
          <w:tcPr>
            <w:tcW w:w="1866" w:type="dxa"/>
          </w:tcPr>
          <w:p w14:paraId="422825AD"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CD69</w:t>
            </w:r>
          </w:p>
        </w:tc>
        <w:tc>
          <w:tcPr>
            <w:tcW w:w="1776" w:type="dxa"/>
          </w:tcPr>
          <w:p w14:paraId="193A3631"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PE</w:t>
            </w:r>
          </w:p>
        </w:tc>
        <w:tc>
          <w:tcPr>
            <w:tcW w:w="1572" w:type="dxa"/>
          </w:tcPr>
          <w:p w14:paraId="693DAF3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H1.2F3</w:t>
            </w:r>
          </w:p>
        </w:tc>
        <w:tc>
          <w:tcPr>
            <w:tcW w:w="1572" w:type="dxa"/>
          </w:tcPr>
          <w:p w14:paraId="7E76F03F"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104508</w:t>
            </w:r>
          </w:p>
        </w:tc>
        <w:tc>
          <w:tcPr>
            <w:tcW w:w="1510" w:type="dxa"/>
          </w:tcPr>
          <w:p w14:paraId="33EB8DFC"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57D828C9" w14:textId="77777777" w:rsidTr="00231452">
        <w:tc>
          <w:tcPr>
            <w:tcW w:w="1866" w:type="dxa"/>
          </w:tcPr>
          <w:p w14:paraId="5AC988D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CD11c</w:t>
            </w:r>
          </w:p>
        </w:tc>
        <w:tc>
          <w:tcPr>
            <w:tcW w:w="1776" w:type="dxa"/>
          </w:tcPr>
          <w:p w14:paraId="0092757F"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FITC</w:t>
            </w:r>
          </w:p>
        </w:tc>
        <w:tc>
          <w:tcPr>
            <w:tcW w:w="1572" w:type="dxa"/>
          </w:tcPr>
          <w:p w14:paraId="0DB24C20"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N418</w:t>
            </w:r>
          </w:p>
        </w:tc>
        <w:tc>
          <w:tcPr>
            <w:tcW w:w="1572" w:type="dxa"/>
          </w:tcPr>
          <w:p w14:paraId="0C1F29F1"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117306</w:t>
            </w:r>
          </w:p>
        </w:tc>
        <w:tc>
          <w:tcPr>
            <w:tcW w:w="1510" w:type="dxa"/>
          </w:tcPr>
          <w:p w14:paraId="2298B804"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74F7FF7F" w14:textId="77777777" w:rsidTr="00231452">
        <w:tc>
          <w:tcPr>
            <w:tcW w:w="1866" w:type="dxa"/>
          </w:tcPr>
          <w:p w14:paraId="1AA1997A"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CD80</w:t>
            </w:r>
          </w:p>
        </w:tc>
        <w:tc>
          <w:tcPr>
            <w:tcW w:w="1776" w:type="dxa"/>
          </w:tcPr>
          <w:p w14:paraId="44898F13"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APC</w:t>
            </w:r>
          </w:p>
        </w:tc>
        <w:tc>
          <w:tcPr>
            <w:tcW w:w="1572" w:type="dxa"/>
          </w:tcPr>
          <w:p w14:paraId="6C4296C1"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16-10A1</w:t>
            </w:r>
          </w:p>
        </w:tc>
        <w:tc>
          <w:tcPr>
            <w:tcW w:w="1572" w:type="dxa"/>
          </w:tcPr>
          <w:p w14:paraId="519E558F"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104714</w:t>
            </w:r>
          </w:p>
        </w:tc>
        <w:tc>
          <w:tcPr>
            <w:tcW w:w="1510" w:type="dxa"/>
          </w:tcPr>
          <w:p w14:paraId="42453B1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71C484BB" w14:textId="77777777" w:rsidTr="00231452">
        <w:tc>
          <w:tcPr>
            <w:tcW w:w="1866" w:type="dxa"/>
          </w:tcPr>
          <w:p w14:paraId="6911A2CC"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CD86</w:t>
            </w:r>
          </w:p>
        </w:tc>
        <w:tc>
          <w:tcPr>
            <w:tcW w:w="1776" w:type="dxa"/>
          </w:tcPr>
          <w:p w14:paraId="649F4918"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PE</w:t>
            </w:r>
          </w:p>
        </w:tc>
        <w:tc>
          <w:tcPr>
            <w:tcW w:w="1572" w:type="dxa"/>
          </w:tcPr>
          <w:p w14:paraId="4DC40784"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GL-1</w:t>
            </w:r>
          </w:p>
        </w:tc>
        <w:tc>
          <w:tcPr>
            <w:tcW w:w="1572" w:type="dxa"/>
          </w:tcPr>
          <w:p w14:paraId="74613F1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105008</w:t>
            </w:r>
          </w:p>
        </w:tc>
        <w:tc>
          <w:tcPr>
            <w:tcW w:w="1510" w:type="dxa"/>
          </w:tcPr>
          <w:p w14:paraId="51BD99DD"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5D0C2176" w14:textId="77777777" w:rsidTr="00231452">
        <w:tc>
          <w:tcPr>
            <w:tcW w:w="1866" w:type="dxa"/>
          </w:tcPr>
          <w:p w14:paraId="1B24E4C9"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CD45</w:t>
            </w:r>
          </w:p>
        </w:tc>
        <w:tc>
          <w:tcPr>
            <w:tcW w:w="1776" w:type="dxa"/>
          </w:tcPr>
          <w:p w14:paraId="7169A764" w14:textId="77777777" w:rsidR="00D8516E" w:rsidRPr="00E11026" w:rsidRDefault="00D8516E" w:rsidP="00670A70">
            <w:pPr>
              <w:ind w:rightChars="-94" w:right="-197"/>
              <w:jc w:val="center"/>
              <w:rPr>
                <w:rFonts w:ascii="Times New Roman" w:hAnsi="Times New Roman" w:cs="Times New Roman"/>
                <w:sz w:val="24"/>
                <w:szCs w:val="24"/>
              </w:rPr>
            </w:pPr>
            <w:r w:rsidRPr="00BA25ED">
              <w:rPr>
                <w:rFonts w:ascii="Times New Roman" w:hAnsi="Times New Roman" w:cs="Times New Roman" w:hint="eastAsia"/>
                <w:sz w:val="24"/>
                <w:szCs w:val="24"/>
              </w:rPr>
              <w:t>PerCP/Cy5.5</w:t>
            </w:r>
          </w:p>
        </w:tc>
        <w:tc>
          <w:tcPr>
            <w:tcW w:w="1572" w:type="dxa"/>
          </w:tcPr>
          <w:p w14:paraId="7D47A641"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30-F11</w:t>
            </w:r>
          </w:p>
        </w:tc>
        <w:tc>
          <w:tcPr>
            <w:tcW w:w="1572" w:type="dxa"/>
          </w:tcPr>
          <w:p w14:paraId="40C2006D"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103132</w:t>
            </w:r>
          </w:p>
        </w:tc>
        <w:tc>
          <w:tcPr>
            <w:tcW w:w="1510" w:type="dxa"/>
          </w:tcPr>
          <w:p w14:paraId="6D973654"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BioLegend</w:t>
            </w:r>
          </w:p>
        </w:tc>
      </w:tr>
      <w:tr w:rsidR="00D8516E" w:rsidRPr="00E11026" w14:paraId="31694C55" w14:textId="77777777" w:rsidTr="00231452">
        <w:tc>
          <w:tcPr>
            <w:tcW w:w="1866" w:type="dxa"/>
          </w:tcPr>
          <w:p w14:paraId="356C89E7"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Calreticulin</w:t>
            </w:r>
          </w:p>
        </w:tc>
        <w:tc>
          <w:tcPr>
            <w:tcW w:w="1776" w:type="dxa"/>
          </w:tcPr>
          <w:p w14:paraId="1FF33B3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APC</w:t>
            </w:r>
          </w:p>
        </w:tc>
        <w:tc>
          <w:tcPr>
            <w:tcW w:w="1572" w:type="dxa"/>
          </w:tcPr>
          <w:p w14:paraId="513252DD"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12A1CB7E"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CL647-27298</w:t>
            </w:r>
          </w:p>
        </w:tc>
        <w:tc>
          <w:tcPr>
            <w:tcW w:w="1510" w:type="dxa"/>
          </w:tcPr>
          <w:p w14:paraId="64086721"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peprotech</w:t>
            </w:r>
          </w:p>
        </w:tc>
      </w:tr>
      <w:tr w:rsidR="00D8516E" w:rsidRPr="00E11026" w14:paraId="5253792B" w14:textId="77777777" w:rsidTr="00231452">
        <w:tc>
          <w:tcPr>
            <w:tcW w:w="1866" w:type="dxa"/>
          </w:tcPr>
          <w:p w14:paraId="2FA22F92" w14:textId="77777777" w:rsidR="00D8516E" w:rsidRPr="00E11026" w:rsidRDefault="00D8516E" w:rsidP="00670A70">
            <w:pPr>
              <w:ind w:rightChars="-94" w:right="-197"/>
              <w:jc w:val="center"/>
              <w:rPr>
                <w:rFonts w:ascii="Times New Roman" w:eastAsia="宋体" w:hAnsi="Times New Roman" w:cs="Times New Roman"/>
                <w:sz w:val="24"/>
                <w:szCs w:val="24"/>
              </w:rPr>
            </w:pPr>
            <w:r w:rsidRPr="00E11026">
              <w:rPr>
                <w:rFonts w:ascii="Times New Roman" w:hAnsi="Times New Roman" w:cs="Times New Roman"/>
                <w:sz w:val="24"/>
                <w:szCs w:val="24"/>
              </w:rPr>
              <w:t>Bim</w:t>
            </w:r>
          </w:p>
        </w:tc>
        <w:tc>
          <w:tcPr>
            <w:tcW w:w="1776" w:type="dxa"/>
          </w:tcPr>
          <w:p w14:paraId="7C07D3F2"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535AD7EF"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5F1AD0C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C34C5</w:t>
            </w:r>
          </w:p>
        </w:tc>
        <w:tc>
          <w:tcPr>
            <w:tcW w:w="1510" w:type="dxa"/>
          </w:tcPr>
          <w:p w14:paraId="22C7494B"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CST</w:t>
            </w:r>
          </w:p>
        </w:tc>
      </w:tr>
      <w:tr w:rsidR="00D8516E" w:rsidRPr="00E11026" w14:paraId="387A3E4A" w14:textId="77777777" w:rsidTr="00231452">
        <w:tc>
          <w:tcPr>
            <w:tcW w:w="1866" w:type="dxa"/>
          </w:tcPr>
          <w:p w14:paraId="675C45EE" w14:textId="77777777" w:rsidR="00D8516E" w:rsidRPr="00E11026" w:rsidRDefault="00D8516E" w:rsidP="00670A70">
            <w:pPr>
              <w:ind w:rightChars="-94" w:right="-197"/>
              <w:jc w:val="center"/>
              <w:rPr>
                <w:rFonts w:ascii="Times New Roman" w:eastAsia="宋体" w:hAnsi="Times New Roman" w:cs="Times New Roman"/>
                <w:sz w:val="24"/>
                <w:szCs w:val="24"/>
              </w:rPr>
            </w:pPr>
            <w:r w:rsidRPr="00E11026">
              <w:rPr>
                <w:rFonts w:ascii="Times New Roman" w:hAnsi="Times New Roman" w:cs="Times New Roman"/>
                <w:sz w:val="24"/>
                <w:szCs w:val="24"/>
              </w:rPr>
              <w:t>CD31</w:t>
            </w:r>
          </w:p>
        </w:tc>
        <w:tc>
          <w:tcPr>
            <w:tcW w:w="1776" w:type="dxa"/>
          </w:tcPr>
          <w:p w14:paraId="59F39719"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70F8798A" w14:textId="77777777" w:rsidR="00D8516E" w:rsidRPr="008257AB" w:rsidRDefault="00D8516E" w:rsidP="00670A70">
            <w:pPr>
              <w:ind w:rightChars="-94" w:right="-197"/>
              <w:jc w:val="center"/>
              <w:rPr>
                <w:rFonts w:ascii="Times New Roman" w:hAnsi="Times New Roman" w:cs="Times New Roman"/>
                <w:sz w:val="24"/>
                <w:szCs w:val="24"/>
                <w:highlight w:val="yellow"/>
              </w:rPr>
            </w:pPr>
          </w:p>
        </w:tc>
        <w:tc>
          <w:tcPr>
            <w:tcW w:w="1572" w:type="dxa"/>
          </w:tcPr>
          <w:p w14:paraId="075B8CB6" w14:textId="77777777" w:rsidR="00D8516E" w:rsidRPr="008257AB" w:rsidRDefault="00D8516E" w:rsidP="00670A70">
            <w:pPr>
              <w:ind w:rightChars="-94" w:right="-197"/>
              <w:jc w:val="center"/>
              <w:rPr>
                <w:rFonts w:ascii="Times New Roman" w:hAnsi="Times New Roman" w:cs="Times New Roman"/>
                <w:sz w:val="24"/>
                <w:szCs w:val="24"/>
                <w:highlight w:val="yellow"/>
              </w:rPr>
            </w:pPr>
            <w:r w:rsidRPr="00125B53">
              <w:rPr>
                <w:rFonts w:ascii="Times New Roman" w:hAnsi="Times New Roman" w:cs="Times New Roman"/>
                <w:sz w:val="24"/>
                <w:szCs w:val="24"/>
              </w:rPr>
              <w:t>ab182981</w:t>
            </w:r>
          </w:p>
        </w:tc>
        <w:tc>
          <w:tcPr>
            <w:tcW w:w="1510" w:type="dxa"/>
          </w:tcPr>
          <w:p w14:paraId="5E31D30B"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20DBA37E" w14:textId="77777777" w:rsidTr="00231452">
        <w:tc>
          <w:tcPr>
            <w:tcW w:w="1866" w:type="dxa"/>
          </w:tcPr>
          <w:p w14:paraId="44B468EF"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CD3</w:t>
            </w:r>
          </w:p>
        </w:tc>
        <w:tc>
          <w:tcPr>
            <w:tcW w:w="1776" w:type="dxa"/>
          </w:tcPr>
          <w:p w14:paraId="582A80AC"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71973D3E"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52156FE7"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ab16669</w:t>
            </w:r>
          </w:p>
        </w:tc>
        <w:tc>
          <w:tcPr>
            <w:tcW w:w="1510" w:type="dxa"/>
          </w:tcPr>
          <w:p w14:paraId="1B72DED7"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0E55B4CA" w14:textId="77777777" w:rsidTr="00231452">
        <w:tc>
          <w:tcPr>
            <w:tcW w:w="1866" w:type="dxa"/>
          </w:tcPr>
          <w:p w14:paraId="251BD3E5"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CD4</w:t>
            </w:r>
          </w:p>
        </w:tc>
        <w:tc>
          <w:tcPr>
            <w:tcW w:w="1776" w:type="dxa"/>
          </w:tcPr>
          <w:p w14:paraId="379CB7BB"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12415BF9"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70722D88"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ab183685</w:t>
            </w:r>
          </w:p>
        </w:tc>
        <w:tc>
          <w:tcPr>
            <w:tcW w:w="1510" w:type="dxa"/>
          </w:tcPr>
          <w:p w14:paraId="67499E95"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2FC0BF1E" w14:textId="77777777" w:rsidTr="00231452">
        <w:tc>
          <w:tcPr>
            <w:tcW w:w="1866" w:type="dxa"/>
          </w:tcPr>
          <w:p w14:paraId="09056A2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CD8</w:t>
            </w:r>
          </w:p>
        </w:tc>
        <w:tc>
          <w:tcPr>
            <w:tcW w:w="1776" w:type="dxa"/>
          </w:tcPr>
          <w:p w14:paraId="2FC4FEB4"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336C1842"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54EB5FC9"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ab217344</w:t>
            </w:r>
          </w:p>
        </w:tc>
        <w:tc>
          <w:tcPr>
            <w:tcW w:w="1510" w:type="dxa"/>
          </w:tcPr>
          <w:p w14:paraId="64C68A9E"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4B814C4E" w14:textId="77777777" w:rsidTr="00231452">
        <w:tc>
          <w:tcPr>
            <w:tcW w:w="1866" w:type="dxa"/>
          </w:tcPr>
          <w:p w14:paraId="1070B512"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CD11c</w:t>
            </w:r>
          </w:p>
        </w:tc>
        <w:tc>
          <w:tcPr>
            <w:tcW w:w="1776" w:type="dxa"/>
          </w:tcPr>
          <w:p w14:paraId="4EDF3ED7"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657AACFF"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2E4BAC3F"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ab219799</w:t>
            </w:r>
          </w:p>
        </w:tc>
        <w:tc>
          <w:tcPr>
            <w:tcW w:w="1510" w:type="dxa"/>
          </w:tcPr>
          <w:p w14:paraId="281BBF29"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405BA76E" w14:textId="77777777" w:rsidTr="00231452">
        <w:tc>
          <w:tcPr>
            <w:tcW w:w="1866" w:type="dxa"/>
          </w:tcPr>
          <w:p w14:paraId="3A591FF5"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eastAsia="宋体" w:hAnsi="Times New Roman" w:cs="Times New Roman"/>
                <w:sz w:val="24"/>
                <w:szCs w:val="24"/>
              </w:rPr>
              <w:t>IFN-γ</w:t>
            </w:r>
          </w:p>
        </w:tc>
        <w:tc>
          <w:tcPr>
            <w:tcW w:w="1776" w:type="dxa"/>
          </w:tcPr>
          <w:p w14:paraId="082BC8C2"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12C16A49"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211721A7"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ab216642</w:t>
            </w:r>
          </w:p>
        </w:tc>
        <w:tc>
          <w:tcPr>
            <w:tcW w:w="1510" w:type="dxa"/>
          </w:tcPr>
          <w:p w14:paraId="0F72C0D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5743C185" w14:textId="77777777" w:rsidTr="00231452">
        <w:tc>
          <w:tcPr>
            <w:tcW w:w="1866" w:type="dxa"/>
          </w:tcPr>
          <w:p w14:paraId="173305D3"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eastAsia="宋体" w:hAnsi="Times New Roman" w:cs="Times New Roman"/>
                <w:sz w:val="24"/>
                <w:szCs w:val="24"/>
              </w:rPr>
              <w:t>TNF-α</w:t>
            </w:r>
          </w:p>
        </w:tc>
        <w:tc>
          <w:tcPr>
            <w:tcW w:w="1776" w:type="dxa"/>
          </w:tcPr>
          <w:p w14:paraId="1B73217B"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2AD83D82"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44BC6530"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ab6671</w:t>
            </w:r>
          </w:p>
        </w:tc>
        <w:tc>
          <w:tcPr>
            <w:tcW w:w="1510" w:type="dxa"/>
          </w:tcPr>
          <w:p w14:paraId="0A82CECA"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r w:rsidR="00D8516E" w:rsidRPr="00E11026" w14:paraId="7D63603C" w14:textId="77777777" w:rsidTr="00231452">
        <w:tc>
          <w:tcPr>
            <w:tcW w:w="1866" w:type="dxa"/>
          </w:tcPr>
          <w:p w14:paraId="5D63F69D" w14:textId="77777777" w:rsidR="00D8516E" w:rsidRPr="00E11026" w:rsidRDefault="00D8516E" w:rsidP="00670A70">
            <w:pPr>
              <w:ind w:rightChars="-94" w:right="-197"/>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CD80</w:t>
            </w:r>
          </w:p>
        </w:tc>
        <w:tc>
          <w:tcPr>
            <w:tcW w:w="1776" w:type="dxa"/>
          </w:tcPr>
          <w:p w14:paraId="5EF8C312" w14:textId="77777777" w:rsidR="00D8516E" w:rsidRPr="00E11026" w:rsidRDefault="00D8516E" w:rsidP="00670A70">
            <w:pPr>
              <w:ind w:rightChars="-94" w:right="-197"/>
              <w:jc w:val="center"/>
              <w:rPr>
                <w:rFonts w:ascii="Times New Roman" w:eastAsia="宋体" w:hAnsi="Times New Roman" w:cs="Times New Roman"/>
                <w:sz w:val="24"/>
                <w:szCs w:val="24"/>
              </w:rPr>
            </w:pPr>
          </w:p>
        </w:tc>
        <w:tc>
          <w:tcPr>
            <w:tcW w:w="1572" w:type="dxa"/>
          </w:tcPr>
          <w:p w14:paraId="086061CF" w14:textId="77777777" w:rsidR="00D8516E" w:rsidRPr="00E11026" w:rsidRDefault="00D8516E" w:rsidP="00670A70">
            <w:pPr>
              <w:ind w:rightChars="-94" w:right="-197"/>
              <w:jc w:val="center"/>
              <w:rPr>
                <w:rFonts w:ascii="Times New Roman" w:hAnsi="Times New Roman" w:cs="Times New Roman"/>
                <w:sz w:val="24"/>
                <w:szCs w:val="24"/>
              </w:rPr>
            </w:pPr>
          </w:p>
        </w:tc>
        <w:tc>
          <w:tcPr>
            <w:tcW w:w="1572" w:type="dxa"/>
          </w:tcPr>
          <w:p w14:paraId="7494F4A0" w14:textId="77777777" w:rsidR="00D8516E" w:rsidRPr="00E11026" w:rsidRDefault="00D8516E" w:rsidP="00670A70">
            <w:pPr>
              <w:ind w:rightChars="-94" w:right="-197"/>
              <w:jc w:val="center"/>
              <w:rPr>
                <w:rFonts w:ascii="Times New Roman" w:hAnsi="Times New Roman" w:cs="Times New Roman"/>
                <w:sz w:val="24"/>
                <w:szCs w:val="24"/>
              </w:rPr>
            </w:pPr>
            <w:r>
              <w:rPr>
                <w:rFonts w:ascii="Times New Roman" w:hAnsi="Times New Roman" w:cs="Times New Roman" w:hint="eastAsia"/>
                <w:sz w:val="24"/>
                <w:szCs w:val="24"/>
              </w:rPr>
              <w:t>ab215166</w:t>
            </w:r>
          </w:p>
        </w:tc>
        <w:tc>
          <w:tcPr>
            <w:tcW w:w="1510" w:type="dxa"/>
          </w:tcPr>
          <w:p w14:paraId="11798155" w14:textId="77777777" w:rsidR="00D8516E" w:rsidRPr="00E11026" w:rsidRDefault="00D8516E" w:rsidP="00670A70">
            <w:pPr>
              <w:ind w:rightChars="-94" w:right="-197"/>
              <w:jc w:val="center"/>
              <w:rPr>
                <w:rFonts w:ascii="Times New Roman" w:hAnsi="Times New Roman" w:cs="Times New Roman"/>
                <w:sz w:val="24"/>
                <w:szCs w:val="24"/>
              </w:rPr>
            </w:pPr>
            <w:r w:rsidRPr="00E11026">
              <w:rPr>
                <w:rFonts w:ascii="Times New Roman" w:hAnsi="Times New Roman" w:cs="Times New Roman"/>
                <w:sz w:val="24"/>
                <w:szCs w:val="24"/>
              </w:rPr>
              <w:t>abcam</w:t>
            </w:r>
          </w:p>
        </w:tc>
      </w:tr>
    </w:tbl>
    <w:p w14:paraId="686FCD23" w14:textId="77777777" w:rsidR="00D8516E" w:rsidRPr="001A6089" w:rsidRDefault="00D8516E" w:rsidP="001A6089">
      <w:pPr>
        <w:widowControl/>
        <w:ind w:rightChars="-94" w:right="-197"/>
        <w:jc w:val="left"/>
        <w:rPr>
          <w:rFonts w:ascii="Times New Roman" w:hAnsi="Times New Roman"/>
          <w:sz w:val="24"/>
        </w:rPr>
      </w:pPr>
      <w:r>
        <w:rPr>
          <w:rFonts w:ascii="Times New Roman" w:hAnsi="Times New Roman"/>
          <w:sz w:val="24"/>
        </w:rPr>
        <w:br w:type="page"/>
      </w:r>
    </w:p>
    <w:p w14:paraId="241DB4EC"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44527596" wp14:editId="45F42960">
            <wp:extent cx="5274310" cy="1684020"/>
            <wp:effectExtent l="0" t="0" r="2540" b="0"/>
            <wp:docPr id="1241216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hqprint">
                      <a:extLst>
                        <a:ext uri="{28A0092B-C50C-407E-A947-70E740481C1C}">
                          <a14:useLocalDpi xmlns:a14="http://schemas.microsoft.com/office/drawing/2010/main" val="0"/>
                        </a:ext>
                      </a:extLst>
                    </a:blip>
                    <a:srcRect/>
                    <a:stretch>
                      <a:fillRect/>
                    </a:stretch>
                  </pic:blipFill>
                  <pic:spPr bwMode="auto">
                    <a:xfrm>
                      <a:off x="0" y="0"/>
                      <a:ext cx="5274310" cy="1684020"/>
                    </a:xfrm>
                    <a:prstGeom prst="rect">
                      <a:avLst/>
                    </a:prstGeom>
                    <a:noFill/>
                    <a:ln>
                      <a:noFill/>
                    </a:ln>
                  </pic:spPr>
                </pic:pic>
              </a:graphicData>
            </a:graphic>
          </wp:inline>
        </w:drawing>
      </w:r>
    </w:p>
    <w:p w14:paraId="22B28938" w14:textId="77777777" w:rsidR="00D8516E" w:rsidRPr="008458CD" w:rsidRDefault="00D8516E" w:rsidP="00670A70">
      <w:pPr>
        <w:spacing w:line="360" w:lineRule="auto"/>
        <w:ind w:rightChars="-94" w:right="-197"/>
        <w:rPr>
          <w:rFonts w:ascii="Times New Roman" w:eastAsia="宋体" w:hAnsi="Times New Roman"/>
          <w:sz w:val="24"/>
          <w:szCs w:val="24"/>
        </w:rPr>
      </w:pPr>
      <w:r>
        <w:rPr>
          <w:rFonts w:ascii="Times New Roman" w:eastAsia="宋体" w:hAnsi="Times New Roman" w:hint="eastAsia"/>
          <w:sz w:val="24"/>
          <w:szCs w:val="24"/>
        </w:rPr>
        <w:t>Figure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w:t>
      </w:r>
      <w:r w:rsidRPr="008458CD">
        <w:rPr>
          <w:rFonts w:ascii="Times New Roman" w:eastAsia="宋体" w:hAnsi="Times New Roman" w:hint="eastAsia"/>
          <w:sz w:val="24"/>
          <w:szCs w:val="24"/>
        </w:rPr>
        <w:t xml:space="preserve">1. The transfection efficiency of DMP-EGFP in SCC-VII cells in different weight ratio in ordinary transfection process and after released from </w:t>
      </w:r>
      <w:r>
        <w:rPr>
          <w:rFonts w:ascii="Times New Roman" w:eastAsia="宋体" w:hAnsi="Times New Roman" w:hint="eastAsia"/>
          <w:sz w:val="24"/>
          <w:szCs w:val="24"/>
        </w:rPr>
        <w:t>scaffolds</w:t>
      </w:r>
      <w:r w:rsidRPr="008458CD">
        <w:rPr>
          <w:rFonts w:ascii="Times New Roman" w:eastAsia="宋体" w:hAnsi="Times New Roman" w:hint="eastAsia"/>
          <w:sz w:val="24"/>
          <w:szCs w:val="24"/>
        </w:rPr>
        <w:t xml:space="preserve"> (scale bar: 100 </w:t>
      </w:r>
      <w:r w:rsidRPr="008458CD">
        <w:rPr>
          <w:rFonts w:ascii="Times New Roman" w:eastAsia="宋体" w:hAnsi="Times New Roman" w:cs="Times New Roman"/>
          <w:sz w:val="24"/>
          <w:szCs w:val="24"/>
        </w:rPr>
        <w:t>μm</w:t>
      </w:r>
      <w:r w:rsidRPr="008458CD">
        <w:rPr>
          <w:rFonts w:ascii="Times New Roman" w:eastAsia="宋体" w:hAnsi="Times New Roman" w:hint="eastAsia"/>
          <w:sz w:val="24"/>
          <w:szCs w:val="24"/>
        </w:rPr>
        <w:t>).</w:t>
      </w:r>
    </w:p>
    <w:p w14:paraId="3646E7C3" w14:textId="77777777" w:rsidR="00D8516E" w:rsidRDefault="00D8516E">
      <w:pPr>
        <w:widowControl/>
        <w:jc w:val="left"/>
        <w:rPr>
          <w:rFonts w:ascii="Times New Roman" w:eastAsia="宋体" w:hAnsi="Times New Roman"/>
          <w:sz w:val="24"/>
          <w:szCs w:val="24"/>
        </w:rPr>
      </w:pPr>
      <w:r>
        <w:rPr>
          <w:rFonts w:ascii="Times New Roman" w:eastAsia="宋体" w:hAnsi="Times New Roman"/>
          <w:sz w:val="24"/>
          <w:szCs w:val="24"/>
        </w:rPr>
        <w:br w:type="page"/>
      </w:r>
    </w:p>
    <w:p w14:paraId="5935E314" w14:textId="77777777" w:rsidR="00D8516E" w:rsidRDefault="00D8516E" w:rsidP="004D06BD">
      <w:pPr>
        <w:rPr>
          <w:rFonts w:ascii="Times New Roman" w:hAnsi="Times New Roman"/>
          <w:sz w:val="24"/>
        </w:rPr>
      </w:pPr>
      <w:r>
        <w:rPr>
          <w:noProof/>
        </w:rPr>
        <w:lastRenderedPageBreak/>
        <w:drawing>
          <wp:inline distT="0" distB="0" distL="0" distR="0" wp14:anchorId="03276AD8" wp14:editId="2BED3417">
            <wp:extent cx="5274310" cy="2267585"/>
            <wp:effectExtent l="0" t="0" r="2540" b="0"/>
            <wp:docPr id="1251902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hqprint">
                      <a:extLst>
                        <a:ext uri="{28A0092B-C50C-407E-A947-70E740481C1C}">
                          <a14:useLocalDpi xmlns:a14="http://schemas.microsoft.com/office/drawing/2010/main" val="0"/>
                        </a:ext>
                      </a:extLst>
                    </a:blip>
                    <a:srcRect/>
                    <a:stretch>
                      <a:fillRect/>
                    </a:stretch>
                  </pic:blipFill>
                  <pic:spPr bwMode="auto">
                    <a:xfrm>
                      <a:off x="0" y="0"/>
                      <a:ext cx="5274310" cy="2267585"/>
                    </a:xfrm>
                    <a:prstGeom prst="rect">
                      <a:avLst/>
                    </a:prstGeom>
                    <a:noFill/>
                    <a:ln>
                      <a:noFill/>
                    </a:ln>
                  </pic:spPr>
                </pic:pic>
              </a:graphicData>
            </a:graphic>
          </wp:inline>
        </w:drawing>
      </w:r>
    </w:p>
    <w:p w14:paraId="03555BCC" w14:textId="77777777" w:rsidR="00D8516E" w:rsidRPr="00856BE6" w:rsidRDefault="00D8516E" w:rsidP="004D06BD">
      <w:pPr>
        <w:rPr>
          <w:rFonts w:ascii="Times New Roman" w:hAnsi="Times New Roman"/>
          <w:sz w:val="24"/>
        </w:rPr>
      </w:pPr>
      <w:r>
        <w:rPr>
          <w:rFonts w:ascii="Times New Roman" w:hAnsi="Times New Roman" w:hint="eastAsia"/>
          <w:sz w:val="24"/>
        </w:rPr>
        <w:t xml:space="preserve">Figure S2. </w:t>
      </w:r>
      <w:r w:rsidRPr="00935584">
        <w:rPr>
          <w:rFonts w:ascii="Times New Roman" w:eastAsia="宋体" w:hAnsi="Times New Roman" w:cs="Times New Roman"/>
          <w:sz w:val="24"/>
          <w:szCs w:val="24"/>
        </w:rPr>
        <w:t>Image of the whole intact double-layered scaffold</w:t>
      </w:r>
      <w:r>
        <w:rPr>
          <w:rFonts w:ascii="Times New Roman" w:eastAsia="宋体" w:hAnsi="Times New Roman" w:cs="Times New Roman" w:hint="eastAsia"/>
          <w:sz w:val="24"/>
          <w:szCs w:val="24"/>
        </w:rPr>
        <w:t xml:space="preserve"> of different batches.</w:t>
      </w:r>
    </w:p>
    <w:p w14:paraId="7CAF594D" w14:textId="77777777" w:rsidR="00D8516E" w:rsidRPr="004D06BD" w:rsidRDefault="00D8516E" w:rsidP="001E01C1">
      <w:pPr>
        <w:widowControl/>
        <w:jc w:val="left"/>
        <w:rPr>
          <w:rFonts w:ascii="Times New Roman" w:eastAsia="宋体" w:hAnsi="Times New Roman"/>
          <w:sz w:val="24"/>
          <w:szCs w:val="24"/>
        </w:rPr>
      </w:pPr>
      <w:r>
        <w:rPr>
          <w:rFonts w:ascii="Times New Roman" w:eastAsia="宋体" w:hAnsi="Times New Roman"/>
          <w:sz w:val="24"/>
          <w:szCs w:val="24"/>
        </w:rPr>
        <w:br w:type="page"/>
      </w:r>
    </w:p>
    <w:p w14:paraId="6E01E804" w14:textId="77777777" w:rsidR="00D8516E" w:rsidRPr="008458CD"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524DB37A" wp14:editId="3486A177">
            <wp:extent cx="3657935" cy="7518400"/>
            <wp:effectExtent l="0" t="0" r="0" b="6350"/>
            <wp:docPr id="16984599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3662946" cy="7528700"/>
                    </a:xfrm>
                    <a:prstGeom prst="rect">
                      <a:avLst/>
                    </a:prstGeom>
                    <a:noFill/>
                    <a:ln>
                      <a:noFill/>
                    </a:ln>
                  </pic:spPr>
                </pic:pic>
              </a:graphicData>
            </a:graphic>
          </wp:inline>
        </w:drawing>
      </w:r>
    </w:p>
    <w:p w14:paraId="5A2EDAC3" w14:textId="77777777" w:rsidR="00D8516E" w:rsidRPr="008458CD" w:rsidRDefault="00D8516E" w:rsidP="00670A70">
      <w:pPr>
        <w:spacing w:line="360" w:lineRule="auto"/>
        <w:ind w:rightChars="-94" w:right="-197"/>
        <w:rPr>
          <w:rFonts w:ascii="Times New Roman" w:eastAsia="宋体" w:hAnsi="Times New Roman"/>
          <w:sz w:val="24"/>
          <w:szCs w:val="24"/>
        </w:rPr>
      </w:pPr>
      <w:r>
        <w:rPr>
          <w:rFonts w:ascii="Times New Roman" w:eastAsia="宋体" w:hAnsi="Times New Roman" w:hint="eastAsia"/>
          <w:sz w:val="24"/>
          <w:szCs w:val="24"/>
        </w:rPr>
        <w:t>Figure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S3</w:t>
      </w:r>
      <w:r w:rsidRPr="008458CD">
        <w:rPr>
          <w:rFonts w:ascii="Times New Roman" w:eastAsia="宋体" w:hAnsi="Times New Roman" w:hint="eastAsia"/>
          <w:sz w:val="24"/>
          <w:szCs w:val="24"/>
        </w:rPr>
        <w:t xml:space="preserve">. Representative flow cytometry histograms of the characteristics of T cell </w:t>
      </w:r>
      <w:r w:rsidRPr="008458CD">
        <w:rPr>
          <w:rFonts w:ascii="Times New Roman" w:eastAsia="宋体" w:hAnsi="Times New Roman"/>
          <w:sz w:val="24"/>
          <w:szCs w:val="24"/>
        </w:rPr>
        <w:t>cultivation</w:t>
      </w:r>
      <w:r w:rsidRPr="008458CD">
        <w:rPr>
          <w:rFonts w:ascii="Times New Roman" w:eastAsia="宋体" w:hAnsi="Times New Roman" w:hint="eastAsia"/>
          <w:sz w:val="24"/>
          <w:szCs w:val="24"/>
        </w:rPr>
        <w:t xml:space="preserve"> in medium or different </w:t>
      </w:r>
      <w:r>
        <w:rPr>
          <w:rFonts w:ascii="Times New Roman" w:eastAsia="宋体" w:hAnsi="Times New Roman" w:hint="eastAsia"/>
          <w:sz w:val="24"/>
          <w:szCs w:val="24"/>
        </w:rPr>
        <w:t>scaffold</w:t>
      </w:r>
      <w:r w:rsidRPr="008458CD">
        <w:rPr>
          <w:rFonts w:ascii="Times New Roman" w:eastAsia="宋体" w:hAnsi="Times New Roman" w:hint="eastAsia"/>
          <w:sz w:val="24"/>
          <w:szCs w:val="24"/>
        </w:rPr>
        <w:t>s (CD4,</w:t>
      </w:r>
      <w:r w:rsidRPr="008458CD">
        <w:rPr>
          <w:rFonts w:ascii="Times New Roman" w:eastAsia="宋体" w:hAnsi="Times New Roman"/>
          <w:sz w:val="24"/>
          <w:szCs w:val="24"/>
        </w:rPr>
        <w:t xml:space="preserve"> CD8 </w:t>
      </w:r>
      <w:r w:rsidRPr="008458CD">
        <w:rPr>
          <w:rFonts w:ascii="Times New Roman" w:eastAsia="宋体" w:hAnsi="Times New Roman" w:hint="eastAsia"/>
          <w:sz w:val="24"/>
          <w:szCs w:val="24"/>
        </w:rPr>
        <w:t xml:space="preserve">and CD25 </w:t>
      </w:r>
      <w:r w:rsidRPr="008458CD">
        <w:rPr>
          <w:rFonts w:ascii="Times New Roman" w:eastAsia="宋体" w:hAnsi="Times New Roman"/>
          <w:sz w:val="24"/>
          <w:szCs w:val="24"/>
        </w:rPr>
        <w:t>markers on T cells</w:t>
      </w:r>
      <w:r w:rsidRPr="008458CD">
        <w:rPr>
          <w:rFonts w:ascii="Times New Roman" w:eastAsia="宋体" w:hAnsi="Times New Roman" w:hint="eastAsia"/>
          <w:sz w:val="24"/>
          <w:szCs w:val="24"/>
        </w:rPr>
        <w:t xml:space="preserve"> and </w:t>
      </w:r>
      <w:r w:rsidRPr="008458CD">
        <w:rPr>
          <w:rFonts w:ascii="Times New Roman" w:eastAsia="宋体" w:hAnsi="Times New Roman"/>
          <w:sz w:val="24"/>
          <w:szCs w:val="24"/>
        </w:rPr>
        <w:t>T-cell subsets (T</w:t>
      </w:r>
      <w:r w:rsidRPr="008458CD">
        <w:rPr>
          <w:rFonts w:ascii="Times New Roman" w:eastAsia="宋体" w:hAnsi="Times New Roman" w:hint="eastAsia"/>
          <w:sz w:val="24"/>
          <w:szCs w:val="24"/>
        </w:rPr>
        <w:t>cm</w:t>
      </w:r>
      <w:r w:rsidRPr="008458CD">
        <w:rPr>
          <w:rFonts w:ascii="Times New Roman" w:eastAsia="宋体" w:hAnsi="Times New Roman"/>
          <w:sz w:val="24"/>
          <w:szCs w:val="24"/>
        </w:rPr>
        <w:t>, CD44</w:t>
      </w:r>
      <w:r w:rsidRPr="008458CD">
        <w:rPr>
          <w:rFonts w:ascii="Times New Roman" w:eastAsia="宋体" w:hAnsi="Times New Roman"/>
          <w:sz w:val="24"/>
          <w:szCs w:val="24"/>
          <w:vertAlign w:val="superscript"/>
        </w:rPr>
        <w:t>+</w:t>
      </w:r>
      <w:r w:rsidRPr="008458CD">
        <w:rPr>
          <w:rFonts w:ascii="Times New Roman" w:eastAsia="宋体" w:hAnsi="Times New Roman" w:hint="eastAsia"/>
          <w:sz w:val="24"/>
          <w:szCs w:val="24"/>
        </w:rPr>
        <w:t xml:space="preserve"> </w:t>
      </w:r>
      <w:r w:rsidRPr="008458CD">
        <w:rPr>
          <w:rFonts w:ascii="Times New Roman" w:eastAsia="宋体" w:hAnsi="Times New Roman"/>
          <w:sz w:val="24"/>
          <w:szCs w:val="24"/>
        </w:rPr>
        <w:t>CD62L</w:t>
      </w:r>
      <w:r w:rsidRPr="008458CD">
        <w:rPr>
          <w:rFonts w:ascii="Times New Roman" w:eastAsia="宋体" w:hAnsi="Times New Roman"/>
          <w:sz w:val="24"/>
          <w:szCs w:val="24"/>
          <w:vertAlign w:val="superscript"/>
        </w:rPr>
        <w:t>+</w:t>
      </w:r>
      <w:r w:rsidRPr="008458CD">
        <w:rPr>
          <w:rFonts w:ascii="Times New Roman" w:eastAsia="宋体" w:hAnsi="Times New Roman"/>
          <w:sz w:val="24"/>
          <w:szCs w:val="24"/>
        </w:rPr>
        <w:t>; T</w:t>
      </w:r>
      <w:r w:rsidRPr="008458CD">
        <w:rPr>
          <w:rFonts w:ascii="Times New Roman" w:eastAsia="宋体" w:hAnsi="Times New Roman" w:hint="eastAsia"/>
          <w:sz w:val="24"/>
          <w:szCs w:val="24"/>
        </w:rPr>
        <w:t>em</w:t>
      </w:r>
      <w:r w:rsidRPr="008458CD">
        <w:rPr>
          <w:rFonts w:ascii="Times New Roman" w:eastAsia="宋体" w:hAnsi="Times New Roman"/>
          <w:sz w:val="24"/>
          <w:szCs w:val="24"/>
        </w:rPr>
        <w:t>, CD44</w:t>
      </w:r>
      <w:r w:rsidRPr="008458CD">
        <w:rPr>
          <w:rFonts w:ascii="Times New Roman" w:eastAsia="宋体" w:hAnsi="Times New Roman"/>
          <w:sz w:val="24"/>
          <w:szCs w:val="24"/>
          <w:vertAlign w:val="superscript"/>
        </w:rPr>
        <w:t>+</w:t>
      </w:r>
      <w:r w:rsidRPr="008458CD">
        <w:rPr>
          <w:rFonts w:ascii="Times New Roman" w:eastAsia="宋体" w:hAnsi="Times New Roman"/>
          <w:sz w:val="24"/>
          <w:szCs w:val="24"/>
        </w:rPr>
        <w:t xml:space="preserve"> CD62L</w:t>
      </w:r>
      <w:r w:rsidRPr="008458CD">
        <w:rPr>
          <w:rFonts w:ascii="Times New Roman" w:eastAsia="宋体" w:hAnsi="Times New Roman"/>
          <w:sz w:val="24"/>
          <w:szCs w:val="24"/>
          <w:vertAlign w:val="superscript"/>
        </w:rPr>
        <w:t>−</w:t>
      </w:r>
      <w:r w:rsidRPr="008458CD">
        <w:rPr>
          <w:rFonts w:ascii="Times New Roman" w:eastAsia="宋体" w:hAnsi="Times New Roman"/>
          <w:sz w:val="24"/>
          <w:szCs w:val="24"/>
        </w:rPr>
        <w:t>)</w:t>
      </w:r>
      <w:r w:rsidRPr="008458CD">
        <w:rPr>
          <w:rFonts w:ascii="Times New Roman" w:eastAsia="宋体" w:hAnsi="Times New Roman" w:hint="eastAsia"/>
          <w:sz w:val="24"/>
          <w:szCs w:val="24"/>
        </w:rPr>
        <w:t>.</w:t>
      </w:r>
    </w:p>
    <w:p w14:paraId="528B47AD" w14:textId="77777777" w:rsidR="00D8516E" w:rsidRDefault="00D8516E" w:rsidP="00670A70">
      <w:pPr>
        <w:widowControl/>
        <w:ind w:rightChars="-94" w:right="-197"/>
        <w:jc w:val="left"/>
        <w:rPr>
          <w:rFonts w:ascii="Times New Roman" w:eastAsia="宋体" w:hAnsi="Times New Roman"/>
          <w:sz w:val="24"/>
          <w:szCs w:val="24"/>
        </w:rPr>
      </w:pPr>
      <w:r>
        <w:rPr>
          <w:noProof/>
        </w:rPr>
        <w:lastRenderedPageBreak/>
        <w:drawing>
          <wp:inline distT="0" distB="0" distL="0" distR="0" wp14:anchorId="210C33BC" wp14:editId="01E475C4">
            <wp:extent cx="3791759" cy="6203950"/>
            <wp:effectExtent l="0" t="0" r="0" b="6350"/>
            <wp:docPr id="10470528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3793744" cy="6207198"/>
                    </a:xfrm>
                    <a:prstGeom prst="rect">
                      <a:avLst/>
                    </a:prstGeom>
                    <a:noFill/>
                    <a:ln>
                      <a:noFill/>
                    </a:ln>
                  </pic:spPr>
                </pic:pic>
              </a:graphicData>
            </a:graphic>
          </wp:inline>
        </w:drawing>
      </w:r>
    </w:p>
    <w:p w14:paraId="444993B6" w14:textId="77777777" w:rsidR="00D8516E" w:rsidRPr="008458CD"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S4</w:t>
      </w:r>
      <w:r w:rsidRPr="008458CD">
        <w:rPr>
          <w:rFonts w:ascii="Times New Roman" w:eastAsia="宋体" w:hAnsi="Times New Roman" w:hint="eastAsia"/>
          <w:sz w:val="24"/>
          <w:szCs w:val="24"/>
        </w:rPr>
        <w:t xml:space="preserve">. The Representative flow cytometry </w:t>
      </w:r>
      <w:r>
        <w:rPr>
          <w:rFonts w:ascii="Times New Roman" w:eastAsia="宋体" w:hAnsi="Times New Roman" w:hint="eastAsia"/>
          <w:sz w:val="24"/>
          <w:szCs w:val="24"/>
        </w:rPr>
        <w:t xml:space="preserve">images </w:t>
      </w:r>
      <w:r w:rsidRPr="008458CD">
        <w:rPr>
          <w:rFonts w:ascii="Times New Roman" w:eastAsia="宋体" w:hAnsi="Times New Roman" w:hint="eastAsia"/>
          <w:sz w:val="24"/>
          <w:szCs w:val="24"/>
        </w:rPr>
        <w:t>in the immune response process of the DMP-mBim in outer layer scaffold. A. The representative flow cytometry images of CRT</w:t>
      </w:r>
      <w:r w:rsidRPr="008458CD">
        <w:rPr>
          <w:rFonts w:ascii="Times New Roman" w:eastAsia="宋体" w:hAnsi="Times New Roman" w:hint="eastAsia"/>
          <w:sz w:val="24"/>
          <w:szCs w:val="24"/>
          <w:vertAlign w:val="superscript"/>
        </w:rPr>
        <w:t>+</w:t>
      </w:r>
      <w:r w:rsidRPr="008458CD">
        <w:rPr>
          <w:rFonts w:ascii="Times New Roman" w:eastAsia="宋体" w:hAnsi="Times New Roman" w:hint="eastAsia"/>
          <w:sz w:val="24"/>
          <w:szCs w:val="24"/>
        </w:rPr>
        <w:t xml:space="preserve"> cells in tumor after </w:t>
      </w:r>
      <w:r w:rsidRPr="008458CD">
        <w:rPr>
          <w:rFonts w:ascii="Times New Roman" w:eastAsia="宋体" w:hAnsi="Times New Roman"/>
          <w:sz w:val="24"/>
          <w:szCs w:val="24"/>
        </w:rPr>
        <w:t>implantation</w:t>
      </w:r>
      <w:r w:rsidRPr="008458CD">
        <w:rPr>
          <w:rFonts w:ascii="Times New Roman" w:eastAsia="宋体" w:hAnsi="Times New Roman" w:hint="eastAsia"/>
          <w:sz w:val="24"/>
          <w:szCs w:val="24"/>
        </w:rPr>
        <w:t xml:space="preserve"> of Gel-DMP-mBim in mice. B. The representative flow cytometry images of CRT</w:t>
      </w:r>
      <w:r w:rsidRPr="008458CD">
        <w:rPr>
          <w:rFonts w:ascii="Times New Roman" w:eastAsia="宋体" w:hAnsi="Times New Roman" w:hint="eastAsia"/>
          <w:sz w:val="24"/>
          <w:szCs w:val="24"/>
          <w:vertAlign w:val="superscript"/>
        </w:rPr>
        <w:t>+</w:t>
      </w:r>
      <w:r w:rsidRPr="008458CD">
        <w:rPr>
          <w:rFonts w:ascii="Times New Roman" w:eastAsia="宋体" w:hAnsi="Times New Roman" w:hint="eastAsia"/>
          <w:sz w:val="24"/>
          <w:szCs w:val="24"/>
        </w:rPr>
        <w:t xml:space="preserve"> cells in </w:t>
      </w:r>
      <w:r>
        <w:rPr>
          <w:rFonts w:ascii="Times New Roman" w:eastAsia="宋体" w:hAnsi="Times New Roman" w:hint="eastAsia"/>
          <w:sz w:val="24"/>
          <w:szCs w:val="24"/>
        </w:rPr>
        <w:t>scaffold</w:t>
      </w:r>
      <w:r w:rsidRPr="008458CD">
        <w:rPr>
          <w:rFonts w:ascii="Times New Roman" w:eastAsia="宋体" w:hAnsi="Times New Roman" w:hint="eastAsia"/>
          <w:sz w:val="24"/>
          <w:szCs w:val="24"/>
        </w:rPr>
        <w:t xml:space="preserve">s after </w:t>
      </w:r>
      <w:r w:rsidRPr="008458CD">
        <w:rPr>
          <w:rFonts w:ascii="Times New Roman" w:eastAsia="宋体" w:hAnsi="Times New Roman"/>
          <w:sz w:val="24"/>
          <w:szCs w:val="24"/>
        </w:rPr>
        <w:t>implantation</w:t>
      </w:r>
      <w:r w:rsidRPr="008458CD">
        <w:rPr>
          <w:rFonts w:ascii="Times New Roman" w:eastAsia="宋体" w:hAnsi="Times New Roman" w:hint="eastAsia"/>
          <w:sz w:val="24"/>
          <w:szCs w:val="24"/>
        </w:rPr>
        <w:t xml:space="preserve"> of Gel-DMP-mBim in mice. C. The representative flow cytometry images of CD80+ DCs in </w:t>
      </w:r>
      <w:r>
        <w:rPr>
          <w:rFonts w:ascii="Times New Roman" w:eastAsia="宋体" w:hAnsi="Times New Roman" w:hint="eastAsia"/>
          <w:sz w:val="24"/>
          <w:szCs w:val="24"/>
        </w:rPr>
        <w:t>scaffold</w:t>
      </w:r>
      <w:r w:rsidRPr="008458CD">
        <w:rPr>
          <w:rFonts w:ascii="Times New Roman" w:eastAsia="宋体" w:hAnsi="Times New Roman" w:hint="eastAsia"/>
          <w:sz w:val="24"/>
          <w:szCs w:val="24"/>
        </w:rPr>
        <w:t>s.</w:t>
      </w:r>
    </w:p>
    <w:p w14:paraId="55B47B1E"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07E40B1D" w14:textId="77777777" w:rsidR="00D8516E" w:rsidRPr="008458CD"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10888FDB" wp14:editId="5B5FB660">
            <wp:extent cx="5274310" cy="3323590"/>
            <wp:effectExtent l="0" t="0" r="2540" b="0"/>
            <wp:docPr id="18597478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5274310" cy="3323590"/>
                    </a:xfrm>
                    <a:prstGeom prst="rect">
                      <a:avLst/>
                    </a:prstGeom>
                    <a:noFill/>
                    <a:ln>
                      <a:noFill/>
                    </a:ln>
                  </pic:spPr>
                </pic:pic>
              </a:graphicData>
            </a:graphic>
          </wp:inline>
        </w:drawing>
      </w:r>
    </w:p>
    <w:p w14:paraId="528B0983" w14:textId="77777777" w:rsidR="00D8516E"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S5</w:t>
      </w:r>
      <w:r w:rsidRPr="008458CD">
        <w:rPr>
          <w:rFonts w:ascii="Times New Roman" w:eastAsia="宋体" w:hAnsi="Times New Roman" w:hint="eastAsia"/>
          <w:sz w:val="24"/>
          <w:szCs w:val="24"/>
        </w:rPr>
        <w:t xml:space="preserve">. The representative flow cytometry images </w:t>
      </w:r>
      <w:r>
        <w:rPr>
          <w:rFonts w:ascii="Times New Roman" w:eastAsia="宋体" w:hAnsi="Times New Roman" w:hint="eastAsia"/>
          <w:sz w:val="24"/>
          <w:szCs w:val="24"/>
        </w:rPr>
        <w:t>exhibiting</w:t>
      </w:r>
      <w:r w:rsidRPr="008458CD">
        <w:rPr>
          <w:rFonts w:ascii="Times New Roman" w:eastAsia="宋体" w:hAnsi="Times New Roman" w:hint="eastAsia"/>
          <w:sz w:val="24"/>
          <w:szCs w:val="24"/>
        </w:rPr>
        <w:t xml:space="preserve"> </w:t>
      </w:r>
      <w:r w:rsidRPr="00BF0EB6">
        <w:rPr>
          <w:rFonts w:ascii="Times New Roman" w:eastAsia="宋体" w:hAnsi="Times New Roman" w:cs="Times New Roman"/>
          <w:sz w:val="24"/>
          <w:szCs w:val="24"/>
        </w:rPr>
        <w:t>mature DCs</w:t>
      </w:r>
      <w:r w:rsidRPr="008458CD">
        <w:rPr>
          <w:rFonts w:ascii="Times New Roman" w:eastAsia="宋体" w:hAnsi="Times New Roman" w:hint="eastAsia"/>
          <w:sz w:val="24"/>
          <w:szCs w:val="24"/>
        </w:rPr>
        <w:t xml:space="preserve"> and T cells in </w:t>
      </w:r>
      <w:r>
        <w:rPr>
          <w:rFonts w:ascii="Times New Roman" w:eastAsia="宋体" w:hAnsi="Times New Roman" w:hint="eastAsia"/>
          <w:sz w:val="24"/>
          <w:szCs w:val="24"/>
        </w:rPr>
        <w:t>scaffold</w:t>
      </w:r>
      <w:r w:rsidRPr="008458CD">
        <w:rPr>
          <w:rFonts w:ascii="Times New Roman" w:eastAsia="宋体" w:hAnsi="Times New Roman" w:hint="eastAsia"/>
          <w:sz w:val="24"/>
          <w:szCs w:val="24"/>
        </w:rPr>
        <w:t xml:space="preserve">s </w:t>
      </w:r>
      <w:r>
        <w:rPr>
          <w:rFonts w:ascii="Times New Roman" w:eastAsia="宋体" w:hAnsi="Times New Roman" w:hint="eastAsia"/>
          <w:sz w:val="24"/>
          <w:szCs w:val="24"/>
        </w:rPr>
        <w:t>in</w:t>
      </w:r>
      <w:r w:rsidRPr="008458CD">
        <w:rPr>
          <w:rFonts w:ascii="Times New Roman" w:eastAsia="宋体" w:hAnsi="Times New Roman" w:hint="eastAsia"/>
          <w:sz w:val="24"/>
          <w:szCs w:val="24"/>
        </w:rPr>
        <w:t xml:space="preserve"> different groups</w:t>
      </w:r>
      <w:r>
        <w:rPr>
          <w:rFonts w:ascii="Times New Roman" w:eastAsia="宋体" w:hAnsi="Times New Roman" w:hint="eastAsia"/>
          <w:sz w:val="24"/>
          <w:szCs w:val="24"/>
        </w:rPr>
        <w:t>.</w:t>
      </w:r>
    </w:p>
    <w:p w14:paraId="3AF8C659" w14:textId="77777777" w:rsidR="00D8516E" w:rsidRDefault="00D8516E">
      <w:pPr>
        <w:widowControl/>
        <w:jc w:val="left"/>
        <w:rPr>
          <w:rFonts w:ascii="Times New Roman" w:eastAsia="宋体" w:hAnsi="Times New Roman"/>
          <w:sz w:val="24"/>
          <w:szCs w:val="24"/>
        </w:rPr>
      </w:pPr>
      <w:r>
        <w:rPr>
          <w:rFonts w:ascii="Times New Roman" w:eastAsia="宋体" w:hAnsi="Times New Roman"/>
          <w:sz w:val="24"/>
          <w:szCs w:val="24"/>
        </w:rPr>
        <w:br w:type="page"/>
      </w:r>
    </w:p>
    <w:p w14:paraId="74DE236A"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3C31AB25" wp14:editId="6618AADC">
            <wp:extent cx="5274310" cy="3014980"/>
            <wp:effectExtent l="0" t="0" r="2540" b="0"/>
            <wp:docPr id="6898114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274310" cy="3014980"/>
                    </a:xfrm>
                    <a:prstGeom prst="rect">
                      <a:avLst/>
                    </a:prstGeom>
                    <a:noFill/>
                    <a:ln>
                      <a:noFill/>
                    </a:ln>
                  </pic:spPr>
                </pic:pic>
              </a:graphicData>
            </a:graphic>
          </wp:inline>
        </w:drawing>
      </w:r>
    </w:p>
    <w:p w14:paraId="0901869B" w14:textId="77777777" w:rsidR="00D8516E" w:rsidRDefault="00D8516E" w:rsidP="00670A70">
      <w:pPr>
        <w:spacing w:line="360" w:lineRule="auto"/>
        <w:ind w:rightChars="-94" w:right="-197"/>
        <w:rPr>
          <w:rFonts w:ascii="Times New Roman" w:eastAsia="宋体" w:hAnsi="Times New Roman"/>
          <w:sz w:val="24"/>
          <w:szCs w:val="24"/>
        </w:rPr>
      </w:pPr>
      <w:r w:rsidRPr="003A7A02">
        <w:rPr>
          <w:rFonts w:ascii="Times New Roman" w:eastAsia="宋体" w:hAnsi="Times New Roman" w:hint="eastAsia"/>
          <w:sz w:val="24"/>
          <w:szCs w:val="24"/>
        </w:rPr>
        <w:t>Figure S</w:t>
      </w:r>
      <w:r>
        <w:rPr>
          <w:rFonts w:ascii="Times New Roman" w:eastAsia="宋体" w:hAnsi="Times New Roman" w:hint="eastAsia"/>
          <w:sz w:val="24"/>
          <w:szCs w:val="24"/>
        </w:rPr>
        <w:t>6</w:t>
      </w:r>
      <w:r w:rsidRPr="003A7A02">
        <w:rPr>
          <w:rFonts w:ascii="Times New Roman" w:eastAsia="宋体" w:hAnsi="Times New Roman" w:hint="eastAsia"/>
          <w:sz w:val="24"/>
          <w:szCs w:val="24"/>
        </w:rPr>
        <w:t>. The DCs maturation and T cell activation in co-culture environments. A. Representative flow cytometry histograms and quantification of mature DCs in each group</w:t>
      </w:r>
      <w:r>
        <w:rPr>
          <w:rFonts w:ascii="Times New Roman" w:eastAsia="宋体" w:hAnsi="Times New Roman" w:hint="eastAsia"/>
          <w:sz w:val="24"/>
          <w:szCs w:val="24"/>
        </w:rPr>
        <w:t xml:space="preserve"> (****P&lt;0.0001, </w:t>
      </w:r>
      <w:r w:rsidRPr="00DD2EEE">
        <w:rPr>
          <w:rFonts w:ascii="Times New Roman" w:eastAsia="宋体" w:hAnsi="Times New Roman" w:cs="Times New Roman"/>
          <w:sz w:val="24"/>
          <w:szCs w:val="24"/>
        </w:rPr>
        <w:t>***P&lt;0.001</w:t>
      </w:r>
      <w:r>
        <w:rPr>
          <w:rFonts w:ascii="Times New Roman" w:eastAsia="宋体" w:hAnsi="Times New Roman" w:hint="eastAsia"/>
          <w:sz w:val="24"/>
          <w:szCs w:val="24"/>
        </w:rPr>
        <w:t>)</w:t>
      </w:r>
      <w:r w:rsidRPr="003A7A02">
        <w:rPr>
          <w:rFonts w:ascii="Times New Roman" w:eastAsia="宋体" w:hAnsi="Times New Roman" w:hint="eastAsia"/>
          <w:sz w:val="24"/>
          <w:szCs w:val="24"/>
        </w:rPr>
        <w:t>. B. The proliferation of T cells in different co-culture environments groups and representative flow cytometry chart</w:t>
      </w:r>
      <w:r>
        <w:rPr>
          <w:rFonts w:ascii="Times New Roman" w:eastAsia="宋体" w:hAnsi="Times New Roman" w:hint="eastAsia"/>
          <w:sz w:val="24"/>
          <w:szCs w:val="24"/>
        </w:rPr>
        <w:t xml:space="preserve"> (****P&lt;0.0001)</w:t>
      </w:r>
      <w:r w:rsidRPr="003A7A02">
        <w:rPr>
          <w:rFonts w:ascii="Times New Roman" w:eastAsia="宋体" w:hAnsi="Times New Roman" w:hint="eastAsia"/>
          <w:sz w:val="24"/>
          <w:szCs w:val="24"/>
        </w:rPr>
        <w:t>. C. Secretion level of antitumor cytokines in each group</w:t>
      </w:r>
      <w:r>
        <w:rPr>
          <w:rFonts w:ascii="Times New Roman" w:eastAsia="宋体" w:hAnsi="Times New Roman" w:hint="eastAsia"/>
          <w:sz w:val="24"/>
          <w:szCs w:val="24"/>
        </w:rPr>
        <w:t xml:space="preserve"> (</w:t>
      </w:r>
      <w:r w:rsidRPr="00DD2EEE">
        <w:rPr>
          <w:rFonts w:ascii="Times New Roman" w:eastAsia="宋体" w:hAnsi="Times New Roman" w:cs="Times New Roman"/>
          <w:sz w:val="24"/>
          <w:szCs w:val="24"/>
        </w:rPr>
        <w:t>***P&lt;0.001</w:t>
      </w:r>
      <w:r>
        <w:rPr>
          <w:rFonts w:ascii="Times New Roman" w:eastAsia="宋体" w:hAnsi="Times New Roman" w:cs="Times New Roman" w:hint="eastAsia"/>
          <w:sz w:val="24"/>
          <w:szCs w:val="24"/>
        </w:rPr>
        <w:t>, *P&lt;0.05</w:t>
      </w:r>
      <w:r>
        <w:rPr>
          <w:rFonts w:ascii="Times New Roman" w:eastAsia="宋体" w:hAnsi="Times New Roman" w:hint="eastAsia"/>
          <w:sz w:val="24"/>
          <w:szCs w:val="24"/>
        </w:rPr>
        <w:t>)</w:t>
      </w:r>
      <w:r w:rsidRPr="003A7A02">
        <w:rPr>
          <w:rFonts w:ascii="Times New Roman" w:eastAsia="宋体" w:hAnsi="Times New Roman" w:hint="eastAsia"/>
          <w:sz w:val="24"/>
          <w:szCs w:val="24"/>
        </w:rPr>
        <w:t>.</w:t>
      </w:r>
    </w:p>
    <w:p w14:paraId="1A95ADC5" w14:textId="77777777" w:rsidR="00D8516E" w:rsidRDefault="00D8516E">
      <w:pPr>
        <w:widowControl/>
        <w:jc w:val="left"/>
        <w:rPr>
          <w:rFonts w:ascii="Times New Roman" w:eastAsia="宋体" w:hAnsi="Times New Roman"/>
          <w:sz w:val="24"/>
          <w:szCs w:val="24"/>
        </w:rPr>
      </w:pPr>
      <w:r>
        <w:rPr>
          <w:rFonts w:ascii="Times New Roman" w:eastAsia="宋体" w:hAnsi="Times New Roman"/>
          <w:sz w:val="24"/>
          <w:szCs w:val="24"/>
        </w:rPr>
        <w:br w:type="page"/>
      </w:r>
    </w:p>
    <w:p w14:paraId="7B3820A6"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304A4116" wp14:editId="48B1BFD2">
            <wp:extent cx="5274310" cy="2927985"/>
            <wp:effectExtent l="0" t="0" r="2540" b="5715"/>
            <wp:docPr id="9426017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274310" cy="2927985"/>
                    </a:xfrm>
                    <a:prstGeom prst="rect">
                      <a:avLst/>
                    </a:prstGeom>
                    <a:noFill/>
                    <a:ln>
                      <a:noFill/>
                    </a:ln>
                  </pic:spPr>
                </pic:pic>
              </a:graphicData>
            </a:graphic>
          </wp:inline>
        </w:drawing>
      </w:r>
    </w:p>
    <w:p w14:paraId="33498873" w14:textId="77777777" w:rsidR="00D8516E" w:rsidRPr="00AC0BEB"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S7</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 xml:space="preserve">The </w:t>
      </w:r>
      <w:r>
        <w:rPr>
          <w:rFonts w:ascii="Times New Roman" w:eastAsia="宋体" w:hAnsi="Times New Roman" w:cs="Times New Roman" w:hint="eastAsia"/>
          <w:sz w:val="24"/>
          <w:szCs w:val="24"/>
        </w:rPr>
        <w:t>r</w:t>
      </w:r>
      <w:r w:rsidRPr="00BF0EB6">
        <w:rPr>
          <w:rFonts w:ascii="Times New Roman" w:eastAsia="宋体" w:hAnsi="Times New Roman" w:cs="Times New Roman"/>
          <w:sz w:val="24"/>
          <w:szCs w:val="24"/>
        </w:rPr>
        <w:t>epresentative flow cytometry images of T cells and DCs in the tumor</w:t>
      </w:r>
      <w:r>
        <w:rPr>
          <w:rFonts w:ascii="Times New Roman" w:eastAsia="宋体" w:hAnsi="Times New Roman" w:cs="Times New Roman" w:hint="eastAsia"/>
          <w:sz w:val="24"/>
          <w:szCs w:val="24"/>
        </w:rPr>
        <w:t>s</w:t>
      </w:r>
      <w:r w:rsidRPr="00BF0EB6">
        <w:rPr>
          <w:rFonts w:ascii="Times New Roman" w:eastAsia="宋体" w:hAnsi="Times New Roman" w:cs="Times New Roman"/>
          <w:sz w:val="24"/>
          <w:szCs w:val="24"/>
        </w:rPr>
        <w:t xml:space="preserve"> after treatment with </w:t>
      </w:r>
      <w:r>
        <w:rPr>
          <w:rFonts w:ascii="Times New Roman" w:eastAsia="宋体" w:hAnsi="Times New Roman" w:cs="Times New Roman" w:hint="eastAsia"/>
          <w:sz w:val="24"/>
          <w:szCs w:val="24"/>
        </w:rPr>
        <w:t>different</w:t>
      </w:r>
      <w:r w:rsidRPr="00BF0EB6">
        <w:rPr>
          <w:rFonts w:ascii="Times New Roman" w:eastAsia="宋体" w:hAnsi="Times New Roman" w:cs="Times New Roman"/>
          <w:sz w:val="24"/>
          <w:szCs w:val="24"/>
        </w:rPr>
        <w:t xml:space="preserve"> double-layered scaffold</w:t>
      </w:r>
      <w:r>
        <w:rPr>
          <w:rFonts w:ascii="Times New Roman" w:eastAsia="宋体" w:hAnsi="Times New Roman" w:cs="Times New Roman" w:hint="eastAsia"/>
          <w:sz w:val="24"/>
          <w:szCs w:val="24"/>
        </w:rPr>
        <w:t>s</w:t>
      </w:r>
      <w:r w:rsidRPr="00BF0EB6">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p>
    <w:p w14:paraId="27047F44"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72932539"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0F56C820" wp14:editId="335E6E14">
            <wp:extent cx="5274310" cy="3272155"/>
            <wp:effectExtent l="0" t="0" r="2540" b="4445"/>
            <wp:docPr id="11338309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274310" cy="3272155"/>
                    </a:xfrm>
                    <a:prstGeom prst="rect">
                      <a:avLst/>
                    </a:prstGeom>
                    <a:noFill/>
                    <a:ln>
                      <a:noFill/>
                    </a:ln>
                  </pic:spPr>
                </pic:pic>
              </a:graphicData>
            </a:graphic>
          </wp:inline>
        </w:drawing>
      </w:r>
    </w:p>
    <w:p w14:paraId="1207ED87" w14:textId="77777777" w:rsidR="00D8516E"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S8. The f</w:t>
      </w:r>
      <w:r w:rsidRPr="00590096">
        <w:rPr>
          <w:rFonts w:ascii="Times New Roman" w:eastAsia="宋体" w:hAnsi="Times New Roman" w:hint="eastAsia"/>
          <w:sz w:val="24"/>
          <w:szCs w:val="24"/>
        </w:rPr>
        <w:t>low cytometry gating strategy</w:t>
      </w:r>
      <w:r>
        <w:rPr>
          <w:rFonts w:ascii="Times New Roman" w:eastAsia="宋体" w:hAnsi="Times New Roman" w:hint="eastAsia"/>
          <w:sz w:val="24"/>
          <w:szCs w:val="24"/>
        </w:rPr>
        <w:t xml:space="preserve"> illustration for T cells and DCs in tumor. The arrows indicated the </w:t>
      </w:r>
      <w:r w:rsidRPr="00754EE7">
        <w:rPr>
          <w:rFonts w:ascii="Times New Roman" w:eastAsia="宋体" w:hAnsi="Times New Roman" w:hint="eastAsia"/>
          <w:sz w:val="24"/>
          <w:szCs w:val="24"/>
        </w:rPr>
        <w:t>sequence of steps in flow cytometry</w:t>
      </w:r>
      <w:r>
        <w:rPr>
          <w:rFonts w:ascii="Times New Roman" w:eastAsia="宋体" w:hAnsi="Times New Roman" w:hint="eastAsia"/>
          <w:sz w:val="24"/>
          <w:szCs w:val="24"/>
        </w:rPr>
        <w:t xml:space="preserve"> analysis</w:t>
      </w:r>
      <w:r w:rsidRPr="00754EE7">
        <w:rPr>
          <w:rFonts w:ascii="Times New Roman" w:eastAsia="宋体" w:hAnsi="Times New Roman" w:hint="eastAsia"/>
          <w:sz w:val="24"/>
          <w:szCs w:val="24"/>
        </w:rPr>
        <w:t>.</w:t>
      </w:r>
      <w:r>
        <w:rPr>
          <w:rFonts w:ascii="Times New Roman" w:eastAsia="宋体" w:hAnsi="Times New Roman" w:hint="eastAsia"/>
          <w:sz w:val="24"/>
          <w:szCs w:val="24"/>
        </w:rPr>
        <w:t xml:space="preserve"> The red arrows </w:t>
      </w:r>
      <w:r w:rsidRPr="00754EE7">
        <w:rPr>
          <w:rFonts w:ascii="Times New Roman" w:eastAsia="宋体" w:hAnsi="Times New Roman" w:hint="eastAsia"/>
          <w:sz w:val="24"/>
          <w:szCs w:val="24"/>
        </w:rPr>
        <w:t>indicate</w:t>
      </w:r>
      <w:r>
        <w:rPr>
          <w:rFonts w:ascii="Times New Roman" w:eastAsia="宋体" w:hAnsi="Times New Roman" w:hint="eastAsia"/>
          <w:sz w:val="24"/>
          <w:szCs w:val="24"/>
        </w:rPr>
        <w:t xml:space="preserve">d </w:t>
      </w:r>
      <w:r w:rsidRPr="00754EE7">
        <w:rPr>
          <w:rFonts w:ascii="Times New Roman" w:eastAsia="宋体" w:hAnsi="Times New Roman" w:hint="eastAsia"/>
          <w:sz w:val="24"/>
          <w:szCs w:val="24"/>
        </w:rPr>
        <w:t>the first step of analysis and sorting</w:t>
      </w:r>
      <w:r>
        <w:rPr>
          <w:rFonts w:ascii="Times New Roman" w:eastAsia="宋体" w:hAnsi="Times New Roman" w:hint="eastAsia"/>
          <w:sz w:val="24"/>
          <w:szCs w:val="24"/>
        </w:rPr>
        <w:t xml:space="preserve"> and the green arrows and blue arrows represented the second and third steps.</w:t>
      </w:r>
    </w:p>
    <w:p w14:paraId="55300439"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2E1ED0AE"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5F0816FE" wp14:editId="70C43CD3">
            <wp:extent cx="5274310" cy="7178675"/>
            <wp:effectExtent l="0" t="0" r="2540" b="3175"/>
            <wp:docPr id="12909660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274310" cy="7178675"/>
                    </a:xfrm>
                    <a:prstGeom prst="rect">
                      <a:avLst/>
                    </a:prstGeom>
                    <a:noFill/>
                    <a:ln>
                      <a:noFill/>
                    </a:ln>
                  </pic:spPr>
                </pic:pic>
              </a:graphicData>
            </a:graphic>
          </wp:inline>
        </w:drawing>
      </w:r>
    </w:p>
    <w:p w14:paraId="6F38721C" w14:textId="77777777" w:rsidR="00D8516E" w:rsidRPr="008458CD"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S9</w:t>
      </w:r>
      <w:r w:rsidRPr="008458CD">
        <w:rPr>
          <w:rFonts w:ascii="Times New Roman" w:eastAsia="宋体" w:hAnsi="Times New Roman" w:hint="eastAsia"/>
          <w:sz w:val="24"/>
          <w:szCs w:val="24"/>
        </w:rPr>
        <w:t>. The representative flow cytometry images T cells and DCs in tumor after treatment with double-layered scaffold</w:t>
      </w:r>
      <w:r>
        <w:rPr>
          <w:rFonts w:ascii="Times New Roman" w:eastAsia="宋体" w:hAnsi="Times New Roman" w:hint="eastAsia"/>
          <w:sz w:val="24"/>
          <w:szCs w:val="24"/>
        </w:rPr>
        <w:t>s</w:t>
      </w:r>
      <w:r w:rsidRPr="008458CD">
        <w:rPr>
          <w:rFonts w:ascii="Times New Roman" w:eastAsia="宋体" w:hAnsi="Times New Roman" w:hint="eastAsia"/>
          <w:sz w:val="24"/>
          <w:szCs w:val="24"/>
        </w:rPr>
        <w:t xml:space="preserve"> in subcutaneous tumor models.</w:t>
      </w:r>
    </w:p>
    <w:p w14:paraId="637E8046"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070BF10C" w14:textId="77777777" w:rsidR="00D8516E" w:rsidRPr="008458CD"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0F33408D" wp14:editId="413A3306">
            <wp:extent cx="5203669" cy="2432050"/>
            <wp:effectExtent l="0" t="0" r="0" b="6350"/>
            <wp:docPr id="3160462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209455" cy="2434754"/>
                    </a:xfrm>
                    <a:prstGeom prst="rect">
                      <a:avLst/>
                    </a:prstGeom>
                    <a:noFill/>
                    <a:ln>
                      <a:noFill/>
                    </a:ln>
                  </pic:spPr>
                </pic:pic>
              </a:graphicData>
            </a:graphic>
          </wp:inline>
        </w:drawing>
      </w:r>
    </w:p>
    <w:p w14:paraId="702B173F" w14:textId="77777777" w:rsidR="00D8516E" w:rsidRPr="008458CD"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S10</w:t>
      </w:r>
      <w:r w:rsidRPr="008458CD">
        <w:rPr>
          <w:rFonts w:ascii="Times New Roman" w:eastAsia="宋体" w:hAnsi="Times New Roman" w:hint="eastAsia"/>
          <w:sz w:val="24"/>
          <w:szCs w:val="24"/>
        </w:rPr>
        <w:t xml:space="preserve">. The immunohistochemical evaluation of tumor tissue in each group with CD4 and </w:t>
      </w:r>
      <w:r w:rsidRPr="008458CD">
        <w:rPr>
          <w:rFonts w:ascii="Times New Roman" w:eastAsia="宋体" w:hAnsi="Times New Roman" w:cs="Times New Roman"/>
          <w:sz w:val="24"/>
          <w:szCs w:val="24"/>
        </w:rPr>
        <w:t>TNF-α</w:t>
      </w:r>
      <w:r w:rsidRPr="008458CD">
        <w:rPr>
          <w:rFonts w:ascii="Times New Roman" w:eastAsia="宋体" w:hAnsi="Times New Roman" w:cs="Times New Roman" w:hint="eastAsia"/>
          <w:sz w:val="24"/>
          <w:szCs w:val="24"/>
        </w:rPr>
        <w:t xml:space="preserve"> antibodies</w:t>
      </w:r>
      <w:r>
        <w:rPr>
          <w:rFonts w:ascii="Times New Roman" w:eastAsia="宋体" w:hAnsi="Times New Roman" w:cs="Times New Roman" w:hint="eastAsia"/>
          <w:sz w:val="24"/>
          <w:szCs w:val="24"/>
        </w:rPr>
        <w:t xml:space="preserve"> (</w:t>
      </w:r>
      <w:r w:rsidRPr="008458CD">
        <w:rPr>
          <w:rFonts w:ascii="Times New Roman" w:eastAsia="宋体" w:hAnsi="Times New Roman" w:hint="eastAsia"/>
          <w:sz w:val="24"/>
          <w:szCs w:val="24"/>
        </w:rPr>
        <w:t>scale bar: 1</w:t>
      </w:r>
      <w:r w:rsidRPr="008458CD">
        <w:rPr>
          <w:rFonts w:ascii="Times New Roman" w:eastAsia="宋体" w:hAnsi="Times New Roman" w:cs="Times New Roman"/>
          <w:sz w:val="24"/>
          <w:szCs w:val="24"/>
        </w:rPr>
        <w:t>00μ</w:t>
      </w:r>
      <w:r w:rsidRPr="008458CD">
        <w:rPr>
          <w:rFonts w:ascii="Times New Roman" w:eastAsia="宋体" w:hAnsi="Times New Roman" w:hint="eastAsia"/>
          <w:sz w:val="24"/>
          <w:szCs w:val="24"/>
        </w:rPr>
        <w:t>m</w:t>
      </w:r>
      <w:r>
        <w:rPr>
          <w:rFonts w:ascii="Times New Roman" w:eastAsia="宋体" w:hAnsi="Times New Roman" w:cs="Times New Roman" w:hint="eastAsia"/>
          <w:sz w:val="24"/>
          <w:szCs w:val="24"/>
        </w:rPr>
        <w:t>)</w:t>
      </w:r>
      <w:r w:rsidRPr="008458CD">
        <w:rPr>
          <w:rFonts w:ascii="Times New Roman" w:eastAsia="宋体" w:hAnsi="Times New Roman" w:cs="Times New Roman" w:hint="eastAsia"/>
          <w:sz w:val="24"/>
          <w:szCs w:val="24"/>
        </w:rPr>
        <w:t>.</w:t>
      </w:r>
    </w:p>
    <w:p w14:paraId="4027CD70"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52011DC6"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7FE5BA06" wp14:editId="194683C7">
            <wp:extent cx="5270500" cy="4877480"/>
            <wp:effectExtent l="0" t="0" r="6350" b="0"/>
            <wp:docPr id="8703452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5277776" cy="4884213"/>
                    </a:xfrm>
                    <a:prstGeom prst="rect">
                      <a:avLst/>
                    </a:prstGeom>
                    <a:noFill/>
                    <a:ln>
                      <a:noFill/>
                    </a:ln>
                  </pic:spPr>
                </pic:pic>
              </a:graphicData>
            </a:graphic>
          </wp:inline>
        </w:drawing>
      </w:r>
    </w:p>
    <w:p w14:paraId="0FE017D7" w14:textId="77777777" w:rsidR="00D8516E"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S11</w:t>
      </w:r>
      <w:r w:rsidRPr="008458CD">
        <w:rPr>
          <w:rFonts w:ascii="Times New Roman" w:eastAsia="宋体" w:hAnsi="Times New Roman" w:hint="eastAsia"/>
          <w:sz w:val="24"/>
          <w:szCs w:val="24"/>
        </w:rPr>
        <w:t>. The H&amp;E staining of main organs in each group of the SCC-VII mouse subcutaneous tumor models (scale bar: 1</w:t>
      </w:r>
      <w:r w:rsidRPr="008458CD">
        <w:rPr>
          <w:rFonts w:ascii="Times New Roman" w:eastAsia="宋体" w:hAnsi="Times New Roman" w:cs="Times New Roman"/>
          <w:sz w:val="24"/>
          <w:szCs w:val="24"/>
        </w:rPr>
        <w:t>00μ</w:t>
      </w:r>
      <w:r w:rsidRPr="008458CD">
        <w:rPr>
          <w:rFonts w:ascii="Times New Roman" w:eastAsia="宋体" w:hAnsi="Times New Roman" w:hint="eastAsia"/>
          <w:sz w:val="24"/>
          <w:szCs w:val="24"/>
        </w:rPr>
        <w:t>m).</w:t>
      </w:r>
    </w:p>
    <w:p w14:paraId="22FF3D98" w14:textId="77777777" w:rsidR="00D8516E" w:rsidRDefault="00D8516E">
      <w:pPr>
        <w:widowControl/>
        <w:jc w:val="left"/>
        <w:rPr>
          <w:rFonts w:ascii="Times New Roman" w:eastAsia="宋体" w:hAnsi="Times New Roman"/>
          <w:sz w:val="24"/>
          <w:szCs w:val="24"/>
        </w:rPr>
      </w:pPr>
      <w:r>
        <w:rPr>
          <w:rFonts w:ascii="Times New Roman" w:eastAsia="宋体" w:hAnsi="Times New Roman"/>
          <w:sz w:val="24"/>
          <w:szCs w:val="24"/>
        </w:rPr>
        <w:br w:type="page"/>
      </w:r>
    </w:p>
    <w:p w14:paraId="34EAA352"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4D308000" wp14:editId="31760FBD">
            <wp:extent cx="3200400" cy="6386639"/>
            <wp:effectExtent l="0" t="0" r="0" b="0"/>
            <wp:docPr id="10275935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3203761" cy="6393345"/>
                    </a:xfrm>
                    <a:prstGeom prst="rect">
                      <a:avLst/>
                    </a:prstGeom>
                    <a:noFill/>
                    <a:ln>
                      <a:noFill/>
                    </a:ln>
                  </pic:spPr>
                </pic:pic>
              </a:graphicData>
            </a:graphic>
          </wp:inline>
        </w:drawing>
      </w:r>
    </w:p>
    <w:p w14:paraId="288855FC" w14:textId="77777777" w:rsidR="00D8516E" w:rsidRPr="008458CD" w:rsidRDefault="00D8516E" w:rsidP="00670A70">
      <w:pPr>
        <w:spacing w:line="360" w:lineRule="auto"/>
        <w:ind w:rightChars="-94" w:right="-197"/>
        <w:rPr>
          <w:rFonts w:ascii="Times New Roman" w:eastAsia="宋体" w:hAnsi="Times New Roman"/>
          <w:sz w:val="24"/>
          <w:szCs w:val="24"/>
        </w:rPr>
      </w:pPr>
      <w:r>
        <w:rPr>
          <w:rFonts w:ascii="Times New Roman" w:eastAsia="宋体" w:hAnsi="Times New Roman" w:hint="eastAsia"/>
          <w:sz w:val="24"/>
          <w:szCs w:val="24"/>
        </w:rPr>
        <w:t xml:space="preserve">Figure S12. </w:t>
      </w:r>
      <w:r w:rsidRPr="008458CD">
        <w:rPr>
          <w:rFonts w:ascii="Times New Roman" w:eastAsia="宋体" w:hAnsi="Times New Roman" w:hint="eastAsia"/>
          <w:sz w:val="24"/>
          <w:szCs w:val="24"/>
        </w:rPr>
        <w:t>The H&amp;E staining</w:t>
      </w:r>
      <w:r w:rsidRPr="00440CB5">
        <w:rPr>
          <w:rFonts w:ascii="Times New Roman" w:eastAsia="宋体" w:hAnsi="Times New Roman" w:hint="eastAsia"/>
          <w:sz w:val="24"/>
          <w:szCs w:val="24"/>
        </w:rPr>
        <w:t xml:space="preserve"> analysis of the tumor and mandible surface of mice in each group (scale bar: 5 mm for the entire image; scale</w:t>
      </w:r>
      <w:r w:rsidRPr="002C6646">
        <w:rPr>
          <w:rFonts w:ascii="Times New Roman" w:eastAsia="宋体" w:hAnsi="Times New Roman" w:cs="Times New Roman"/>
          <w:sz w:val="24"/>
          <w:szCs w:val="24"/>
        </w:rPr>
        <w:t xml:space="preserve"> bar: 200 μm for </w:t>
      </w:r>
      <w:r w:rsidRPr="00440CB5">
        <w:rPr>
          <w:rFonts w:ascii="Times New Roman" w:eastAsia="宋体" w:hAnsi="Times New Roman" w:hint="eastAsia"/>
          <w:sz w:val="24"/>
          <w:szCs w:val="24"/>
        </w:rPr>
        <w:t>partial image).</w:t>
      </w:r>
    </w:p>
    <w:p w14:paraId="11576C2E"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61DDED10" w14:textId="77777777" w:rsidR="00D8516E"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414BF726" wp14:editId="5D9B7F78">
            <wp:extent cx="5274310" cy="6329045"/>
            <wp:effectExtent l="0" t="0" r="2540" b="0"/>
            <wp:docPr id="18682860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5274310" cy="6329045"/>
                    </a:xfrm>
                    <a:prstGeom prst="rect">
                      <a:avLst/>
                    </a:prstGeom>
                    <a:noFill/>
                    <a:ln>
                      <a:noFill/>
                    </a:ln>
                  </pic:spPr>
                </pic:pic>
              </a:graphicData>
            </a:graphic>
          </wp:inline>
        </w:drawing>
      </w:r>
    </w:p>
    <w:p w14:paraId="19DC5C2D" w14:textId="77777777" w:rsidR="00D8516E" w:rsidRPr="008458CD"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S13</w:t>
      </w:r>
      <w:r w:rsidRPr="008458CD">
        <w:rPr>
          <w:rFonts w:ascii="Times New Roman" w:eastAsia="宋体" w:hAnsi="Times New Roman" w:hint="eastAsia"/>
          <w:sz w:val="24"/>
          <w:szCs w:val="24"/>
        </w:rPr>
        <w:t>. The representative flow cytometry images T cells and DCs in tumor after treatment with double-layered scaffold</w:t>
      </w:r>
      <w:r>
        <w:rPr>
          <w:rFonts w:ascii="Times New Roman" w:eastAsia="宋体" w:hAnsi="Times New Roman" w:hint="eastAsia"/>
          <w:sz w:val="24"/>
          <w:szCs w:val="24"/>
        </w:rPr>
        <w:t>s</w:t>
      </w:r>
      <w:r w:rsidRPr="008458CD">
        <w:rPr>
          <w:rFonts w:ascii="Times New Roman" w:eastAsia="宋体" w:hAnsi="Times New Roman" w:hint="eastAsia"/>
          <w:sz w:val="24"/>
          <w:szCs w:val="24"/>
        </w:rPr>
        <w:t xml:space="preserve"> in mandible invasion models.</w:t>
      </w:r>
    </w:p>
    <w:p w14:paraId="35C8EA43" w14:textId="77777777" w:rsidR="00D8516E" w:rsidRDefault="00D8516E" w:rsidP="00670A70">
      <w:pPr>
        <w:widowControl/>
        <w:ind w:rightChars="-94" w:right="-197"/>
        <w:jc w:val="left"/>
        <w:rPr>
          <w:rFonts w:ascii="Times New Roman" w:eastAsia="宋体" w:hAnsi="Times New Roman"/>
          <w:sz w:val="24"/>
          <w:szCs w:val="24"/>
        </w:rPr>
      </w:pPr>
      <w:r>
        <w:rPr>
          <w:rFonts w:ascii="Times New Roman" w:eastAsia="宋体" w:hAnsi="Times New Roman"/>
          <w:sz w:val="24"/>
          <w:szCs w:val="24"/>
        </w:rPr>
        <w:br w:type="page"/>
      </w:r>
    </w:p>
    <w:p w14:paraId="77CFE3DA" w14:textId="77777777" w:rsidR="00D8516E" w:rsidRPr="008458CD" w:rsidRDefault="00D8516E" w:rsidP="00670A70">
      <w:pPr>
        <w:spacing w:line="360" w:lineRule="auto"/>
        <w:ind w:rightChars="-94" w:right="-197"/>
        <w:rPr>
          <w:rFonts w:ascii="Times New Roman" w:eastAsia="宋体" w:hAnsi="Times New Roman"/>
          <w:sz w:val="24"/>
          <w:szCs w:val="24"/>
        </w:rPr>
      </w:pPr>
      <w:r>
        <w:rPr>
          <w:noProof/>
        </w:rPr>
        <w:lastRenderedPageBreak/>
        <w:drawing>
          <wp:inline distT="0" distB="0" distL="0" distR="0" wp14:anchorId="528170C3" wp14:editId="4DD0C828">
            <wp:extent cx="5276850" cy="4836278"/>
            <wp:effectExtent l="0" t="0" r="0" b="2540"/>
            <wp:docPr id="8021589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5281259" cy="4840319"/>
                    </a:xfrm>
                    <a:prstGeom prst="rect">
                      <a:avLst/>
                    </a:prstGeom>
                    <a:noFill/>
                    <a:ln>
                      <a:noFill/>
                    </a:ln>
                  </pic:spPr>
                </pic:pic>
              </a:graphicData>
            </a:graphic>
          </wp:inline>
        </w:drawing>
      </w:r>
    </w:p>
    <w:p w14:paraId="7D652863" w14:textId="77777777" w:rsidR="00D8516E" w:rsidRDefault="00D8516E" w:rsidP="00670A70">
      <w:pPr>
        <w:spacing w:line="360" w:lineRule="auto"/>
        <w:ind w:rightChars="-94" w:right="-197"/>
        <w:rPr>
          <w:rFonts w:ascii="Times New Roman" w:eastAsia="宋体" w:hAnsi="Times New Roman"/>
          <w:sz w:val="24"/>
          <w:szCs w:val="24"/>
        </w:rPr>
      </w:pPr>
      <w:r w:rsidRPr="008458CD">
        <w:rPr>
          <w:rFonts w:ascii="Times New Roman" w:eastAsia="宋体" w:hAnsi="Times New Roman" w:hint="eastAsia"/>
          <w:sz w:val="24"/>
          <w:szCs w:val="24"/>
        </w:rPr>
        <w:t>Fig</w:t>
      </w:r>
      <w:r>
        <w:rPr>
          <w:rFonts w:ascii="Times New Roman" w:eastAsia="宋体" w:hAnsi="Times New Roman" w:hint="eastAsia"/>
          <w:sz w:val="24"/>
          <w:szCs w:val="24"/>
        </w:rPr>
        <w:t>ure</w:t>
      </w:r>
      <w:r w:rsidRPr="008458CD">
        <w:rPr>
          <w:rFonts w:ascii="Times New Roman" w:eastAsia="宋体" w:hAnsi="Times New Roman" w:hint="eastAsia"/>
          <w:sz w:val="24"/>
          <w:szCs w:val="24"/>
        </w:rPr>
        <w:t xml:space="preserve"> </w:t>
      </w:r>
      <w:r>
        <w:rPr>
          <w:rFonts w:ascii="Times New Roman" w:eastAsia="宋体" w:hAnsi="Times New Roman" w:hint="eastAsia"/>
          <w:sz w:val="24"/>
          <w:szCs w:val="24"/>
        </w:rPr>
        <w:t>S14</w:t>
      </w:r>
      <w:r w:rsidRPr="008458CD">
        <w:rPr>
          <w:rFonts w:ascii="Times New Roman" w:eastAsia="宋体" w:hAnsi="Times New Roman" w:hint="eastAsia"/>
          <w:sz w:val="24"/>
          <w:szCs w:val="24"/>
        </w:rPr>
        <w:t>. The H&amp;E staining of main organs in each group of the SCC-VII mouse mandible invasion models (scale bar: 1</w:t>
      </w:r>
      <w:r w:rsidRPr="008458CD">
        <w:rPr>
          <w:rFonts w:ascii="Times New Roman" w:eastAsia="宋体" w:hAnsi="Times New Roman" w:cs="Times New Roman"/>
          <w:sz w:val="24"/>
          <w:szCs w:val="24"/>
        </w:rPr>
        <w:t>00μ</w:t>
      </w:r>
      <w:r w:rsidRPr="008458CD">
        <w:rPr>
          <w:rFonts w:ascii="Times New Roman" w:eastAsia="宋体" w:hAnsi="Times New Roman" w:hint="eastAsia"/>
          <w:sz w:val="24"/>
          <w:szCs w:val="24"/>
        </w:rPr>
        <w:t>m).</w:t>
      </w:r>
    </w:p>
    <w:p w14:paraId="2CCB6A75" w14:textId="77777777" w:rsidR="00D8516E" w:rsidRDefault="00D8516E" w:rsidP="00670A70">
      <w:pPr>
        <w:spacing w:line="360" w:lineRule="auto"/>
        <w:ind w:rightChars="-94" w:right="-197"/>
        <w:rPr>
          <w:rFonts w:ascii="Times New Roman" w:eastAsia="宋体" w:hAnsi="Times New Roman"/>
          <w:sz w:val="24"/>
          <w:szCs w:val="24"/>
        </w:rPr>
      </w:pPr>
    </w:p>
    <w:p w14:paraId="12BFD429" w14:textId="77777777" w:rsidR="00D8516E" w:rsidRPr="000E531B" w:rsidRDefault="00D8516E" w:rsidP="00670A70">
      <w:pPr>
        <w:spacing w:line="360" w:lineRule="auto"/>
        <w:ind w:rightChars="-94" w:right="-197"/>
        <w:rPr>
          <w:rFonts w:ascii="Times New Roman" w:eastAsia="宋体" w:hAnsi="Times New Roman"/>
          <w:sz w:val="24"/>
          <w:szCs w:val="24"/>
        </w:rPr>
      </w:pPr>
    </w:p>
    <w:p w14:paraId="643AF193" w14:textId="77777777" w:rsidR="000A38C5" w:rsidRDefault="000A38C5">
      <w:pPr>
        <w:rPr>
          <w:rFonts w:hint="eastAsia"/>
        </w:rPr>
      </w:pPr>
    </w:p>
    <w:sectPr w:rsidR="000A38C5" w:rsidSect="00D8516E">
      <w:footerReference w:type="defaul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FB5C2A" w14:textId="77777777" w:rsidR="009425A7" w:rsidRDefault="009425A7">
      <w:pPr>
        <w:rPr>
          <w:rFonts w:hint="eastAsia"/>
        </w:rPr>
      </w:pPr>
      <w:r>
        <w:separator/>
      </w:r>
    </w:p>
  </w:endnote>
  <w:endnote w:type="continuationSeparator" w:id="0">
    <w:p w14:paraId="76B3ECD3" w14:textId="77777777" w:rsidR="009425A7" w:rsidRDefault="009425A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4638867"/>
      <w:docPartObj>
        <w:docPartGallery w:val="Page Numbers (Bottom of Page)"/>
        <w:docPartUnique/>
      </w:docPartObj>
    </w:sdtPr>
    <w:sdtContent>
      <w:p w14:paraId="60F62645" w14:textId="77777777" w:rsidR="00D8516E" w:rsidRDefault="00D8516E">
        <w:pPr>
          <w:pStyle w:val="af0"/>
          <w:jc w:val="center"/>
          <w:rPr>
            <w:rFonts w:hint="eastAsia"/>
          </w:rPr>
        </w:pPr>
        <w:r>
          <w:fldChar w:fldCharType="begin"/>
        </w:r>
        <w:r>
          <w:instrText>PAGE   \* MERGEFORMAT</w:instrText>
        </w:r>
        <w:r>
          <w:fldChar w:fldCharType="separate"/>
        </w:r>
        <w:r>
          <w:rPr>
            <w:lang w:val="zh-CN"/>
          </w:rPr>
          <w:t>2</w:t>
        </w:r>
        <w:r>
          <w:fldChar w:fldCharType="end"/>
        </w:r>
      </w:p>
    </w:sdtContent>
  </w:sdt>
  <w:p w14:paraId="5E272258" w14:textId="77777777" w:rsidR="00D8516E" w:rsidRDefault="00D8516E">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7B30EF" w14:textId="77777777" w:rsidR="009425A7" w:rsidRDefault="009425A7">
      <w:pPr>
        <w:rPr>
          <w:rFonts w:hint="eastAsia"/>
        </w:rPr>
      </w:pPr>
      <w:r>
        <w:separator/>
      </w:r>
    </w:p>
  </w:footnote>
  <w:footnote w:type="continuationSeparator" w:id="0">
    <w:p w14:paraId="2CDC6A8D" w14:textId="77777777" w:rsidR="009425A7" w:rsidRDefault="009425A7">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D8516E"/>
    <w:rsid w:val="000901CF"/>
    <w:rsid w:val="000A38C5"/>
    <w:rsid w:val="00137FFA"/>
    <w:rsid w:val="004709E9"/>
    <w:rsid w:val="009425A7"/>
    <w:rsid w:val="00A061F0"/>
    <w:rsid w:val="00AB1D44"/>
    <w:rsid w:val="00D8516E"/>
    <w:rsid w:val="00DA6E30"/>
    <w:rsid w:val="00E143A6"/>
    <w:rsid w:val="00F06A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49D7609"/>
  <w14:defaultImageDpi w14:val="330"/>
  <w15:chartTrackingRefBased/>
  <w15:docId w15:val="{75231446-4E09-4E7F-BCBE-60AD7C9E4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516E"/>
    <w:pPr>
      <w:widowControl w:val="0"/>
      <w:jc w:val="both"/>
    </w:pPr>
  </w:style>
  <w:style w:type="paragraph" w:styleId="1">
    <w:name w:val="heading 1"/>
    <w:basedOn w:val="a"/>
    <w:next w:val="a"/>
    <w:link w:val="10"/>
    <w:uiPriority w:val="9"/>
    <w:qFormat/>
    <w:rsid w:val="00D8516E"/>
    <w:pPr>
      <w:keepNext/>
      <w:keepLines/>
      <w:outlineLvl w:val="0"/>
    </w:pPr>
    <w:rPr>
      <w:rFonts w:ascii="Times New Roman" w:eastAsia="Times New Roman" w:hAnsi="Times New Roman" w:cstheme="majorBidi"/>
      <w:b/>
      <w:sz w:val="24"/>
      <w:szCs w:val="48"/>
    </w:rPr>
  </w:style>
  <w:style w:type="paragraph" w:styleId="2">
    <w:name w:val="heading 2"/>
    <w:basedOn w:val="a"/>
    <w:next w:val="a"/>
    <w:link w:val="20"/>
    <w:uiPriority w:val="9"/>
    <w:semiHidden/>
    <w:unhideWhenUsed/>
    <w:qFormat/>
    <w:rsid w:val="00D8516E"/>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D8516E"/>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D8516E"/>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D8516E"/>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D8516E"/>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D8516E"/>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D8516E"/>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D8516E"/>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8516E"/>
    <w:rPr>
      <w:rFonts w:ascii="Times New Roman" w:eastAsia="Times New Roman" w:hAnsi="Times New Roman" w:cstheme="majorBidi"/>
      <w:b/>
      <w:sz w:val="24"/>
      <w:szCs w:val="48"/>
    </w:rPr>
  </w:style>
  <w:style w:type="character" w:customStyle="1" w:styleId="20">
    <w:name w:val="标题 2 字符"/>
    <w:basedOn w:val="a0"/>
    <w:link w:val="2"/>
    <w:uiPriority w:val="9"/>
    <w:semiHidden/>
    <w:rsid w:val="00D8516E"/>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D8516E"/>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D8516E"/>
    <w:rPr>
      <w:rFonts w:cstheme="majorBidi"/>
      <w:color w:val="0F4761" w:themeColor="accent1" w:themeShade="BF"/>
      <w:sz w:val="28"/>
      <w:szCs w:val="28"/>
    </w:rPr>
  </w:style>
  <w:style w:type="character" w:customStyle="1" w:styleId="50">
    <w:name w:val="标题 5 字符"/>
    <w:basedOn w:val="a0"/>
    <w:link w:val="5"/>
    <w:uiPriority w:val="9"/>
    <w:semiHidden/>
    <w:rsid w:val="00D8516E"/>
    <w:rPr>
      <w:rFonts w:cstheme="majorBidi"/>
      <w:color w:val="0F4761" w:themeColor="accent1" w:themeShade="BF"/>
      <w:sz w:val="24"/>
      <w:szCs w:val="24"/>
    </w:rPr>
  </w:style>
  <w:style w:type="character" w:customStyle="1" w:styleId="60">
    <w:name w:val="标题 6 字符"/>
    <w:basedOn w:val="a0"/>
    <w:link w:val="6"/>
    <w:uiPriority w:val="9"/>
    <w:semiHidden/>
    <w:rsid w:val="00D8516E"/>
    <w:rPr>
      <w:rFonts w:cstheme="majorBidi"/>
      <w:b/>
      <w:bCs/>
      <w:color w:val="0F4761" w:themeColor="accent1" w:themeShade="BF"/>
    </w:rPr>
  </w:style>
  <w:style w:type="character" w:customStyle="1" w:styleId="70">
    <w:name w:val="标题 7 字符"/>
    <w:basedOn w:val="a0"/>
    <w:link w:val="7"/>
    <w:uiPriority w:val="9"/>
    <w:semiHidden/>
    <w:rsid w:val="00D8516E"/>
    <w:rPr>
      <w:rFonts w:cstheme="majorBidi"/>
      <w:b/>
      <w:bCs/>
      <w:color w:val="595959" w:themeColor="text1" w:themeTint="A6"/>
    </w:rPr>
  </w:style>
  <w:style w:type="character" w:customStyle="1" w:styleId="80">
    <w:name w:val="标题 8 字符"/>
    <w:basedOn w:val="a0"/>
    <w:link w:val="8"/>
    <w:uiPriority w:val="9"/>
    <w:semiHidden/>
    <w:rsid w:val="00D8516E"/>
    <w:rPr>
      <w:rFonts w:cstheme="majorBidi"/>
      <w:color w:val="595959" w:themeColor="text1" w:themeTint="A6"/>
    </w:rPr>
  </w:style>
  <w:style w:type="character" w:customStyle="1" w:styleId="90">
    <w:name w:val="标题 9 字符"/>
    <w:basedOn w:val="a0"/>
    <w:link w:val="9"/>
    <w:uiPriority w:val="9"/>
    <w:semiHidden/>
    <w:rsid w:val="00D8516E"/>
    <w:rPr>
      <w:rFonts w:eastAsiaTheme="majorEastAsia" w:cstheme="majorBidi"/>
      <w:color w:val="595959" w:themeColor="text1" w:themeTint="A6"/>
    </w:rPr>
  </w:style>
  <w:style w:type="paragraph" w:styleId="a3">
    <w:name w:val="Title"/>
    <w:basedOn w:val="a"/>
    <w:next w:val="a"/>
    <w:link w:val="a4"/>
    <w:uiPriority w:val="10"/>
    <w:qFormat/>
    <w:rsid w:val="00D8516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8516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8516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8516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8516E"/>
    <w:pPr>
      <w:spacing w:before="160" w:after="160"/>
      <w:jc w:val="center"/>
    </w:pPr>
    <w:rPr>
      <w:i/>
      <w:iCs/>
      <w:color w:val="404040" w:themeColor="text1" w:themeTint="BF"/>
    </w:rPr>
  </w:style>
  <w:style w:type="character" w:customStyle="1" w:styleId="a8">
    <w:name w:val="引用 字符"/>
    <w:basedOn w:val="a0"/>
    <w:link w:val="a7"/>
    <w:uiPriority w:val="29"/>
    <w:rsid w:val="00D8516E"/>
    <w:rPr>
      <w:i/>
      <w:iCs/>
      <w:color w:val="404040" w:themeColor="text1" w:themeTint="BF"/>
    </w:rPr>
  </w:style>
  <w:style w:type="paragraph" w:styleId="a9">
    <w:name w:val="List Paragraph"/>
    <w:basedOn w:val="a"/>
    <w:uiPriority w:val="34"/>
    <w:qFormat/>
    <w:rsid w:val="00D8516E"/>
    <w:pPr>
      <w:ind w:left="720"/>
      <w:contextualSpacing/>
    </w:pPr>
  </w:style>
  <w:style w:type="character" w:styleId="aa">
    <w:name w:val="Intense Emphasis"/>
    <w:basedOn w:val="a0"/>
    <w:uiPriority w:val="21"/>
    <w:qFormat/>
    <w:rsid w:val="00D8516E"/>
    <w:rPr>
      <w:i/>
      <w:iCs/>
      <w:color w:val="0F4761" w:themeColor="accent1" w:themeShade="BF"/>
    </w:rPr>
  </w:style>
  <w:style w:type="paragraph" w:styleId="ab">
    <w:name w:val="Intense Quote"/>
    <w:basedOn w:val="a"/>
    <w:next w:val="a"/>
    <w:link w:val="ac"/>
    <w:uiPriority w:val="30"/>
    <w:qFormat/>
    <w:rsid w:val="00D8516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8516E"/>
    <w:rPr>
      <w:i/>
      <w:iCs/>
      <w:color w:val="0F4761" w:themeColor="accent1" w:themeShade="BF"/>
    </w:rPr>
  </w:style>
  <w:style w:type="character" w:styleId="ad">
    <w:name w:val="Intense Reference"/>
    <w:basedOn w:val="a0"/>
    <w:uiPriority w:val="32"/>
    <w:qFormat/>
    <w:rsid w:val="00D8516E"/>
    <w:rPr>
      <w:b/>
      <w:bCs/>
      <w:smallCaps/>
      <w:color w:val="0F4761" w:themeColor="accent1" w:themeShade="BF"/>
      <w:spacing w:val="5"/>
    </w:rPr>
  </w:style>
  <w:style w:type="paragraph" w:styleId="ae">
    <w:name w:val="header"/>
    <w:basedOn w:val="a"/>
    <w:link w:val="af"/>
    <w:uiPriority w:val="99"/>
    <w:unhideWhenUsed/>
    <w:rsid w:val="00D8516E"/>
    <w:pPr>
      <w:tabs>
        <w:tab w:val="center" w:pos="4153"/>
        <w:tab w:val="right" w:pos="8306"/>
      </w:tabs>
      <w:snapToGrid w:val="0"/>
      <w:jc w:val="center"/>
    </w:pPr>
    <w:rPr>
      <w:sz w:val="18"/>
      <w:szCs w:val="18"/>
    </w:rPr>
  </w:style>
  <w:style w:type="character" w:customStyle="1" w:styleId="af">
    <w:name w:val="页眉 字符"/>
    <w:basedOn w:val="a0"/>
    <w:link w:val="ae"/>
    <w:uiPriority w:val="99"/>
    <w:rsid w:val="00D8516E"/>
    <w:rPr>
      <w:sz w:val="18"/>
      <w:szCs w:val="18"/>
    </w:rPr>
  </w:style>
  <w:style w:type="paragraph" w:styleId="af0">
    <w:name w:val="footer"/>
    <w:basedOn w:val="a"/>
    <w:link w:val="af1"/>
    <w:uiPriority w:val="99"/>
    <w:unhideWhenUsed/>
    <w:rsid w:val="00D8516E"/>
    <w:pPr>
      <w:tabs>
        <w:tab w:val="center" w:pos="4153"/>
        <w:tab w:val="right" w:pos="8306"/>
      </w:tabs>
      <w:snapToGrid w:val="0"/>
      <w:jc w:val="left"/>
    </w:pPr>
    <w:rPr>
      <w:sz w:val="18"/>
      <w:szCs w:val="18"/>
    </w:rPr>
  </w:style>
  <w:style w:type="character" w:customStyle="1" w:styleId="af1">
    <w:name w:val="页脚 字符"/>
    <w:basedOn w:val="a0"/>
    <w:link w:val="af0"/>
    <w:uiPriority w:val="99"/>
    <w:rsid w:val="00D8516E"/>
    <w:rPr>
      <w:sz w:val="18"/>
      <w:szCs w:val="18"/>
    </w:rPr>
  </w:style>
  <w:style w:type="table" w:styleId="af2">
    <w:name w:val="Table Grid"/>
    <w:basedOn w:val="a1"/>
    <w:uiPriority w:val="39"/>
    <w:rsid w:val="00D851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annotation reference"/>
    <w:basedOn w:val="a0"/>
    <w:uiPriority w:val="99"/>
    <w:semiHidden/>
    <w:unhideWhenUsed/>
    <w:rsid w:val="00D8516E"/>
    <w:rPr>
      <w:sz w:val="21"/>
      <w:szCs w:val="21"/>
    </w:rPr>
  </w:style>
  <w:style w:type="paragraph" w:styleId="af4">
    <w:name w:val="annotation text"/>
    <w:basedOn w:val="a"/>
    <w:link w:val="af5"/>
    <w:uiPriority w:val="99"/>
    <w:unhideWhenUsed/>
    <w:qFormat/>
    <w:rsid w:val="00D8516E"/>
    <w:pPr>
      <w:jc w:val="left"/>
    </w:pPr>
  </w:style>
  <w:style w:type="character" w:customStyle="1" w:styleId="af5">
    <w:name w:val="批注文字 字符"/>
    <w:basedOn w:val="a0"/>
    <w:link w:val="af4"/>
    <w:uiPriority w:val="99"/>
    <w:qFormat/>
    <w:rsid w:val="00D8516E"/>
  </w:style>
  <w:style w:type="character" w:styleId="af6">
    <w:name w:val="Hyperlink"/>
    <w:basedOn w:val="a0"/>
    <w:uiPriority w:val="99"/>
    <w:unhideWhenUsed/>
    <w:rsid w:val="00D8516E"/>
    <w:rPr>
      <w:color w:val="467886" w:themeColor="hyperlink"/>
      <w:u w:val="single"/>
    </w:rPr>
  </w:style>
  <w:style w:type="character" w:styleId="af7">
    <w:name w:val="line number"/>
    <w:basedOn w:val="a0"/>
    <w:uiPriority w:val="99"/>
    <w:semiHidden/>
    <w:unhideWhenUsed/>
    <w:rsid w:val="00D8516E"/>
  </w:style>
  <w:style w:type="paragraph" w:styleId="af8">
    <w:name w:val="annotation subject"/>
    <w:basedOn w:val="af4"/>
    <w:next w:val="af4"/>
    <w:link w:val="af9"/>
    <w:uiPriority w:val="99"/>
    <w:semiHidden/>
    <w:unhideWhenUsed/>
    <w:rsid w:val="00D8516E"/>
    <w:rPr>
      <w:b/>
      <w:bCs/>
    </w:rPr>
  </w:style>
  <w:style w:type="character" w:customStyle="1" w:styleId="af9">
    <w:name w:val="批注主题 字符"/>
    <w:basedOn w:val="af5"/>
    <w:link w:val="af8"/>
    <w:uiPriority w:val="99"/>
    <w:semiHidden/>
    <w:rsid w:val="00D8516E"/>
    <w:rPr>
      <w:b/>
      <w:bCs/>
    </w:rPr>
  </w:style>
  <w:style w:type="paragraph" w:customStyle="1" w:styleId="EndNoteBibliographyTitle">
    <w:name w:val="EndNote Bibliography Title"/>
    <w:basedOn w:val="a"/>
    <w:link w:val="EndNoteBibliographyTitle0"/>
    <w:rsid w:val="00D8516E"/>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D8516E"/>
    <w:rPr>
      <w:rFonts w:ascii="等线" w:eastAsia="等线" w:hAnsi="等线"/>
      <w:noProof/>
      <w:sz w:val="20"/>
    </w:rPr>
  </w:style>
  <w:style w:type="paragraph" w:customStyle="1" w:styleId="EndNoteBibliography">
    <w:name w:val="EndNote Bibliography"/>
    <w:basedOn w:val="a"/>
    <w:link w:val="EndNoteBibliography0"/>
    <w:rsid w:val="00D8516E"/>
    <w:rPr>
      <w:rFonts w:ascii="等线" w:eastAsia="等线" w:hAnsi="等线"/>
      <w:noProof/>
      <w:sz w:val="20"/>
    </w:rPr>
  </w:style>
  <w:style w:type="character" w:customStyle="1" w:styleId="EndNoteBibliography0">
    <w:name w:val="EndNote Bibliography 字符"/>
    <w:basedOn w:val="a0"/>
    <w:link w:val="EndNoteBibliography"/>
    <w:rsid w:val="00D8516E"/>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3753</Words>
  <Characters>20606</Characters>
  <Application>Microsoft Office Word</Application>
  <DocSecurity>0</DocSecurity>
  <Lines>468</Lines>
  <Paragraphs>193</Paragraphs>
  <ScaleCrop>false</ScaleCrop>
  <Company/>
  <LinksUpToDate>false</LinksUpToDate>
  <CharactersWithSpaces>24166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平川 马</dc:creator>
  <cp:keywords/>
  <dc:description/>
  <cp:lastModifiedBy>平川 马</cp:lastModifiedBy>
  <cp:revision>6</cp:revision>
  <dcterms:created xsi:type="dcterms:W3CDTF">2026-02-26T16:40:00Z</dcterms:created>
  <dcterms:modified xsi:type="dcterms:W3CDTF">2026-03-01T03:20:00Z</dcterms:modified>
</cp:coreProperties>
</file>