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86C9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Table S</w:t>
      </w:r>
      <w:r>
        <w:rPr>
          <w:rFonts w:hint="eastAsia" w:ascii="Times New Roman" w:hAnsi="Times New Roman" w:eastAsia="宋体" w:cs="Times New Roman"/>
          <w:b/>
          <w:bCs/>
          <w:i w:val="0"/>
          <w:iCs w:val="0"/>
          <w:color w:val="000000"/>
          <w:kern w:val="0"/>
          <w:sz w:val="24"/>
          <w:szCs w:val="24"/>
          <w:u w:val="none"/>
          <w:lang w:val="en-US" w:eastAsia="zh-CN" w:bidi="ar"/>
        </w:rPr>
        <w:t>1</w:t>
      </w:r>
      <w:r>
        <w:rPr>
          <w:rFonts w:hint="default" w:ascii="Times New Roman" w:hAnsi="Times New Roman" w:eastAsia="宋体" w:cs="Times New Roman"/>
          <w:b/>
          <w:bCs/>
          <w:i w:val="0"/>
          <w:iCs w:val="0"/>
          <w:color w:val="000000"/>
          <w:kern w:val="0"/>
          <w:sz w:val="24"/>
          <w:szCs w:val="24"/>
          <w:u w:val="none"/>
          <w:lang w:val="en-US" w:eastAsia="zh-CN" w:bidi="ar"/>
        </w:rPr>
        <w:t>. Stepwise inclusion and exclusion of cases and controls corresponding to Figure 1.</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3096"/>
        <w:gridCol w:w="1212"/>
        <w:gridCol w:w="1534"/>
        <w:gridCol w:w="1926"/>
      </w:tblGrid>
      <w:tr w14:paraId="0AB7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single" w:color="auto" w:sz="12" w:space="0"/>
              <w:left w:val="nil"/>
              <w:bottom w:val="single" w:color="auto" w:sz="4" w:space="0"/>
              <w:right w:val="nil"/>
            </w:tcBorders>
            <w:vAlign w:val="center"/>
          </w:tcPr>
          <w:p w14:paraId="2D797E0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Stage</w:t>
            </w:r>
          </w:p>
        </w:tc>
        <w:tc>
          <w:tcPr>
            <w:tcW w:w="3096" w:type="dxa"/>
            <w:tcBorders>
              <w:top w:val="single" w:color="auto" w:sz="12" w:space="0"/>
              <w:left w:val="nil"/>
              <w:bottom w:val="single" w:color="auto" w:sz="4" w:space="0"/>
              <w:right w:val="nil"/>
            </w:tcBorders>
            <w:vAlign w:val="center"/>
          </w:tcPr>
          <w:p w14:paraId="4B2867A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Eligibility and workflow node</w:t>
            </w:r>
          </w:p>
        </w:tc>
        <w:tc>
          <w:tcPr>
            <w:tcW w:w="1212" w:type="dxa"/>
            <w:tcBorders>
              <w:top w:val="single" w:color="auto" w:sz="12" w:space="0"/>
              <w:left w:val="nil"/>
              <w:bottom w:val="single" w:color="auto" w:sz="4" w:space="0"/>
              <w:right w:val="nil"/>
            </w:tcBorders>
            <w:vAlign w:val="center"/>
          </w:tcPr>
          <w:p w14:paraId="618934C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No. remaining</w:t>
            </w:r>
          </w:p>
        </w:tc>
        <w:tc>
          <w:tcPr>
            <w:tcW w:w="1534" w:type="dxa"/>
            <w:tcBorders>
              <w:top w:val="single" w:color="auto" w:sz="12" w:space="0"/>
              <w:left w:val="nil"/>
              <w:bottom w:val="single" w:color="auto" w:sz="4" w:space="0"/>
              <w:right w:val="nil"/>
            </w:tcBorders>
            <w:vAlign w:val="center"/>
          </w:tcPr>
          <w:p w14:paraId="004052A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No. excluded at this stage</w:t>
            </w:r>
          </w:p>
        </w:tc>
        <w:tc>
          <w:tcPr>
            <w:tcW w:w="1926" w:type="dxa"/>
            <w:tcBorders>
              <w:top w:val="single" w:color="auto" w:sz="12" w:space="0"/>
              <w:left w:val="nil"/>
              <w:bottom w:val="single" w:color="auto" w:sz="4" w:space="0"/>
              <w:right w:val="nil"/>
            </w:tcBorders>
            <w:vAlign w:val="center"/>
          </w:tcPr>
          <w:p w14:paraId="770DC6A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Primary reason(s) for exclusion</w:t>
            </w:r>
          </w:p>
        </w:tc>
      </w:tr>
      <w:tr w14:paraId="15D5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single" w:color="auto" w:sz="4" w:space="0"/>
              <w:left w:val="nil"/>
              <w:bottom w:val="nil"/>
              <w:right w:val="nil"/>
            </w:tcBorders>
            <w:vAlign w:val="center"/>
          </w:tcPr>
          <w:p w14:paraId="6D0956A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w:t>
            </w:r>
          </w:p>
        </w:tc>
        <w:tc>
          <w:tcPr>
            <w:tcW w:w="3096" w:type="dxa"/>
            <w:tcBorders>
              <w:top w:val="single" w:color="auto" w:sz="4" w:space="0"/>
              <w:left w:val="nil"/>
              <w:bottom w:val="nil"/>
              <w:right w:val="nil"/>
            </w:tcBorders>
            <w:vAlign w:val="center"/>
          </w:tcPr>
          <w:p w14:paraId="15831CB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Hospitalised adults with diabetes identified from EHR over the study period</w:t>
            </w:r>
          </w:p>
        </w:tc>
        <w:tc>
          <w:tcPr>
            <w:tcW w:w="1212" w:type="dxa"/>
            <w:tcBorders>
              <w:top w:val="single" w:color="auto" w:sz="4" w:space="0"/>
              <w:left w:val="nil"/>
              <w:bottom w:val="nil"/>
              <w:right w:val="nil"/>
            </w:tcBorders>
            <w:vAlign w:val="center"/>
          </w:tcPr>
          <w:p w14:paraId="46A6210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20,684</w:t>
            </w:r>
          </w:p>
        </w:tc>
        <w:tc>
          <w:tcPr>
            <w:tcW w:w="1534" w:type="dxa"/>
            <w:tcBorders>
              <w:top w:val="single" w:color="auto" w:sz="4" w:space="0"/>
              <w:left w:val="nil"/>
              <w:bottom w:val="nil"/>
              <w:right w:val="nil"/>
            </w:tcBorders>
            <w:vAlign w:val="center"/>
          </w:tcPr>
          <w:p w14:paraId="12F7BAF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926" w:type="dxa"/>
            <w:tcBorders>
              <w:top w:val="single" w:color="auto" w:sz="4" w:space="0"/>
              <w:left w:val="nil"/>
              <w:bottom w:val="nil"/>
              <w:right w:val="nil"/>
            </w:tcBorders>
            <w:vAlign w:val="center"/>
          </w:tcPr>
          <w:p w14:paraId="60C78CA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r>
      <w:tr w14:paraId="0AA2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nil"/>
              <w:left w:val="nil"/>
              <w:bottom w:val="nil"/>
              <w:right w:val="nil"/>
            </w:tcBorders>
            <w:vAlign w:val="center"/>
          </w:tcPr>
          <w:p w14:paraId="628BFD4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2</w:t>
            </w:r>
          </w:p>
        </w:tc>
        <w:tc>
          <w:tcPr>
            <w:tcW w:w="3096" w:type="dxa"/>
            <w:tcBorders>
              <w:top w:val="nil"/>
              <w:left w:val="nil"/>
              <w:bottom w:val="nil"/>
              <w:right w:val="nil"/>
            </w:tcBorders>
            <w:vAlign w:val="center"/>
          </w:tcPr>
          <w:p w14:paraId="36EDFF4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After excluding clearly non-eligible encounters per protocol (e.g., benign thyroid nodules, cysts, non-malignant personal history/benign findings)</w:t>
            </w:r>
          </w:p>
        </w:tc>
        <w:tc>
          <w:tcPr>
            <w:tcW w:w="1212" w:type="dxa"/>
            <w:tcBorders>
              <w:top w:val="nil"/>
              <w:left w:val="nil"/>
              <w:bottom w:val="nil"/>
              <w:right w:val="nil"/>
            </w:tcBorders>
            <w:vAlign w:val="center"/>
          </w:tcPr>
          <w:p w14:paraId="476A98F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4,376</w:t>
            </w:r>
          </w:p>
        </w:tc>
        <w:tc>
          <w:tcPr>
            <w:tcW w:w="1534" w:type="dxa"/>
            <w:tcBorders>
              <w:top w:val="nil"/>
              <w:left w:val="nil"/>
              <w:bottom w:val="nil"/>
              <w:right w:val="nil"/>
            </w:tcBorders>
            <w:vAlign w:val="center"/>
          </w:tcPr>
          <w:p w14:paraId="28489A8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16,308</w:t>
            </w:r>
          </w:p>
        </w:tc>
        <w:tc>
          <w:tcPr>
            <w:tcW w:w="1926" w:type="dxa"/>
            <w:tcBorders>
              <w:top w:val="nil"/>
              <w:left w:val="nil"/>
              <w:bottom w:val="nil"/>
              <w:right w:val="nil"/>
            </w:tcBorders>
            <w:vAlign w:val="center"/>
          </w:tcPr>
          <w:p w14:paraId="2A81895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Non-eligible benign conditions and non-target indications</w:t>
            </w:r>
          </w:p>
        </w:tc>
      </w:tr>
      <w:tr w14:paraId="339F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nil"/>
              <w:left w:val="nil"/>
              <w:bottom w:val="nil"/>
              <w:right w:val="nil"/>
            </w:tcBorders>
            <w:vAlign w:val="center"/>
          </w:tcPr>
          <w:p w14:paraId="66B5AED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3</w:t>
            </w:r>
          </w:p>
        </w:tc>
        <w:tc>
          <w:tcPr>
            <w:tcW w:w="3096" w:type="dxa"/>
            <w:tcBorders>
              <w:top w:val="nil"/>
              <w:left w:val="nil"/>
              <w:bottom w:val="nil"/>
              <w:right w:val="nil"/>
            </w:tcBorders>
            <w:vAlign w:val="center"/>
          </w:tcPr>
          <w:p w14:paraId="08E7838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“Clinically suspected malignancy” diabetes admissions entering the diagnostic pathway</w:t>
            </w:r>
          </w:p>
        </w:tc>
        <w:tc>
          <w:tcPr>
            <w:tcW w:w="1212" w:type="dxa"/>
            <w:tcBorders>
              <w:top w:val="nil"/>
              <w:left w:val="nil"/>
              <w:bottom w:val="nil"/>
              <w:right w:val="nil"/>
            </w:tcBorders>
            <w:vAlign w:val="center"/>
          </w:tcPr>
          <w:p w14:paraId="7E61807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4,376</w:t>
            </w:r>
          </w:p>
        </w:tc>
        <w:tc>
          <w:tcPr>
            <w:tcW w:w="1534" w:type="dxa"/>
            <w:tcBorders>
              <w:top w:val="nil"/>
              <w:left w:val="nil"/>
              <w:bottom w:val="nil"/>
              <w:right w:val="nil"/>
            </w:tcBorders>
            <w:vAlign w:val="center"/>
          </w:tcPr>
          <w:p w14:paraId="16D4F9F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w:t>
            </w:r>
          </w:p>
        </w:tc>
        <w:tc>
          <w:tcPr>
            <w:tcW w:w="1926" w:type="dxa"/>
            <w:tcBorders>
              <w:top w:val="nil"/>
              <w:left w:val="nil"/>
              <w:bottom w:val="nil"/>
              <w:right w:val="nil"/>
            </w:tcBorders>
            <w:vAlign w:val="center"/>
          </w:tcPr>
          <w:p w14:paraId="6632C01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r>
      <w:tr w14:paraId="5E23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nil"/>
              <w:left w:val="nil"/>
              <w:bottom w:val="nil"/>
              <w:right w:val="nil"/>
            </w:tcBorders>
            <w:vAlign w:val="center"/>
          </w:tcPr>
          <w:p w14:paraId="006D4F4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4</w:t>
            </w:r>
          </w:p>
        </w:tc>
        <w:tc>
          <w:tcPr>
            <w:tcW w:w="3096" w:type="dxa"/>
            <w:tcBorders>
              <w:top w:val="nil"/>
              <w:left w:val="nil"/>
              <w:bottom w:val="nil"/>
              <w:right w:val="nil"/>
            </w:tcBorders>
            <w:vAlign w:val="center"/>
          </w:tcPr>
          <w:p w14:paraId="36EB070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Histopathology-confirmed malignancy among suspected cases</w:t>
            </w:r>
          </w:p>
        </w:tc>
        <w:tc>
          <w:tcPr>
            <w:tcW w:w="1212" w:type="dxa"/>
            <w:tcBorders>
              <w:top w:val="nil"/>
              <w:left w:val="nil"/>
              <w:bottom w:val="nil"/>
              <w:right w:val="nil"/>
            </w:tcBorders>
            <w:vAlign w:val="center"/>
          </w:tcPr>
          <w:p w14:paraId="0624C6F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512</w:t>
            </w:r>
          </w:p>
        </w:tc>
        <w:tc>
          <w:tcPr>
            <w:tcW w:w="1534" w:type="dxa"/>
            <w:tcBorders>
              <w:top w:val="nil"/>
              <w:left w:val="nil"/>
              <w:bottom w:val="nil"/>
              <w:right w:val="nil"/>
            </w:tcBorders>
            <w:vAlign w:val="center"/>
          </w:tcPr>
          <w:p w14:paraId="53107BB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3,864</w:t>
            </w:r>
          </w:p>
        </w:tc>
        <w:tc>
          <w:tcPr>
            <w:tcW w:w="1926" w:type="dxa"/>
            <w:tcBorders>
              <w:top w:val="nil"/>
              <w:left w:val="nil"/>
              <w:bottom w:val="nil"/>
              <w:right w:val="nil"/>
            </w:tcBorders>
            <w:vAlign w:val="center"/>
          </w:tcPr>
          <w:p w14:paraId="0485FC2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No histopathological confirmation / negative or benign pathology</w:t>
            </w:r>
          </w:p>
        </w:tc>
      </w:tr>
      <w:tr w14:paraId="08F4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nil"/>
              <w:left w:val="nil"/>
              <w:bottom w:val="nil"/>
              <w:right w:val="nil"/>
            </w:tcBorders>
            <w:vAlign w:val="center"/>
          </w:tcPr>
          <w:p w14:paraId="276C9EA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5</w:t>
            </w:r>
          </w:p>
        </w:tc>
        <w:tc>
          <w:tcPr>
            <w:tcW w:w="3096" w:type="dxa"/>
            <w:tcBorders>
              <w:top w:val="nil"/>
              <w:left w:val="nil"/>
              <w:bottom w:val="nil"/>
              <w:right w:val="nil"/>
            </w:tcBorders>
            <w:vAlign w:val="center"/>
          </w:tcPr>
          <w:p w14:paraId="5B0159C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Eligible malignant cases meeting the study case definition (incident, asymptomatic detection during index admission)</w:t>
            </w:r>
          </w:p>
        </w:tc>
        <w:tc>
          <w:tcPr>
            <w:tcW w:w="1212" w:type="dxa"/>
            <w:tcBorders>
              <w:top w:val="nil"/>
              <w:left w:val="nil"/>
              <w:bottom w:val="nil"/>
              <w:right w:val="nil"/>
            </w:tcBorders>
            <w:vAlign w:val="center"/>
          </w:tcPr>
          <w:p w14:paraId="27A0BEB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160</w:t>
            </w:r>
          </w:p>
        </w:tc>
        <w:tc>
          <w:tcPr>
            <w:tcW w:w="1534" w:type="dxa"/>
            <w:tcBorders>
              <w:top w:val="nil"/>
              <w:left w:val="nil"/>
              <w:bottom w:val="nil"/>
              <w:right w:val="nil"/>
            </w:tcBorders>
            <w:vAlign w:val="center"/>
          </w:tcPr>
          <w:p w14:paraId="4019AF4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352</w:t>
            </w:r>
          </w:p>
        </w:tc>
        <w:tc>
          <w:tcPr>
            <w:tcW w:w="1926" w:type="dxa"/>
            <w:tcBorders>
              <w:top w:val="nil"/>
              <w:left w:val="nil"/>
              <w:bottom w:val="nil"/>
              <w:right w:val="nil"/>
            </w:tcBorders>
            <w:vAlign w:val="center"/>
          </w:tcPr>
          <w:p w14:paraId="69799BC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Not incident within index admission and/or symptomatic presentation and/or did not meet case definition</w:t>
            </w:r>
          </w:p>
        </w:tc>
      </w:tr>
      <w:tr w14:paraId="0CE3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nil"/>
              <w:left w:val="nil"/>
              <w:bottom w:val="nil"/>
              <w:right w:val="nil"/>
            </w:tcBorders>
            <w:vAlign w:val="center"/>
          </w:tcPr>
          <w:p w14:paraId="702AE6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6</w:t>
            </w:r>
          </w:p>
        </w:tc>
        <w:tc>
          <w:tcPr>
            <w:tcW w:w="3096" w:type="dxa"/>
            <w:tcBorders>
              <w:top w:val="nil"/>
              <w:left w:val="nil"/>
              <w:bottom w:val="nil"/>
              <w:right w:val="nil"/>
            </w:tcBorders>
            <w:vAlign w:val="center"/>
          </w:tcPr>
          <w:p w14:paraId="22B41A2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After excluding missing key predictors required for modelling</w:t>
            </w:r>
          </w:p>
        </w:tc>
        <w:tc>
          <w:tcPr>
            <w:tcW w:w="1212" w:type="dxa"/>
            <w:tcBorders>
              <w:top w:val="nil"/>
              <w:left w:val="nil"/>
              <w:bottom w:val="nil"/>
              <w:right w:val="nil"/>
            </w:tcBorders>
            <w:vAlign w:val="center"/>
          </w:tcPr>
          <w:p w14:paraId="476BBA5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140</w:t>
            </w:r>
          </w:p>
        </w:tc>
        <w:tc>
          <w:tcPr>
            <w:tcW w:w="1534" w:type="dxa"/>
            <w:tcBorders>
              <w:top w:val="nil"/>
              <w:left w:val="nil"/>
              <w:bottom w:val="nil"/>
              <w:right w:val="nil"/>
            </w:tcBorders>
            <w:vAlign w:val="center"/>
          </w:tcPr>
          <w:p w14:paraId="0EB8F2C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20</w:t>
            </w:r>
          </w:p>
        </w:tc>
        <w:tc>
          <w:tcPr>
            <w:tcW w:w="1926" w:type="dxa"/>
            <w:tcBorders>
              <w:top w:val="nil"/>
              <w:left w:val="nil"/>
              <w:bottom w:val="nil"/>
              <w:right w:val="nil"/>
            </w:tcBorders>
            <w:vAlign w:val="center"/>
          </w:tcPr>
          <w:p w14:paraId="416451C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Missing key clinical/metabolic and/or tumour-marker variables</w:t>
            </w:r>
          </w:p>
        </w:tc>
      </w:tr>
      <w:tr w14:paraId="543A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nil"/>
              <w:left w:val="nil"/>
              <w:bottom w:val="nil"/>
              <w:right w:val="nil"/>
            </w:tcBorders>
            <w:vAlign w:val="center"/>
          </w:tcPr>
          <w:p w14:paraId="22B4A8E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7</w:t>
            </w:r>
          </w:p>
        </w:tc>
        <w:tc>
          <w:tcPr>
            <w:tcW w:w="3096" w:type="dxa"/>
            <w:tcBorders>
              <w:top w:val="nil"/>
              <w:left w:val="nil"/>
              <w:bottom w:val="nil"/>
              <w:right w:val="nil"/>
            </w:tcBorders>
            <w:vAlign w:val="center"/>
          </w:tcPr>
          <w:p w14:paraId="26DA60B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Control pool: hospitalised adults with diabetes without malignancy during index admission</w:t>
            </w:r>
          </w:p>
        </w:tc>
        <w:tc>
          <w:tcPr>
            <w:tcW w:w="1212" w:type="dxa"/>
            <w:tcBorders>
              <w:top w:val="nil"/>
              <w:left w:val="nil"/>
              <w:bottom w:val="nil"/>
              <w:right w:val="nil"/>
            </w:tcBorders>
            <w:vAlign w:val="center"/>
          </w:tcPr>
          <w:p w14:paraId="737AF46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20,524</w:t>
            </w:r>
          </w:p>
        </w:tc>
        <w:tc>
          <w:tcPr>
            <w:tcW w:w="1534" w:type="dxa"/>
            <w:tcBorders>
              <w:top w:val="nil"/>
              <w:left w:val="nil"/>
              <w:bottom w:val="nil"/>
              <w:right w:val="nil"/>
            </w:tcBorders>
            <w:vAlign w:val="center"/>
          </w:tcPr>
          <w:p w14:paraId="4B29AE7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926" w:type="dxa"/>
            <w:tcBorders>
              <w:top w:val="nil"/>
              <w:left w:val="nil"/>
              <w:bottom w:val="nil"/>
              <w:right w:val="nil"/>
            </w:tcBorders>
            <w:vAlign w:val="center"/>
          </w:tcPr>
          <w:p w14:paraId="6D85675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No malignancy during index admission</w:t>
            </w:r>
          </w:p>
        </w:tc>
      </w:tr>
      <w:tr w14:paraId="491B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nil"/>
              <w:left w:val="nil"/>
              <w:bottom w:val="nil"/>
              <w:right w:val="nil"/>
            </w:tcBorders>
            <w:vAlign w:val="center"/>
          </w:tcPr>
          <w:p w14:paraId="6FBBFAC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8</w:t>
            </w:r>
          </w:p>
        </w:tc>
        <w:tc>
          <w:tcPr>
            <w:tcW w:w="3096" w:type="dxa"/>
            <w:tcBorders>
              <w:top w:val="nil"/>
              <w:left w:val="nil"/>
              <w:bottom w:val="nil"/>
              <w:right w:val="nil"/>
            </w:tcBorders>
            <w:vAlign w:val="center"/>
          </w:tcPr>
          <w:p w14:paraId="66A72FB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Controls selected by matching on age and diabetes duration (SMD &lt; 0.1 for matching factors)</w:t>
            </w:r>
          </w:p>
        </w:tc>
        <w:tc>
          <w:tcPr>
            <w:tcW w:w="1212" w:type="dxa"/>
            <w:tcBorders>
              <w:top w:val="nil"/>
              <w:left w:val="nil"/>
              <w:bottom w:val="nil"/>
              <w:right w:val="nil"/>
            </w:tcBorders>
            <w:vAlign w:val="center"/>
          </w:tcPr>
          <w:p w14:paraId="68119A9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141</w:t>
            </w:r>
          </w:p>
        </w:tc>
        <w:tc>
          <w:tcPr>
            <w:tcW w:w="1534" w:type="dxa"/>
            <w:tcBorders>
              <w:top w:val="nil"/>
              <w:left w:val="nil"/>
              <w:bottom w:val="nil"/>
              <w:right w:val="nil"/>
            </w:tcBorders>
            <w:vAlign w:val="center"/>
          </w:tcPr>
          <w:p w14:paraId="260BACE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20,383</w:t>
            </w:r>
          </w:p>
        </w:tc>
        <w:tc>
          <w:tcPr>
            <w:tcW w:w="1926" w:type="dxa"/>
            <w:tcBorders>
              <w:top w:val="nil"/>
              <w:left w:val="nil"/>
              <w:bottom w:val="nil"/>
              <w:right w:val="nil"/>
            </w:tcBorders>
            <w:vAlign w:val="center"/>
          </w:tcPr>
          <w:p w14:paraId="12D04D8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Not selected by matching algorithm / ineligible for matching constraints</w:t>
            </w:r>
          </w:p>
        </w:tc>
      </w:tr>
      <w:tr w14:paraId="1212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4" w:type="dxa"/>
            <w:tcBorders>
              <w:top w:val="nil"/>
              <w:left w:val="nil"/>
              <w:bottom w:val="single" w:color="auto" w:sz="12" w:space="0"/>
              <w:right w:val="nil"/>
            </w:tcBorders>
            <w:vAlign w:val="center"/>
          </w:tcPr>
          <w:p w14:paraId="66DEFEF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9</w:t>
            </w:r>
          </w:p>
        </w:tc>
        <w:tc>
          <w:tcPr>
            <w:tcW w:w="3096" w:type="dxa"/>
            <w:tcBorders>
              <w:top w:val="nil"/>
              <w:left w:val="nil"/>
              <w:bottom w:val="single" w:color="auto" w:sz="12" w:space="0"/>
              <w:right w:val="nil"/>
            </w:tcBorders>
            <w:vAlign w:val="center"/>
          </w:tcPr>
          <w:p w14:paraId="58396A6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Final matched analytic cohort</w:t>
            </w:r>
          </w:p>
        </w:tc>
        <w:tc>
          <w:tcPr>
            <w:tcW w:w="1212" w:type="dxa"/>
            <w:tcBorders>
              <w:top w:val="nil"/>
              <w:left w:val="nil"/>
              <w:bottom w:val="single" w:color="auto" w:sz="12" w:space="0"/>
              <w:right w:val="nil"/>
            </w:tcBorders>
            <w:vAlign w:val="center"/>
          </w:tcPr>
          <w:p w14:paraId="0B9F99E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281</w:t>
            </w:r>
          </w:p>
        </w:tc>
        <w:tc>
          <w:tcPr>
            <w:tcW w:w="1534" w:type="dxa"/>
            <w:tcBorders>
              <w:top w:val="nil"/>
              <w:left w:val="nil"/>
              <w:bottom w:val="single" w:color="auto" w:sz="12" w:space="0"/>
              <w:right w:val="nil"/>
            </w:tcBorders>
            <w:vAlign w:val="center"/>
          </w:tcPr>
          <w:p w14:paraId="299EC02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926" w:type="dxa"/>
            <w:tcBorders>
              <w:top w:val="nil"/>
              <w:left w:val="nil"/>
              <w:bottom w:val="single" w:color="auto" w:sz="12" w:space="0"/>
              <w:right w:val="nil"/>
            </w:tcBorders>
            <w:vAlign w:val="center"/>
          </w:tcPr>
          <w:p w14:paraId="6A96FBF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140 cases + 141 controls</w:t>
            </w:r>
          </w:p>
        </w:tc>
      </w:tr>
    </w:tbl>
    <w:p w14:paraId="7C7E13EB">
      <w:pPr>
        <w:rPr>
          <w:rFonts w:hint="default" w:ascii="Times New Roman" w:hAnsi="Times New Roman" w:cs="Times New Roman"/>
          <w:lang w:val="en-US" w:eastAsia="zh-CN"/>
        </w:rPr>
      </w:pPr>
      <w:r>
        <w:rPr>
          <w:rFonts w:hint="default" w:ascii="Times New Roman" w:hAnsi="Times New Roman" w:eastAsia="宋体" w:cs="Times New Roman"/>
          <w:b/>
          <w:bCs/>
          <w:i w:val="0"/>
          <w:iCs w:val="0"/>
          <w:color w:val="000000"/>
          <w:kern w:val="0"/>
          <w:sz w:val="22"/>
          <w:szCs w:val="22"/>
          <w:u w:val="none"/>
          <w:lang w:val="en-US" w:eastAsia="zh-CN" w:bidi="ar"/>
        </w:rPr>
        <w:t>Table S</w:t>
      </w:r>
      <w:r>
        <w:rPr>
          <w:rFonts w:hint="eastAsia" w:ascii="Times New Roman" w:hAnsi="Times New Roman" w:eastAsia="宋体" w:cs="Times New Roman"/>
          <w:b/>
          <w:bCs/>
          <w:i w:val="0"/>
          <w:iCs w:val="0"/>
          <w:color w:val="000000"/>
          <w:kern w:val="0"/>
          <w:sz w:val="22"/>
          <w:szCs w:val="22"/>
          <w:u w:val="none"/>
          <w:lang w:val="en-US" w:eastAsia="zh-CN" w:bidi="ar"/>
        </w:rPr>
        <w:t>1</w:t>
      </w:r>
      <w:r>
        <w:rPr>
          <w:rFonts w:hint="default" w:ascii="Times New Roman" w:hAnsi="Times New Roman" w:eastAsia="宋体" w:cs="Times New Roman"/>
          <w:b/>
          <w:bCs/>
          <w:i w:val="0"/>
          <w:iCs w:val="0"/>
          <w:color w:val="000000"/>
          <w:kern w:val="0"/>
          <w:sz w:val="22"/>
          <w:szCs w:val="22"/>
          <w:u w:val="none"/>
          <w:lang w:val="en-US" w:eastAsia="zh-CN" w:bidi="ar"/>
        </w:rPr>
        <w:t xml:space="preserve">. </w:t>
      </w:r>
      <w:r>
        <w:rPr>
          <w:rFonts w:hint="default" w:ascii="Times New Roman" w:hAnsi="Times New Roman" w:cs="Times New Roman"/>
          <w:lang w:val="en-US" w:eastAsia="zh-CN"/>
        </w:rPr>
        <w:t>Patient counts at each stage of cohort assembly and exclusion.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This table summarises the sequential inclusion and exclusion of hospitalised adults with diabetes, reporting the number of patients remaining and excluded at each stage of cohort construction, from the initial EHR-identified population to the final matched analytic cohort of cases and controls.</w:t>
      </w:r>
    </w:p>
    <w:p w14:paraId="25E7BB5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 xml:space="preserve">Table S2. </w:t>
      </w:r>
      <w:r>
        <w:rPr>
          <w:rFonts w:hint="default" w:ascii="Times New Roman" w:hAnsi="Times New Roman" w:eastAsia="宋体" w:cs="Times New Roman"/>
          <w:b/>
          <w:bCs/>
          <w:i w:val="0"/>
          <w:iCs w:val="0"/>
          <w:color w:val="000000"/>
          <w:kern w:val="0"/>
          <w:sz w:val="24"/>
          <w:szCs w:val="24"/>
          <w:u w:val="none"/>
          <w:lang w:val="en-US" w:eastAsia="zh-CN" w:bidi="ar"/>
        </w:rPr>
        <w:t>Post-matching balance assessed using standardised mean differences</w:t>
      </w:r>
    </w:p>
    <w:tbl>
      <w:tblPr>
        <w:tblStyle w:val="3"/>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3252"/>
        <w:gridCol w:w="2002"/>
        <w:gridCol w:w="2216"/>
        <w:gridCol w:w="961"/>
      </w:tblGrid>
      <w:tr w14:paraId="7F75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3252" w:type="dxa"/>
            <w:tcBorders>
              <w:top w:val="single" w:color="auto" w:sz="4" w:space="0"/>
              <w:left w:val="nil"/>
              <w:bottom w:val="single" w:color="auto" w:sz="4" w:space="0"/>
              <w:right w:val="nil"/>
            </w:tcBorders>
            <w:vAlign w:val="center"/>
          </w:tcPr>
          <w:p w14:paraId="2ABC766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Variable</w:t>
            </w:r>
          </w:p>
        </w:tc>
        <w:tc>
          <w:tcPr>
            <w:tcW w:w="2002" w:type="dxa"/>
            <w:tcBorders>
              <w:top w:val="single" w:color="auto" w:sz="4" w:space="0"/>
              <w:left w:val="nil"/>
              <w:bottom w:val="single" w:color="auto" w:sz="4" w:space="0"/>
              <w:right w:val="nil"/>
            </w:tcBorders>
            <w:vAlign w:val="center"/>
          </w:tcPr>
          <w:p w14:paraId="57A94E1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Cases (n=140)</w:t>
            </w:r>
          </w:p>
        </w:tc>
        <w:tc>
          <w:tcPr>
            <w:tcW w:w="2216" w:type="dxa"/>
            <w:tcBorders>
              <w:top w:val="single" w:color="auto" w:sz="4" w:space="0"/>
              <w:left w:val="nil"/>
              <w:bottom w:val="single" w:color="auto" w:sz="4" w:space="0"/>
              <w:right w:val="nil"/>
            </w:tcBorders>
            <w:vAlign w:val="center"/>
          </w:tcPr>
          <w:p w14:paraId="1E0068E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Controls (n=141)</w:t>
            </w:r>
          </w:p>
        </w:tc>
        <w:tc>
          <w:tcPr>
            <w:tcW w:w="961" w:type="dxa"/>
            <w:tcBorders>
              <w:top w:val="single" w:color="auto" w:sz="4" w:space="0"/>
              <w:left w:val="nil"/>
              <w:bottom w:val="single" w:color="auto" w:sz="4" w:space="0"/>
              <w:right w:val="nil"/>
            </w:tcBorders>
            <w:vAlign w:val="center"/>
          </w:tcPr>
          <w:p w14:paraId="44F01BC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SMD</w:t>
            </w:r>
          </w:p>
        </w:tc>
      </w:tr>
      <w:tr w14:paraId="3D8A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2" w:type="dxa"/>
            <w:tcBorders>
              <w:top w:val="single" w:color="auto" w:sz="4" w:space="0"/>
              <w:left w:val="nil"/>
              <w:bottom w:val="nil"/>
              <w:right w:val="nil"/>
            </w:tcBorders>
            <w:vAlign w:val="center"/>
          </w:tcPr>
          <w:p w14:paraId="297A65C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Age (years)</w:t>
            </w:r>
          </w:p>
        </w:tc>
        <w:tc>
          <w:tcPr>
            <w:tcW w:w="2002" w:type="dxa"/>
            <w:tcBorders>
              <w:top w:val="single" w:color="auto" w:sz="4" w:space="0"/>
              <w:left w:val="nil"/>
              <w:bottom w:val="nil"/>
              <w:right w:val="nil"/>
            </w:tcBorders>
            <w:vAlign w:val="center"/>
          </w:tcPr>
          <w:p w14:paraId="53AEE15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67.63 ± 8.53</w:t>
            </w:r>
          </w:p>
        </w:tc>
        <w:tc>
          <w:tcPr>
            <w:tcW w:w="2216" w:type="dxa"/>
            <w:tcBorders>
              <w:top w:val="single" w:color="auto" w:sz="4" w:space="0"/>
              <w:left w:val="nil"/>
              <w:bottom w:val="nil"/>
              <w:right w:val="nil"/>
            </w:tcBorders>
            <w:vAlign w:val="center"/>
          </w:tcPr>
          <w:p w14:paraId="556666E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67.26 ± 8.81</w:t>
            </w:r>
          </w:p>
        </w:tc>
        <w:tc>
          <w:tcPr>
            <w:tcW w:w="961" w:type="dxa"/>
            <w:tcBorders>
              <w:top w:val="single" w:color="auto" w:sz="4" w:space="0"/>
              <w:left w:val="nil"/>
              <w:bottom w:val="nil"/>
              <w:right w:val="nil"/>
            </w:tcBorders>
            <w:vAlign w:val="center"/>
          </w:tcPr>
          <w:p w14:paraId="5A10652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0.043</w:t>
            </w:r>
          </w:p>
        </w:tc>
      </w:tr>
      <w:tr w14:paraId="32B6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2" w:type="dxa"/>
            <w:tcBorders>
              <w:top w:val="nil"/>
              <w:left w:val="nil"/>
              <w:bottom w:val="nil"/>
              <w:right w:val="nil"/>
            </w:tcBorders>
            <w:vAlign w:val="center"/>
          </w:tcPr>
          <w:p w14:paraId="4251FCD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Diabetes duration (years)</w:t>
            </w:r>
          </w:p>
        </w:tc>
        <w:tc>
          <w:tcPr>
            <w:tcW w:w="2002" w:type="dxa"/>
            <w:tcBorders>
              <w:top w:val="nil"/>
              <w:left w:val="nil"/>
              <w:bottom w:val="nil"/>
              <w:right w:val="nil"/>
            </w:tcBorders>
            <w:vAlign w:val="center"/>
          </w:tcPr>
          <w:p w14:paraId="1974D70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10.61 ± 8.95</w:t>
            </w:r>
          </w:p>
        </w:tc>
        <w:tc>
          <w:tcPr>
            <w:tcW w:w="2216" w:type="dxa"/>
            <w:tcBorders>
              <w:top w:val="nil"/>
              <w:left w:val="nil"/>
              <w:bottom w:val="nil"/>
              <w:right w:val="nil"/>
            </w:tcBorders>
            <w:vAlign w:val="center"/>
          </w:tcPr>
          <w:p w14:paraId="0AD1227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11.06 ± 9.52</w:t>
            </w:r>
          </w:p>
        </w:tc>
        <w:tc>
          <w:tcPr>
            <w:tcW w:w="961" w:type="dxa"/>
            <w:tcBorders>
              <w:top w:val="nil"/>
              <w:left w:val="nil"/>
              <w:bottom w:val="nil"/>
              <w:right w:val="nil"/>
            </w:tcBorders>
            <w:vAlign w:val="center"/>
          </w:tcPr>
          <w:p w14:paraId="2E1231C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-0.049</w:t>
            </w:r>
          </w:p>
        </w:tc>
      </w:tr>
      <w:tr w14:paraId="6F86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252" w:type="dxa"/>
            <w:tcBorders>
              <w:top w:val="nil"/>
              <w:left w:val="nil"/>
              <w:bottom w:val="single" w:color="auto" w:sz="4" w:space="0"/>
              <w:right w:val="nil"/>
            </w:tcBorders>
            <w:vAlign w:val="center"/>
          </w:tcPr>
          <w:p w14:paraId="70C5EF8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Sex, male</w:t>
            </w:r>
          </w:p>
        </w:tc>
        <w:tc>
          <w:tcPr>
            <w:tcW w:w="2002" w:type="dxa"/>
            <w:tcBorders>
              <w:top w:val="nil"/>
              <w:left w:val="nil"/>
              <w:bottom w:val="single" w:color="auto" w:sz="4" w:space="0"/>
              <w:right w:val="nil"/>
            </w:tcBorders>
            <w:vAlign w:val="center"/>
          </w:tcPr>
          <w:p w14:paraId="268AF9D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99 (70.71)</w:t>
            </w:r>
          </w:p>
        </w:tc>
        <w:tc>
          <w:tcPr>
            <w:tcW w:w="2216" w:type="dxa"/>
            <w:tcBorders>
              <w:top w:val="nil"/>
              <w:left w:val="nil"/>
              <w:bottom w:val="single" w:color="auto" w:sz="4" w:space="0"/>
              <w:right w:val="nil"/>
            </w:tcBorders>
            <w:vAlign w:val="center"/>
          </w:tcPr>
          <w:p w14:paraId="4A1E606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101 (71.63)</w:t>
            </w:r>
          </w:p>
        </w:tc>
        <w:tc>
          <w:tcPr>
            <w:tcW w:w="961" w:type="dxa"/>
            <w:tcBorders>
              <w:top w:val="nil"/>
              <w:left w:val="nil"/>
              <w:bottom w:val="single" w:color="auto" w:sz="4" w:space="0"/>
              <w:right w:val="nil"/>
            </w:tcBorders>
            <w:vAlign w:val="center"/>
          </w:tcPr>
          <w:p w14:paraId="1E4EBD4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-0.020</w:t>
            </w:r>
          </w:p>
        </w:tc>
      </w:tr>
    </w:tbl>
    <w:p w14:paraId="79BE18DE">
      <w:pPr>
        <w:spacing w:after="0" w:line="240" w:lineRule="auto"/>
        <w:rPr>
          <w:rFonts w:hint="default" w:ascii="Times New Roman" w:hAnsi="Times New Roman" w:cs="Times New Roman"/>
          <w:lang w:val="en-US" w:eastAsia="zh-CN"/>
        </w:rPr>
      </w:pPr>
      <w:r>
        <w:rPr>
          <w:rFonts w:hint="default" w:ascii="Times New Roman" w:hAnsi="Times New Roman" w:cs="Times New Roman"/>
          <w:b/>
          <w:bCs/>
          <w:lang w:val="en-US" w:eastAsia="zh-CN"/>
        </w:rPr>
        <w:t>Table S2.</w:t>
      </w:r>
      <w:r>
        <w:rPr>
          <w:rFonts w:hint="default" w:ascii="Times New Roman" w:hAnsi="Times New Roman" w:cs="Times New Roman"/>
          <w:lang w:val="en-US" w:eastAsia="zh-CN"/>
        </w:rPr>
        <w:t xml:space="preserve"> Standardised mean differences for covariate balance after frequency matching.</w:t>
      </w:r>
    </w:p>
    <w:p w14:paraId="1399B3C2">
      <w:pPr>
        <w:spacing w:after="0"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Values are mean ± SD for continuous variables and n (%) for categorical variables. Standardised mean differences (SMDs) are reported for each covariate; absolute SMD values &lt;0.1 were considered indicative of adequate between-group balance.</w:t>
      </w:r>
    </w:p>
    <w:p w14:paraId="33276D3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both"/>
        <w:textAlignment w:val="center"/>
        <w:rPr>
          <w:rFonts w:hint="default" w:ascii="Times New Roman" w:hAnsi="Times New Roman" w:eastAsia="宋体" w:cs="Times New Roman"/>
          <w:b/>
          <w:bCs/>
          <w:i w:val="0"/>
          <w:iCs w:val="0"/>
          <w:color w:val="000000"/>
          <w:kern w:val="0"/>
          <w:sz w:val="24"/>
          <w:szCs w:val="24"/>
          <w:u w:val="none"/>
          <w:lang w:val="en-US" w:eastAsia="zh-CN" w:bidi="ar"/>
        </w:rPr>
      </w:pPr>
    </w:p>
    <w:p w14:paraId="21C916A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eastAsia"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Table S</w:t>
      </w:r>
      <w:r>
        <w:rPr>
          <w:rFonts w:hint="eastAsia" w:ascii="Times New Roman" w:hAnsi="Times New Roman" w:eastAsia="宋体" w:cs="Times New Roman"/>
          <w:b/>
          <w:bCs/>
          <w:i w:val="0"/>
          <w:iCs w:val="0"/>
          <w:color w:val="000000"/>
          <w:kern w:val="0"/>
          <w:sz w:val="24"/>
          <w:szCs w:val="24"/>
          <w:u w:val="none"/>
          <w:lang w:val="en-US" w:eastAsia="zh-CN" w:bidi="ar"/>
        </w:rPr>
        <w:t>3</w:t>
      </w:r>
      <w:r>
        <w:rPr>
          <w:rFonts w:hint="default" w:ascii="Times New Roman" w:hAnsi="Times New Roman" w:eastAsia="宋体" w:cs="Times New Roman"/>
          <w:b/>
          <w:bCs/>
          <w:i w:val="0"/>
          <w:iCs w:val="0"/>
          <w:color w:val="000000"/>
          <w:kern w:val="0"/>
          <w:sz w:val="24"/>
          <w:szCs w:val="24"/>
          <w:u w:val="none"/>
          <w:lang w:val="en-US" w:eastAsia="zh-CN" w:bidi="ar"/>
        </w:rPr>
        <w:t xml:space="preserve">. Multicollinearity assessment for predictors in Model </w:t>
      </w:r>
      <w:r>
        <w:rPr>
          <w:rFonts w:hint="eastAsia" w:ascii="Times New Roman" w:hAnsi="Times New Roman" w:eastAsia="宋体" w:cs="Times New Roman"/>
          <w:b/>
          <w:bCs/>
          <w:i w:val="0"/>
          <w:iCs w:val="0"/>
          <w:color w:val="000000"/>
          <w:kern w:val="0"/>
          <w:sz w:val="24"/>
          <w:szCs w:val="24"/>
          <w:u w:val="none"/>
          <w:lang w:val="en-US" w:eastAsia="zh-CN" w:bidi="ar"/>
        </w:rPr>
        <w:t>A</w:t>
      </w:r>
      <w:r>
        <w:rPr>
          <w:rFonts w:hint="default" w:ascii="Times New Roman" w:hAnsi="Times New Roman" w:eastAsia="宋体" w:cs="Times New Roman"/>
          <w:b/>
          <w:bCs/>
          <w:i w:val="0"/>
          <w:iCs w:val="0"/>
          <w:color w:val="000000"/>
          <w:kern w:val="0"/>
          <w:sz w:val="24"/>
          <w:szCs w:val="24"/>
          <w:u w:val="none"/>
          <w:lang w:val="en-US" w:eastAsia="zh-CN" w:bidi="ar"/>
        </w:rPr>
        <w:t xml:space="preserve"> and Model </w:t>
      </w:r>
      <w:r>
        <w:rPr>
          <w:rFonts w:hint="eastAsia" w:ascii="Times New Roman" w:hAnsi="Times New Roman" w:eastAsia="宋体" w:cs="Times New Roman"/>
          <w:b/>
          <w:bCs/>
          <w:i w:val="0"/>
          <w:iCs w:val="0"/>
          <w:color w:val="000000"/>
          <w:kern w:val="0"/>
          <w:sz w:val="24"/>
          <w:szCs w:val="24"/>
          <w:u w:val="none"/>
          <w:lang w:val="en-US" w:eastAsia="zh-CN" w:bidi="ar"/>
        </w:rPr>
        <w:t>B</w:t>
      </w:r>
    </w:p>
    <w:tbl>
      <w:tblPr>
        <w:tblStyle w:val="3"/>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1518"/>
        <w:gridCol w:w="2057"/>
        <w:gridCol w:w="1443"/>
        <w:gridCol w:w="1966"/>
        <w:gridCol w:w="1450"/>
      </w:tblGrid>
      <w:tr w14:paraId="2300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1518" w:type="dxa"/>
            <w:tcBorders>
              <w:top w:val="single" w:color="auto" w:sz="4" w:space="0"/>
              <w:left w:val="nil"/>
              <w:bottom w:val="single" w:color="auto" w:sz="4" w:space="0"/>
              <w:right w:val="nil"/>
            </w:tcBorders>
            <w:vAlign w:val="center"/>
          </w:tcPr>
          <w:p w14:paraId="2BEDF47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Predictor</w:t>
            </w:r>
          </w:p>
        </w:tc>
        <w:tc>
          <w:tcPr>
            <w:tcW w:w="2057" w:type="dxa"/>
            <w:tcBorders>
              <w:top w:val="single" w:color="auto" w:sz="4" w:space="0"/>
              <w:left w:val="nil"/>
              <w:bottom w:val="single" w:color="auto" w:sz="4" w:space="0"/>
              <w:right w:val="nil"/>
            </w:tcBorders>
            <w:vAlign w:val="center"/>
          </w:tcPr>
          <w:p w14:paraId="5A344AC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Model A Tolerance</w:t>
            </w:r>
          </w:p>
        </w:tc>
        <w:tc>
          <w:tcPr>
            <w:tcW w:w="1443" w:type="dxa"/>
            <w:tcBorders>
              <w:top w:val="single" w:color="auto" w:sz="4" w:space="0"/>
              <w:left w:val="nil"/>
              <w:bottom w:val="single" w:color="auto" w:sz="4" w:space="0"/>
              <w:right w:val="nil"/>
            </w:tcBorders>
            <w:vAlign w:val="center"/>
          </w:tcPr>
          <w:p w14:paraId="7D1B93B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Model A VIF</w:t>
            </w:r>
          </w:p>
        </w:tc>
        <w:tc>
          <w:tcPr>
            <w:tcW w:w="1966" w:type="dxa"/>
            <w:tcBorders>
              <w:top w:val="single" w:color="auto" w:sz="4" w:space="0"/>
              <w:left w:val="nil"/>
              <w:bottom w:val="single" w:color="auto" w:sz="4" w:space="0"/>
              <w:right w:val="nil"/>
            </w:tcBorders>
            <w:vAlign w:val="center"/>
          </w:tcPr>
          <w:p w14:paraId="54A56D1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Model B Tolerance</w:t>
            </w:r>
          </w:p>
        </w:tc>
        <w:tc>
          <w:tcPr>
            <w:tcW w:w="1450" w:type="dxa"/>
            <w:tcBorders>
              <w:top w:val="single" w:color="auto" w:sz="4" w:space="0"/>
              <w:left w:val="nil"/>
              <w:bottom w:val="single" w:color="auto" w:sz="4" w:space="0"/>
              <w:right w:val="nil"/>
            </w:tcBorders>
            <w:vAlign w:val="center"/>
          </w:tcPr>
          <w:p w14:paraId="70DF607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Model B VIF</w:t>
            </w:r>
          </w:p>
        </w:tc>
      </w:tr>
      <w:tr w14:paraId="211F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single" w:color="auto" w:sz="4" w:space="0"/>
              <w:left w:val="nil"/>
              <w:bottom w:val="nil"/>
              <w:right w:val="nil"/>
            </w:tcBorders>
            <w:vAlign w:val="center"/>
          </w:tcPr>
          <w:p w14:paraId="5493974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Age</w:t>
            </w:r>
          </w:p>
        </w:tc>
        <w:tc>
          <w:tcPr>
            <w:tcW w:w="2057" w:type="dxa"/>
            <w:tcBorders>
              <w:top w:val="single" w:color="auto" w:sz="4" w:space="0"/>
              <w:left w:val="nil"/>
              <w:bottom w:val="nil"/>
              <w:right w:val="nil"/>
            </w:tcBorders>
            <w:vAlign w:val="center"/>
          </w:tcPr>
          <w:p w14:paraId="2C2642E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0.946</w:t>
            </w:r>
          </w:p>
        </w:tc>
        <w:tc>
          <w:tcPr>
            <w:tcW w:w="1443" w:type="dxa"/>
            <w:tcBorders>
              <w:top w:val="single" w:color="auto" w:sz="4" w:space="0"/>
              <w:left w:val="nil"/>
              <w:bottom w:val="nil"/>
              <w:right w:val="nil"/>
            </w:tcBorders>
            <w:vAlign w:val="center"/>
          </w:tcPr>
          <w:p w14:paraId="6304D42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1.057</w:t>
            </w:r>
          </w:p>
        </w:tc>
        <w:tc>
          <w:tcPr>
            <w:tcW w:w="1966" w:type="dxa"/>
            <w:tcBorders>
              <w:top w:val="single" w:color="auto" w:sz="4" w:space="0"/>
              <w:left w:val="nil"/>
              <w:bottom w:val="nil"/>
              <w:right w:val="nil"/>
            </w:tcBorders>
            <w:vAlign w:val="center"/>
          </w:tcPr>
          <w:p w14:paraId="03050B2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0.840</w:t>
            </w:r>
          </w:p>
        </w:tc>
        <w:tc>
          <w:tcPr>
            <w:tcW w:w="1450" w:type="dxa"/>
            <w:tcBorders>
              <w:top w:val="single" w:color="auto" w:sz="4" w:space="0"/>
              <w:left w:val="nil"/>
              <w:bottom w:val="nil"/>
              <w:right w:val="nil"/>
            </w:tcBorders>
            <w:vAlign w:val="center"/>
          </w:tcPr>
          <w:p w14:paraId="00612AD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1.191</w:t>
            </w:r>
          </w:p>
        </w:tc>
      </w:tr>
      <w:tr w14:paraId="02D8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44D8C4E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BMI</w:t>
            </w:r>
          </w:p>
        </w:tc>
        <w:tc>
          <w:tcPr>
            <w:tcW w:w="2057" w:type="dxa"/>
            <w:tcBorders>
              <w:top w:val="nil"/>
              <w:left w:val="nil"/>
              <w:bottom w:val="nil"/>
              <w:right w:val="nil"/>
            </w:tcBorders>
            <w:vAlign w:val="center"/>
          </w:tcPr>
          <w:p w14:paraId="36CFB09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0.924</w:t>
            </w:r>
          </w:p>
        </w:tc>
        <w:tc>
          <w:tcPr>
            <w:tcW w:w="1443" w:type="dxa"/>
            <w:tcBorders>
              <w:top w:val="nil"/>
              <w:left w:val="nil"/>
              <w:bottom w:val="nil"/>
              <w:right w:val="nil"/>
            </w:tcBorders>
            <w:vAlign w:val="center"/>
          </w:tcPr>
          <w:p w14:paraId="09E77F5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1.083</w:t>
            </w:r>
          </w:p>
        </w:tc>
        <w:tc>
          <w:tcPr>
            <w:tcW w:w="1966" w:type="dxa"/>
            <w:tcBorders>
              <w:top w:val="nil"/>
              <w:left w:val="nil"/>
              <w:bottom w:val="nil"/>
              <w:right w:val="nil"/>
            </w:tcBorders>
            <w:vAlign w:val="center"/>
          </w:tcPr>
          <w:p w14:paraId="3A3589A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0.848</w:t>
            </w:r>
          </w:p>
        </w:tc>
        <w:tc>
          <w:tcPr>
            <w:tcW w:w="1450" w:type="dxa"/>
            <w:tcBorders>
              <w:top w:val="nil"/>
              <w:left w:val="nil"/>
              <w:bottom w:val="nil"/>
              <w:right w:val="nil"/>
            </w:tcBorders>
            <w:vAlign w:val="center"/>
          </w:tcPr>
          <w:p w14:paraId="5FAF445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1.179</w:t>
            </w:r>
          </w:p>
        </w:tc>
      </w:tr>
      <w:tr w14:paraId="665F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31B859D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HbA1c</w:t>
            </w:r>
          </w:p>
        </w:tc>
        <w:tc>
          <w:tcPr>
            <w:tcW w:w="2057" w:type="dxa"/>
            <w:tcBorders>
              <w:top w:val="nil"/>
              <w:left w:val="nil"/>
              <w:bottom w:val="nil"/>
              <w:right w:val="nil"/>
            </w:tcBorders>
            <w:vAlign w:val="center"/>
          </w:tcPr>
          <w:p w14:paraId="06040B4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0.789</w:t>
            </w:r>
          </w:p>
        </w:tc>
        <w:tc>
          <w:tcPr>
            <w:tcW w:w="1443" w:type="dxa"/>
            <w:tcBorders>
              <w:top w:val="nil"/>
              <w:left w:val="nil"/>
              <w:bottom w:val="nil"/>
              <w:right w:val="nil"/>
            </w:tcBorders>
            <w:vAlign w:val="center"/>
          </w:tcPr>
          <w:p w14:paraId="37EBD22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1.267</w:t>
            </w:r>
          </w:p>
        </w:tc>
        <w:tc>
          <w:tcPr>
            <w:tcW w:w="1966" w:type="dxa"/>
            <w:tcBorders>
              <w:top w:val="nil"/>
              <w:left w:val="nil"/>
              <w:bottom w:val="nil"/>
              <w:right w:val="nil"/>
            </w:tcBorders>
            <w:vAlign w:val="center"/>
          </w:tcPr>
          <w:p w14:paraId="5F327BF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0.779</w:t>
            </w:r>
          </w:p>
        </w:tc>
        <w:tc>
          <w:tcPr>
            <w:tcW w:w="1450" w:type="dxa"/>
            <w:tcBorders>
              <w:top w:val="nil"/>
              <w:left w:val="nil"/>
              <w:bottom w:val="nil"/>
              <w:right w:val="nil"/>
            </w:tcBorders>
            <w:vAlign w:val="center"/>
          </w:tcPr>
          <w:p w14:paraId="48321CF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1.283</w:t>
            </w:r>
          </w:p>
        </w:tc>
      </w:tr>
      <w:tr w14:paraId="3FC6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1955720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MAGE</w:t>
            </w:r>
          </w:p>
        </w:tc>
        <w:tc>
          <w:tcPr>
            <w:tcW w:w="2057" w:type="dxa"/>
            <w:tcBorders>
              <w:top w:val="nil"/>
              <w:left w:val="nil"/>
              <w:bottom w:val="nil"/>
              <w:right w:val="nil"/>
            </w:tcBorders>
            <w:vAlign w:val="center"/>
          </w:tcPr>
          <w:p w14:paraId="34FE514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0.452</w:t>
            </w:r>
          </w:p>
        </w:tc>
        <w:tc>
          <w:tcPr>
            <w:tcW w:w="1443" w:type="dxa"/>
            <w:tcBorders>
              <w:top w:val="nil"/>
              <w:left w:val="nil"/>
              <w:bottom w:val="nil"/>
              <w:right w:val="nil"/>
            </w:tcBorders>
            <w:vAlign w:val="center"/>
          </w:tcPr>
          <w:p w14:paraId="2EC3B2C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2.213</w:t>
            </w:r>
          </w:p>
        </w:tc>
        <w:tc>
          <w:tcPr>
            <w:tcW w:w="1966" w:type="dxa"/>
            <w:tcBorders>
              <w:top w:val="nil"/>
              <w:left w:val="nil"/>
              <w:bottom w:val="nil"/>
              <w:right w:val="nil"/>
            </w:tcBorders>
            <w:vAlign w:val="center"/>
          </w:tcPr>
          <w:p w14:paraId="104BA77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0.829</w:t>
            </w:r>
          </w:p>
        </w:tc>
        <w:tc>
          <w:tcPr>
            <w:tcW w:w="1450" w:type="dxa"/>
            <w:tcBorders>
              <w:top w:val="nil"/>
              <w:left w:val="nil"/>
              <w:bottom w:val="nil"/>
              <w:right w:val="nil"/>
            </w:tcBorders>
            <w:vAlign w:val="center"/>
          </w:tcPr>
          <w:p w14:paraId="3F31D7F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1.207</w:t>
            </w:r>
          </w:p>
        </w:tc>
      </w:tr>
      <w:tr w14:paraId="5D04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34E7A2F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Mean glucose</w:t>
            </w:r>
          </w:p>
        </w:tc>
        <w:tc>
          <w:tcPr>
            <w:tcW w:w="2057" w:type="dxa"/>
            <w:tcBorders>
              <w:top w:val="nil"/>
              <w:left w:val="nil"/>
              <w:bottom w:val="nil"/>
              <w:right w:val="nil"/>
            </w:tcBorders>
            <w:vAlign w:val="center"/>
          </w:tcPr>
          <w:p w14:paraId="7001680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0.577</w:t>
            </w:r>
          </w:p>
        </w:tc>
        <w:tc>
          <w:tcPr>
            <w:tcW w:w="1443" w:type="dxa"/>
            <w:tcBorders>
              <w:top w:val="nil"/>
              <w:left w:val="nil"/>
              <w:bottom w:val="nil"/>
              <w:right w:val="nil"/>
            </w:tcBorders>
            <w:vAlign w:val="center"/>
          </w:tcPr>
          <w:p w14:paraId="2FFB342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1.732</w:t>
            </w:r>
          </w:p>
        </w:tc>
        <w:tc>
          <w:tcPr>
            <w:tcW w:w="1966" w:type="dxa"/>
            <w:tcBorders>
              <w:top w:val="nil"/>
              <w:left w:val="nil"/>
              <w:bottom w:val="nil"/>
              <w:right w:val="nil"/>
            </w:tcBorders>
            <w:vAlign w:val="center"/>
          </w:tcPr>
          <w:p w14:paraId="146BF08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0.757</w:t>
            </w:r>
          </w:p>
        </w:tc>
        <w:tc>
          <w:tcPr>
            <w:tcW w:w="1450" w:type="dxa"/>
            <w:tcBorders>
              <w:top w:val="nil"/>
              <w:left w:val="nil"/>
              <w:bottom w:val="nil"/>
              <w:right w:val="nil"/>
            </w:tcBorders>
            <w:vAlign w:val="center"/>
          </w:tcPr>
          <w:p w14:paraId="0DA65C1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1.322</w:t>
            </w:r>
          </w:p>
        </w:tc>
      </w:tr>
      <w:tr w14:paraId="30C8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2A6B371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2-h C-peptide</w:t>
            </w:r>
          </w:p>
        </w:tc>
        <w:tc>
          <w:tcPr>
            <w:tcW w:w="2057" w:type="dxa"/>
            <w:tcBorders>
              <w:top w:val="nil"/>
              <w:left w:val="nil"/>
              <w:bottom w:val="nil"/>
              <w:right w:val="nil"/>
            </w:tcBorders>
            <w:vAlign w:val="center"/>
          </w:tcPr>
          <w:p w14:paraId="1458A6B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0.975</w:t>
            </w:r>
          </w:p>
        </w:tc>
        <w:tc>
          <w:tcPr>
            <w:tcW w:w="1443" w:type="dxa"/>
            <w:tcBorders>
              <w:top w:val="nil"/>
              <w:left w:val="nil"/>
              <w:bottom w:val="nil"/>
              <w:right w:val="nil"/>
            </w:tcBorders>
            <w:vAlign w:val="center"/>
          </w:tcPr>
          <w:p w14:paraId="1AF2DC7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1.026</w:t>
            </w:r>
          </w:p>
        </w:tc>
        <w:tc>
          <w:tcPr>
            <w:tcW w:w="1966" w:type="dxa"/>
            <w:tcBorders>
              <w:top w:val="nil"/>
              <w:left w:val="nil"/>
              <w:bottom w:val="nil"/>
              <w:right w:val="nil"/>
            </w:tcBorders>
            <w:vAlign w:val="center"/>
          </w:tcPr>
          <w:p w14:paraId="796FB4A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0.965</w:t>
            </w:r>
          </w:p>
        </w:tc>
        <w:tc>
          <w:tcPr>
            <w:tcW w:w="1450" w:type="dxa"/>
            <w:tcBorders>
              <w:top w:val="nil"/>
              <w:left w:val="nil"/>
              <w:bottom w:val="nil"/>
              <w:right w:val="nil"/>
            </w:tcBorders>
            <w:vAlign w:val="center"/>
          </w:tcPr>
          <w:p w14:paraId="0653EA4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1.037</w:t>
            </w:r>
          </w:p>
        </w:tc>
      </w:tr>
      <w:tr w14:paraId="0984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70E1965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Albumin</w:t>
            </w:r>
          </w:p>
        </w:tc>
        <w:tc>
          <w:tcPr>
            <w:tcW w:w="2057" w:type="dxa"/>
            <w:tcBorders>
              <w:top w:val="nil"/>
              <w:left w:val="nil"/>
              <w:bottom w:val="nil"/>
              <w:right w:val="nil"/>
            </w:tcBorders>
            <w:vAlign w:val="center"/>
          </w:tcPr>
          <w:p w14:paraId="3C38B3B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0.963</w:t>
            </w:r>
          </w:p>
        </w:tc>
        <w:tc>
          <w:tcPr>
            <w:tcW w:w="1443" w:type="dxa"/>
            <w:tcBorders>
              <w:top w:val="nil"/>
              <w:left w:val="nil"/>
              <w:bottom w:val="nil"/>
              <w:right w:val="nil"/>
            </w:tcBorders>
            <w:vAlign w:val="center"/>
          </w:tcPr>
          <w:p w14:paraId="3061350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1.038</w:t>
            </w:r>
          </w:p>
        </w:tc>
        <w:tc>
          <w:tcPr>
            <w:tcW w:w="1966" w:type="dxa"/>
            <w:tcBorders>
              <w:top w:val="nil"/>
              <w:left w:val="nil"/>
              <w:bottom w:val="nil"/>
              <w:right w:val="nil"/>
            </w:tcBorders>
            <w:vAlign w:val="center"/>
          </w:tcPr>
          <w:p w14:paraId="78431FB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450" w:type="dxa"/>
            <w:tcBorders>
              <w:top w:val="nil"/>
              <w:left w:val="nil"/>
              <w:bottom w:val="nil"/>
              <w:right w:val="nil"/>
            </w:tcBorders>
            <w:vAlign w:val="center"/>
          </w:tcPr>
          <w:p w14:paraId="52A107B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r>
      <w:tr w14:paraId="740E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1535840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ApoA-I</w:t>
            </w:r>
          </w:p>
        </w:tc>
        <w:tc>
          <w:tcPr>
            <w:tcW w:w="2057" w:type="dxa"/>
            <w:tcBorders>
              <w:top w:val="nil"/>
              <w:left w:val="nil"/>
              <w:bottom w:val="nil"/>
              <w:right w:val="nil"/>
            </w:tcBorders>
            <w:vAlign w:val="center"/>
          </w:tcPr>
          <w:p w14:paraId="0990616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0.795</w:t>
            </w:r>
          </w:p>
        </w:tc>
        <w:tc>
          <w:tcPr>
            <w:tcW w:w="1443" w:type="dxa"/>
            <w:tcBorders>
              <w:top w:val="nil"/>
              <w:left w:val="nil"/>
              <w:bottom w:val="nil"/>
              <w:right w:val="nil"/>
            </w:tcBorders>
            <w:vAlign w:val="center"/>
          </w:tcPr>
          <w:p w14:paraId="5DB10E4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1.257</w:t>
            </w:r>
          </w:p>
        </w:tc>
        <w:tc>
          <w:tcPr>
            <w:tcW w:w="1966" w:type="dxa"/>
            <w:tcBorders>
              <w:top w:val="nil"/>
              <w:left w:val="nil"/>
              <w:bottom w:val="nil"/>
              <w:right w:val="nil"/>
            </w:tcBorders>
            <w:vAlign w:val="center"/>
          </w:tcPr>
          <w:p w14:paraId="4059443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0.804</w:t>
            </w:r>
          </w:p>
        </w:tc>
        <w:tc>
          <w:tcPr>
            <w:tcW w:w="1450" w:type="dxa"/>
            <w:tcBorders>
              <w:top w:val="nil"/>
              <w:left w:val="nil"/>
              <w:bottom w:val="nil"/>
              <w:right w:val="nil"/>
            </w:tcBorders>
            <w:vAlign w:val="center"/>
          </w:tcPr>
          <w:p w14:paraId="39DFF6C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1.244</w:t>
            </w:r>
          </w:p>
        </w:tc>
      </w:tr>
      <w:tr w14:paraId="6290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021B903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Sex</w:t>
            </w:r>
          </w:p>
        </w:tc>
        <w:tc>
          <w:tcPr>
            <w:tcW w:w="2057" w:type="dxa"/>
            <w:tcBorders>
              <w:top w:val="nil"/>
              <w:left w:val="nil"/>
              <w:bottom w:val="nil"/>
              <w:right w:val="nil"/>
            </w:tcBorders>
            <w:vAlign w:val="center"/>
          </w:tcPr>
          <w:p w14:paraId="361C452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0.822</w:t>
            </w:r>
          </w:p>
        </w:tc>
        <w:tc>
          <w:tcPr>
            <w:tcW w:w="1443" w:type="dxa"/>
            <w:tcBorders>
              <w:top w:val="nil"/>
              <w:left w:val="nil"/>
              <w:bottom w:val="nil"/>
              <w:right w:val="nil"/>
            </w:tcBorders>
            <w:vAlign w:val="center"/>
          </w:tcPr>
          <w:p w14:paraId="3427975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1.217</w:t>
            </w:r>
          </w:p>
        </w:tc>
        <w:tc>
          <w:tcPr>
            <w:tcW w:w="1966" w:type="dxa"/>
            <w:tcBorders>
              <w:top w:val="nil"/>
              <w:left w:val="nil"/>
              <w:bottom w:val="nil"/>
              <w:right w:val="nil"/>
            </w:tcBorders>
            <w:vAlign w:val="center"/>
          </w:tcPr>
          <w:p w14:paraId="2FEBCB4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0.799</w:t>
            </w:r>
          </w:p>
        </w:tc>
        <w:tc>
          <w:tcPr>
            <w:tcW w:w="1450" w:type="dxa"/>
            <w:tcBorders>
              <w:top w:val="nil"/>
              <w:left w:val="nil"/>
              <w:bottom w:val="nil"/>
              <w:right w:val="nil"/>
            </w:tcBorders>
            <w:vAlign w:val="center"/>
          </w:tcPr>
          <w:p w14:paraId="6BCB3FD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1.252</w:t>
            </w:r>
          </w:p>
        </w:tc>
      </w:tr>
      <w:tr w14:paraId="1083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4078B67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bookmarkStart w:id="0" w:name="_GoBack"/>
            <w:bookmarkEnd w:id="0"/>
            <w:r>
              <w:rPr>
                <w:rFonts w:hint="eastAsia" w:ascii="Times New Roman" w:eastAsia="宋体"/>
                <w:sz w:val="22"/>
                <w:lang w:eastAsia="zh-CN"/>
              </w:rPr>
              <w:t>SGLT2</w:t>
            </w:r>
            <w:r>
              <w:rPr>
                <w:rFonts w:hint="eastAsia" w:ascii="Times New Roman" w:eastAsia="宋体"/>
                <w:sz w:val="22"/>
              </w:rPr>
              <w:t xml:space="preserve"> inhibitor use </w:t>
            </w:r>
          </w:p>
        </w:tc>
        <w:tc>
          <w:tcPr>
            <w:tcW w:w="2057" w:type="dxa"/>
            <w:tcBorders>
              <w:top w:val="nil"/>
              <w:left w:val="nil"/>
              <w:bottom w:val="nil"/>
              <w:right w:val="nil"/>
            </w:tcBorders>
            <w:vAlign w:val="center"/>
          </w:tcPr>
          <w:p w14:paraId="1FAF1C8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0.873</w:t>
            </w:r>
          </w:p>
        </w:tc>
        <w:tc>
          <w:tcPr>
            <w:tcW w:w="1443" w:type="dxa"/>
            <w:tcBorders>
              <w:top w:val="nil"/>
              <w:left w:val="nil"/>
              <w:bottom w:val="nil"/>
              <w:right w:val="nil"/>
            </w:tcBorders>
            <w:vAlign w:val="center"/>
          </w:tcPr>
          <w:p w14:paraId="6031E9A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1.145</w:t>
            </w:r>
          </w:p>
        </w:tc>
        <w:tc>
          <w:tcPr>
            <w:tcW w:w="1966" w:type="dxa"/>
            <w:tcBorders>
              <w:top w:val="nil"/>
              <w:left w:val="nil"/>
              <w:bottom w:val="nil"/>
              <w:right w:val="nil"/>
            </w:tcBorders>
            <w:vAlign w:val="center"/>
          </w:tcPr>
          <w:p w14:paraId="6501D41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0.931</w:t>
            </w:r>
          </w:p>
        </w:tc>
        <w:tc>
          <w:tcPr>
            <w:tcW w:w="1450" w:type="dxa"/>
            <w:tcBorders>
              <w:top w:val="nil"/>
              <w:left w:val="nil"/>
              <w:bottom w:val="nil"/>
              <w:right w:val="nil"/>
            </w:tcBorders>
            <w:vAlign w:val="center"/>
          </w:tcPr>
          <w:p w14:paraId="16A1B72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1.074</w:t>
            </w:r>
          </w:p>
        </w:tc>
      </w:tr>
      <w:tr w14:paraId="01AA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5801F46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CEA</w:t>
            </w:r>
          </w:p>
        </w:tc>
        <w:tc>
          <w:tcPr>
            <w:tcW w:w="2057" w:type="dxa"/>
            <w:tcBorders>
              <w:top w:val="nil"/>
              <w:left w:val="nil"/>
              <w:bottom w:val="nil"/>
              <w:right w:val="nil"/>
            </w:tcBorders>
            <w:vAlign w:val="center"/>
          </w:tcPr>
          <w:p w14:paraId="6189A3D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443" w:type="dxa"/>
            <w:tcBorders>
              <w:top w:val="nil"/>
              <w:left w:val="nil"/>
              <w:bottom w:val="nil"/>
              <w:right w:val="nil"/>
            </w:tcBorders>
            <w:vAlign w:val="center"/>
          </w:tcPr>
          <w:p w14:paraId="04D97F6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966" w:type="dxa"/>
            <w:tcBorders>
              <w:top w:val="nil"/>
              <w:left w:val="nil"/>
              <w:bottom w:val="nil"/>
              <w:right w:val="nil"/>
            </w:tcBorders>
            <w:vAlign w:val="center"/>
          </w:tcPr>
          <w:p w14:paraId="108AE06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0.848</w:t>
            </w:r>
          </w:p>
        </w:tc>
        <w:tc>
          <w:tcPr>
            <w:tcW w:w="1450" w:type="dxa"/>
            <w:tcBorders>
              <w:top w:val="nil"/>
              <w:left w:val="nil"/>
              <w:bottom w:val="nil"/>
              <w:right w:val="nil"/>
            </w:tcBorders>
            <w:vAlign w:val="center"/>
          </w:tcPr>
          <w:p w14:paraId="6B31EF5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1.179</w:t>
            </w:r>
          </w:p>
        </w:tc>
      </w:tr>
      <w:tr w14:paraId="050C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23E2E18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CA19-9</w:t>
            </w:r>
          </w:p>
        </w:tc>
        <w:tc>
          <w:tcPr>
            <w:tcW w:w="2057" w:type="dxa"/>
            <w:tcBorders>
              <w:top w:val="nil"/>
              <w:left w:val="nil"/>
              <w:bottom w:val="nil"/>
              <w:right w:val="nil"/>
            </w:tcBorders>
            <w:vAlign w:val="center"/>
          </w:tcPr>
          <w:p w14:paraId="1703839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443" w:type="dxa"/>
            <w:tcBorders>
              <w:top w:val="nil"/>
              <w:left w:val="nil"/>
              <w:bottom w:val="nil"/>
              <w:right w:val="nil"/>
            </w:tcBorders>
            <w:vAlign w:val="center"/>
          </w:tcPr>
          <w:p w14:paraId="55281EC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966" w:type="dxa"/>
            <w:tcBorders>
              <w:top w:val="nil"/>
              <w:left w:val="nil"/>
              <w:bottom w:val="nil"/>
              <w:right w:val="nil"/>
            </w:tcBorders>
            <w:vAlign w:val="center"/>
          </w:tcPr>
          <w:p w14:paraId="042E957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0.782</w:t>
            </w:r>
          </w:p>
        </w:tc>
        <w:tc>
          <w:tcPr>
            <w:tcW w:w="1450" w:type="dxa"/>
            <w:tcBorders>
              <w:top w:val="nil"/>
              <w:left w:val="nil"/>
              <w:bottom w:val="nil"/>
              <w:right w:val="nil"/>
            </w:tcBorders>
            <w:vAlign w:val="center"/>
          </w:tcPr>
          <w:p w14:paraId="4683DC0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1.279</w:t>
            </w:r>
          </w:p>
        </w:tc>
      </w:tr>
      <w:tr w14:paraId="5A21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nil"/>
              <w:right w:val="nil"/>
            </w:tcBorders>
            <w:vAlign w:val="center"/>
          </w:tcPr>
          <w:p w14:paraId="6479EF3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CA125</w:t>
            </w:r>
          </w:p>
        </w:tc>
        <w:tc>
          <w:tcPr>
            <w:tcW w:w="2057" w:type="dxa"/>
            <w:tcBorders>
              <w:top w:val="nil"/>
              <w:left w:val="nil"/>
              <w:bottom w:val="nil"/>
              <w:right w:val="nil"/>
            </w:tcBorders>
            <w:vAlign w:val="center"/>
          </w:tcPr>
          <w:p w14:paraId="4E87B21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443" w:type="dxa"/>
            <w:tcBorders>
              <w:top w:val="nil"/>
              <w:left w:val="nil"/>
              <w:bottom w:val="nil"/>
              <w:right w:val="nil"/>
            </w:tcBorders>
            <w:vAlign w:val="center"/>
          </w:tcPr>
          <w:p w14:paraId="49AE11A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966" w:type="dxa"/>
            <w:tcBorders>
              <w:top w:val="nil"/>
              <w:left w:val="nil"/>
              <w:bottom w:val="nil"/>
              <w:right w:val="nil"/>
            </w:tcBorders>
            <w:vAlign w:val="center"/>
          </w:tcPr>
          <w:p w14:paraId="7C235CC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0.927</w:t>
            </w:r>
          </w:p>
        </w:tc>
        <w:tc>
          <w:tcPr>
            <w:tcW w:w="1450" w:type="dxa"/>
            <w:tcBorders>
              <w:top w:val="nil"/>
              <w:left w:val="nil"/>
              <w:bottom w:val="nil"/>
              <w:right w:val="nil"/>
            </w:tcBorders>
            <w:vAlign w:val="center"/>
          </w:tcPr>
          <w:p w14:paraId="666AC5F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1.079</w:t>
            </w:r>
          </w:p>
        </w:tc>
      </w:tr>
      <w:tr w14:paraId="62D1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518" w:type="dxa"/>
            <w:tcBorders>
              <w:top w:val="nil"/>
              <w:left w:val="nil"/>
              <w:bottom w:val="single" w:color="auto" w:sz="4" w:space="0"/>
              <w:right w:val="nil"/>
            </w:tcBorders>
            <w:vAlign w:val="center"/>
          </w:tcPr>
          <w:p w14:paraId="5FCA2C2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CYFRA21-1</w:t>
            </w:r>
          </w:p>
        </w:tc>
        <w:tc>
          <w:tcPr>
            <w:tcW w:w="2057" w:type="dxa"/>
            <w:tcBorders>
              <w:top w:val="nil"/>
              <w:left w:val="nil"/>
              <w:bottom w:val="single" w:color="auto" w:sz="4" w:space="0"/>
              <w:right w:val="nil"/>
            </w:tcBorders>
            <w:vAlign w:val="center"/>
          </w:tcPr>
          <w:p w14:paraId="07FBFEF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443" w:type="dxa"/>
            <w:tcBorders>
              <w:top w:val="nil"/>
              <w:left w:val="nil"/>
              <w:bottom w:val="single" w:color="auto" w:sz="4" w:space="0"/>
              <w:right w:val="nil"/>
            </w:tcBorders>
            <w:vAlign w:val="center"/>
          </w:tcPr>
          <w:p w14:paraId="418FF98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966" w:type="dxa"/>
            <w:tcBorders>
              <w:top w:val="nil"/>
              <w:left w:val="nil"/>
              <w:bottom w:val="single" w:color="auto" w:sz="4" w:space="0"/>
              <w:right w:val="nil"/>
            </w:tcBorders>
            <w:vAlign w:val="center"/>
          </w:tcPr>
          <w:p w14:paraId="0643025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0.942</w:t>
            </w:r>
          </w:p>
        </w:tc>
        <w:tc>
          <w:tcPr>
            <w:tcW w:w="1450" w:type="dxa"/>
            <w:tcBorders>
              <w:top w:val="nil"/>
              <w:left w:val="nil"/>
              <w:bottom w:val="single" w:color="auto" w:sz="4" w:space="0"/>
              <w:right w:val="nil"/>
            </w:tcBorders>
            <w:vAlign w:val="center"/>
          </w:tcPr>
          <w:p w14:paraId="0869A85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1.061</w:t>
            </w:r>
          </w:p>
        </w:tc>
      </w:tr>
    </w:tbl>
    <w:p w14:paraId="45FF99F2">
      <w:pP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Table S</w:t>
      </w:r>
      <w:r>
        <w:rPr>
          <w:rFonts w:hint="eastAsia"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eastAsia="宋体" w:cs="Times New Roman"/>
          <w:b/>
          <w:bCs/>
          <w:i w:val="0"/>
          <w:iCs w:val="0"/>
          <w:color w:val="000000"/>
          <w:kern w:val="0"/>
          <w:sz w:val="22"/>
          <w:szCs w:val="22"/>
          <w:u w:val="none"/>
          <w:lang w:val="en-US" w:eastAsia="zh-CN" w:bidi="ar"/>
        </w:rPr>
        <w:t xml:space="preserve">. </w:t>
      </w:r>
      <w:r>
        <w:rPr>
          <w:rFonts w:hint="default" w:ascii="Times New Roman" w:hAnsi="Times New Roman" w:cs="Times New Roman"/>
          <w:lang w:val="en-US" w:eastAsia="zh-CN"/>
        </w:rPr>
        <w:t>Multicollinearity assessment for predictors included in the multivariable models (Model A and Model B). Values are tolerance statistics and variance inflation factors (VIF) calculated for each predictor within the corresponding model specification. All VIF values were below 3, indicating no evidence of problematic multicollinearity.</w:t>
      </w:r>
    </w:p>
    <w:p w14:paraId="36F87A0A">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Table S</w:t>
      </w:r>
      <w:r>
        <w:rPr>
          <w:rFonts w:hint="eastAsia" w:ascii="Times New Roman" w:hAnsi="Times New Roman" w:eastAsia="宋体" w:cs="Times New Roman"/>
          <w:b/>
          <w:bCs/>
          <w:i w:val="0"/>
          <w:iCs w:val="0"/>
          <w:color w:val="000000"/>
          <w:kern w:val="0"/>
          <w:sz w:val="24"/>
          <w:szCs w:val="24"/>
          <w:u w:val="none"/>
          <w:lang w:val="en-US" w:eastAsia="zh-CN" w:bidi="ar"/>
        </w:rPr>
        <w:t>4</w:t>
      </w: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Times New Roman" w:hAnsi="Times New Roman" w:eastAsia="宋体" w:cs="Times New Roman"/>
          <w:b/>
          <w:bCs/>
          <w:i w:val="0"/>
          <w:iCs w:val="0"/>
          <w:color w:val="000000"/>
          <w:kern w:val="0"/>
          <w:sz w:val="24"/>
          <w:szCs w:val="24"/>
          <w:u w:val="none"/>
          <w:lang w:val="en-US" w:eastAsia="zh-CN" w:bidi="ar"/>
        </w:rPr>
        <w:t xml:space="preserve"> Distribution of primary tumour origin among included malignancy cases</w:t>
      </w:r>
    </w:p>
    <w:tbl>
      <w:tblPr>
        <w:tblStyle w:val="3"/>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191"/>
        <w:gridCol w:w="2240"/>
      </w:tblGrid>
      <w:tr w14:paraId="4E1D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6191" w:type="dxa"/>
            <w:tcBorders>
              <w:top w:val="single" w:color="auto" w:sz="4" w:space="0"/>
              <w:left w:val="nil"/>
              <w:bottom w:val="single" w:color="auto" w:sz="4" w:space="0"/>
              <w:right w:val="nil"/>
            </w:tcBorders>
            <w:vAlign w:val="center"/>
          </w:tcPr>
          <w:p w14:paraId="0FB1E40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Primary tumour type</w:t>
            </w:r>
          </w:p>
        </w:tc>
        <w:tc>
          <w:tcPr>
            <w:tcW w:w="2240" w:type="dxa"/>
            <w:tcBorders>
              <w:top w:val="single" w:color="auto" w:sz="4" w:space="0"/>
              <w:left w:val="nil"/>
              <w:bottom w:val="single" w:color="auto" w:sz="4" w:space="0"/>
              <w:right w:val="nil"/>
            </w:tcBorders>
            <w:vAlign w:val="center"/>
          </w:tcPr>
          <w:p w14:paraId="72869FB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n (%)</w:t>
            </w:r>
          </w:p>
        </w:tc>
      </w:tr>
      <w:tr w14:paraId="3D54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single" w:color="auto" w:sz="4" w:space="0"/>
              <w:left w:val="nil"/>
              <w:bottom w:val="nil"/>
              <w:right w:val="nil"/>
            </w:tcBorders>
            <w:vAlign w:val="center"/>
          </w:tcPr>
          <w:p w14:paraId="76AA9FF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Pancreatic malignancy</w:t>
            </w:r>
          </w:p>
        </w:tc>
        <w:tc>
          <w:tcPr>
            <w:tcW w:w="2240" w:type="dxa"/>
            <w:tcBorders>
              <w:top w:val="single" w:color="auto" w:sz="4" w:space="0"/>
              <w:left w:val="nil"/>
              <w:bottom w:val="nil"/>
              <w:right w:val="nil"/>
            </w:tcBorders>
            <w:vAlign w:val="center"/>
          </w:tcPr>
          <w:p w14:paraId="143DC95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28 (20.0)</w:t>
            </w:r>
          </w:p>
        </w:tc>
      </w:tr>
      <w:tr w14:paraId="3ECF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295DFD3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Lung cancer</w:t>
            </w:r>
          </w:p>
        </w:tc>
        <w:tc>
          <w:tcPr>
            <w:tcW w:w="2240" w:type="dxa"/>
            <w:tcBorders>
              <w:top w:val="nil"/>
              <w:left w:val="nil"/>
              <w:bottom w:val="nil"/>
              <w:right w:val="nil"/>
            </w:tcBorders>
            <w:vAlign w:val="center"/>
          </w:tcPr>
          <w:p w14:paraId="5E05D53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27 (19.3)</w:t>
            </w:r>
          </w:p>
        </w:tc>
      </w:tr>
      <w:tr w14:paraId="2CA4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7E32227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Colorectal cancer</w:t>
            </w:r>
          </w:p>
        </w:tc>
        <w:tc>
          <w:tcPr>
            <w:tcW w:w="2240" w:type="dxa"/>
            <w:tcBorders>
              <w:top w:val="nil"/>
              <w:left w:val="nil"/>
              <w:bottom w:val="nil"/>
              <w:right w:val="nil"/>
            </w:tcBorders>
            <w:vAlign w:val="center"/>
          </w:tcPr>
          <w:p w14:paraId="77EA7DC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18 (12.9)</w:t>
            </w:r>
          </w:p>
        </w:tc>
      </w:tr>
      <w:tr w14:paraId="5C9A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414D78B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Gastric cancer</w:t>
            </w:r>
          </w:p>
        </w:tc>
        <w:tc>
          <w:tcPr>
            <w:tcW w:w="2240" w:type="dxa"/>
            <w:tcBorders>
              <w:top w:val="nil"/>
              <w:left w:val="nil"/>
              <w:bottom w:val="nil"/>
              <w:right w:val="nil"/>
            </w:tcBorders>
            <w:vAlign w:val="center"/>
          </w:tcPr>
          <w:p w14:paraId="080A375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16 (11.4)</w:t>
            </w:r>
          </w:p>
        </w:tc>
      </w:tr>
      <w:tr w14:paraId="615E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3645D34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Prostate cancer</w:t>
            </w:r>
          </w:p>
        </w:tc>
        <w:tc>
          <w:tcPr>
            <w:tcW w:w="2240" w:type="dxa"/>
            <w:tcBorders>
              <w:top w:val="nil"/>
              <w:left w:val="nil"/>
              <w:bottom w:val="nil"/>
              <w:right w:val="nil"/>
            </w:tcBorders>
            <w:vAlign w:val="center"/>
          </w:tcPr>
          <w:p w14:paraId="719186E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14 (10.0)</w:t>
            </w:r>
          </w:p>
        </w:tc>
      </w:tr>
      <w:tr w14:paraId="2927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362B749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Renal cancer</w:t>
            </w:r>
          </w:p>
        </w:tc>
        <w:tc>
          <w:tcPr>
            <w:tcW w:w="2240" w:type="dxa"/>
            <w:tcBorders>
              <w:top w:val="nil"/>
              <w:left w:val="nil"/>
              <w:bottom w:val="nil"/>
              <w:right w:val="nil"/>
            </w:tcBorders>
            <w:vAlign w:val="center"/>
          </w:tcPr>
          <w:p w14:paraId="06F6BD9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13 (9.3)</w:t>
            </w:r>
          </w:p>
        </w:tc>
      </w:tr>
      <w:tr w14:paraId="3434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6570950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Liver cancer</w:t>
            </w:r>
          </w:p>
        </w:tc>
        <w:tc>
          <w:tcPr>
            <w:tcW w:w="2240" w:type="dxa"/>
            <w:tcBorders>
              <w:top w:val="nil"/>
              <w:left w:val="nil"/>
              <w:bottom w:val="nil"/>
              <w:right w:val="nil"/>
            </w:tcBorders>
            <w:vAlign w:val="center"/>
          </w:tcPr>
          <w:p w14:paraId="04266F2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6 (4.3)</w:t>
            </w:r>
          </w:p>
        </w:tc>
      </w:tr>
      <w:tr w14:paraId="39CF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7339FAB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Thyroid cancer</w:t>
            </w:r>
          </w:p>
        </w:tc>
        <w:tc>
          <w:tcPr>
            <w:tcW w:w="2240" w:type="dxa"/>
            <w:tcBorders>
              <w:top w:val="nil"/>
              <w:left w:val="nil"/>
              <w:bottom w:val="nil"/>
              <w:right w:val="nil"/>
            </w:tcBorders>
            <w:vAlign w:val="center"/>
          </w:tcPr>
          <w:p w14:paraId="5CFA523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6 (4.3)</w:t>
            </w:r>
          </w:p>
        </w:tc>
      </w:tr>
      <w:tr w14:paraId="1586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6BC467C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Breast cancer</w:t>
            </w:r>
          </w:p>
        </w:tc>
        <w:tc>
          <w:tcPr>
            <w:tcW w:w="2240" w:type="dxa"/>
            <w:tcBorders>
              <w:top w:val="nil"/>
              <w:left w:val="nil"/>
              <w:bottom w:val="nil"/>
              <w:right w:val="nil"/>
            </w:tcBorders>
            <w:vAlign w:val="center"/>
          </w:tcPr>
          <w:p w14:paraId="6950FBD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6 (4.3)</w:t>
            </w:r>
          </w:p>
        </w:tc>
      </w:tr>
      <w:tr w14:paraId="38A1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27AF7CA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Bladder cancer</w:t>
            </w:r>
          </w:p>
        </w:tc>
        <w:tc>
          <w:tcPr>
            <w:tcW w:w="2240" w:type="dxa"/>
            <w:tcBorders>
              <w:top w:val="nil"/>
              <w:left w:val="nil"/>
              <w:bottom w:val="nil"/>
              <w:right w:val="nil"/>
            </w:tcBorders>
            <w:vAlign w:val="center"/>
          </w:tcPr>
          <w:p w14:paraId="6702103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2 (1.4)</w:t>
            </w:r>
          </w:p>
        </w:tc>
      </w:tr>
      <w:tr w14:paraId="0F9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73309B2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Nasopharyngeal carcinoma</w:t>
            </w:r>
          </w:p>
        </w:tc>
        <w:tc>
          <w:tcPr>
            <w:tcW w:w="2240" w:type="dxa"/>
            <w:tcBorders>
              <w:top w:val="nil"/>
              <w:left w:val="nil"/>
              <w:bottom w:val="nil"/>
              <w:right w:val="nil"/>
            </w:tcBorders>
            <w:vAlign w:val="center"/>
          </w:tcPr>
          <w:p w14:paraId="08B2E34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1 (0.7)</w:t>
            </w:r>
          </w:p>
        </w:tc>
      </w:tr>
      <w:tr w14:paraId="5564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30E8093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Ovarian cancer</w:t>
            </w:r>
          </w:p>
        </w:tc>
        <w:tc>
          <w:tcPr>
            <w:tcW w:w="2240" w:type="dxa"/>
            <w:tcBorders>
              <w:top w:val="nil"/>
              <w:left w:val="nil"/>
              <w:bottom w:val="nil"/>
              <w:right w:val="nil"/>
            </w:tcBorders>
            <w:vAlign w:val="center"/>
          </w:tcPr>
          <w:p w14:paraId="154BA18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1 (0.7)</w:t>
            </w:r>
          </w:p>
        </w:tc>
      </w:tr>
      <w:tr w14:paraId="7B93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nil"/>
              <w:right w:val="nil"/>
            </w:tcBorders>
            <w:vAlign w:val="center"/>
          </w:tcPr>
          <w:p w14:paraId="5DF9027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Oesophageal cancer</w:t>
            </w:r>
          </w:p>
        </w:tc>
        <w:tc>
          <w:tcPr>
            <w:tcW w:w="2240" w:type="dxa"/>
            <w:tcBorders>
              <w:top w:val="nil"/>
              <w:left w:val="nil"/>
              <w:bottom w:val="nil"/>
              <w:right w:val="nil"/>
            </w:tcBorders>
            <w:vAlign w:val="center"/>
          </w:tcPr>
          <w:p w14:paraId="7C34BFF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1 (0.7)</w:t>
            </w:r>
          </w:p>
        </w:tc>
      </w:tr>
      <w:tr w14:paraId="1CC1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191" w:type="dxa"/>
            <w:tcBorders>
              <w:top w:val="nil"/>
              <w:left w:val="nil"/>
              <w:bottom w:val="single" w:color="auto" w:sz="4" w:space="0"/>
              <w:right w:val="nil"/>
            </w:tcBorders>
            <w:vAlign w:val="center"/>
          </w:tcPr>
          <w:p w14:paraId="6A77C89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Lymphoma</w:t>
            </w:r>
          </w:p>
        </w:tc>
        <w:tc>
          <w:tcPr>
            <w:tcW w:w="2240" w:type="dxa"/>
            <w:tcBorders>
              <w:top w:val="nil"/>
              <w:left w:val="nil"/>
              <w:bottom w:val="single" w:color="auto" w:sz="4" w:space="0"/>
              <w:right w:val="nil"/>
            </w:tcBorders>
            <w:vAlign w:val="center"/>
          </w:tcPr>
          <w:p w14:paraId="262A7EC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1 (0.7)</w:t>
            </w:r>
          </w:p>
        </w:tc>
      </w:tr>
    </w:tbl>
    <w:p w14:paraId="584651F6">
      <w:pP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Table S</w:t>
      </w:r>
      <w:r>
        <w:rPr>
          <w:rFonts w:hint="eastAsia"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eastAsia="宋体" w:cs="Times New Roman"/>
          <w:b/>
          <w:bCs/>
          <w:i w:val="0"/>
          <w:iCs w:val="0"/>
          <w:color w:val="000000"/>
          <w:kern w:val="0"/>
          <w:sz w:val="22"/>
          <w:szCs w:val="22"/>
          <w:u w:val="none"/>
          <w:lang w:val="en-US" w:eastAsia="zh-CN" w:bidi="ar"/>
        </w:rPr>
        <w:t>.</w:t>
      </w:r>
      <w:r>
        <w:rPr>
          <w:rFonts w:hint="default" w:ascii="Times New Roman" w:hAnsi="Times New Roman" w:cs="Times New Roman"/>
          <w:lang w:val="en-US" w:eastAsia="zh-CN"/>
        </w:rPr>
        <w:t xml:space="preserve"> Primary tumour types among included malignancy cases. Values are counts and percentages (n, %), calculated using the total number of malignancy cases included in the analysis.</w:t>
      </w:r>
    </w:p>
    <w:p w14:paraId="5E55C0D3">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p w14:paraId="61BAE6AE">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Table S</w:t>
      </w:r>
      <w:r>
        <w:rPr>
          <w:rFonts w:hint="eastAsia" w:ascii="Times New Roman" w:hAnsi="Times New Roman" w:eastAsia="宋体" w:cs="Times New Roman"/>
          <w:b/>
          <w:bCs/>
          <w:i w:val="0"/>
          <w:iCs w:val="0"/>
          <w:color w:val="000000"/>
          <w:kern w:val="0"/>
          <w:sz w:val="24"/>
          <w:szCs w:val="24"/>
          <w:u w:val="none"/>
          <w:lang w:val="en-US" w:eastAsia="zh-CN" w:bidi="ar"/>
        </w:rPr>
        <w:t>5</w:t>
      </w:r>
      <w:r>
        <w:rPr>
          <w:rFonts w:hint="default" w:ascii="Times New Roman" w:hAnsi="Times New Roman" w:eastAsia="宋体" w:cs="Times New Roman"/>
          <w:b/>
          <w:bCs/>
          <w:i w:val="0"/>
          <w:iCs w:val="0"/>
          <w:color w:val="000000"/>
          <w:kern w:val="0"/>
          <w:sz w:val="24"/>
          <w:szCs w:val="24"/>
          <w:u w:val="none"/>
          <w:lang w:val="en-US" w:eastAsia="zh-CN" w:bidi="ar"/>
        </w:rPr>
        <w:t>. Logistic regression coefficients for malignancy in participants with type 2 diabetes (Model A)</w:t>
      </w:r>
    </w:p>
    <w:tbl>
      <w:tblPr>
        <w:tblStyle w:val="3"/>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3992"/>
        <w:gridCol w:w="728"/>
        <w:gridCol w:w="637"/>
        <w:gridCol w:w="2390"/>
        <w:gridCol w:w="1017"/>
      </w:tblGrid>
      <w:tr w14:paraId="1593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3992" w:type="dxa"/>
            <w:tcBorders>
              <w:top w:val="single" w:color="auto" w:sz="4" w:space="0"/>
              <w:left w:val="nil"/>
              <w:bottom w:val="single" w:color="auto" w:sz="4" w:space="0"/>
              <w:right w:val="nil"/>
            </w:tcBorders>
            <w:vAlign w:val="center"/>
          </w:tcPr>
          <w:p w14:paraId="6AF8ED6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Variable</w:t>
            </w:r>
          </w:p>
        </w:tc>
        <w:tc>
          <w:tcPr>
            <w:tcW w:w="728" w:type="dxa"/>
            <w:tcBorders>
              <w:top w:val="single" w:color="auto" w:sz="4" w:space="0"/>
              <w:left w:val="nil"/>
              <w:bottom w:val="single" w:color="auto" w:sz="4" w:space="0"/>
              <w:right w:val="nil"/>
            </w:tcBorders>
            <w:vAlign w:val="center"/>
          </w:tcPr>
          <w:p w14:paraId="6706CBD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B</w:t>
            </w:r>
          </w:p>
        </w:tc>
        <w:tc>
          <w:tcPr>
            <w:tcW w:w="637" w:type="dxa"/>
            <w:tcBorders>
              <w:top w:val="single" w:color="auto" w:sz="4" w:space="0"/>
              <w:left w:val="nil"/>
              <w:bottom w:val="single" w:color="auto" w:sz="4" w:space="0"/>
              <w:right w:val="nil"/>
            </w:tcBorders>
            <w:vAlign w:val="center"/>
          </w:tcPr>
          <w:p w14:paraId="6C537AD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SE</w:t>
            </w:r>
          </w:p>
        </w:tc>
        <w:tc>
          <w:tcPr>
            <w:tcW w:w="2390" w:type="dxa"/>
            <w:tcBorders>
              <w:top w:val="single" w:color="auto" w:sz="4" w:space="0"/>
              <w:left w:val="nil"/>
              <w:bottom w:val="single" w:color="auto" w:sz="4" w:space="0"/>
              <w:right w:val="nil"/>
            </w:tcBorders>
            <w:vAlign w:val="center"/>
          </w:tcPr>
          <w:p w14:paraId="3024520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OR (95% CI)</w:t>
            </w:r>
          </w:p>
        </w:tc>
        <w:tc>
          <w:tcPr>
            <w:tcW w:w="1017" w:type="dxa"/>
            <w:tcBorders>
              <w:top w:val="single" w:color="auto" w:sz="4" w:space="0"/>
              <w:left w:val="nil"/>
              <w:bottom w:val="single" w:color="auto" w:sz="4" w:space="0"/>
              <w:right w:val="nil"/>
            </w:tcBorders>
            <w:vAlign w:val="center"/>
          </w:tcPr>
          <w:p w14:paraId="3B327EA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P value</w:t>
            </w:r>
          </w:p>
        </w:tc>
      </w:tr>
      <w:tr w14:paraId="1DBD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92" w:type="dxa"/>
            <w:tcBorders>
              <w:top w:val="single" w:color="auto" w:sz="4" w:space="0"/>
              <w:left w:val="nil"/>
              <w:bottom w:val="nil"/>
              <w:right w:val="nil"/>
            </w:tcBorders>
            <w:vAlign w:val="center"/>
          </w:tcPr>
          <w:p w14:paraId="3E66B51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Age (per 1 year)</w:t>
            </w:r>
          </w:p>
        </w:tc>
        <w:tc>
          <w:tcPr>
            <w:tcW w:w="728" w:type="dxa"/>
            <w:tcBorders>
              <w:top w:val="single" w:color="auto" w:sz="4" w:space="0"/>
              <w:left w:val="nil"/>
              <w:bottom w:val="nil"/>
              <w:right w:val="nil"/>
            </w:tcBorders>
            <w:vAlign w:val="center"/>
          </w:tcPr>
          <w:p w14:paraId="0ECF809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-0.02</w:t>
            </w:r>
          </w:p>
        </w:tc>
        <w:tc>
          <w:tcPr>
            <w:tcW w:w="637" w:type="dxa"/>
            <w:tcBorders>
              <w:top w:val="single" w:color="auto" w:sz="4" w:space="0"/>
              <w:left w:val="nil"/>
              <w:bottom w:val="nil"/>
              <w:right w:val="nil"/>
            </w:tcBorders>
            <w:vAlign w:val="center"/>
          </w:tcPr>
          <w:p w14:paraId="5777110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0.02</w:t>
            </w:r>
          </w:p>
        </w:tc>
        <w:tc>
          <w:tcPr>
            <w:tcW w:w="2390" w:type="dxa"/>
            <w:tcBorders>
              <w:top w:val="single" w:color="auto" w:sz="4" w:space="0"/>
              <w:left w:val="nil"/>
              <w:bottom w:val="nil"/>
              <w:right w:val="nil"/>
            </w:tcBorders>
            <w:vAlign w:val="center"/>
          </w:tcPr>
          <w:p w14:paraId="565B547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0.98 (0.94–1.02)</w:t>
            </w:r>
          </w:p>
        </w:tc>
        <w:tc>
          <w:tcPr>
            <w:tcW w:w="1017" w:type="dxa"/>
            <w:tcBorders>
              <w:top w:val="single" w:color="auto" w:sz="4" w:space="0"/>
              <w:left w:val="nil"/>
              <w:bottom w:val="nil"/>
              <w:right w:val="nil"/>
            </w:tcBorders>
            <w:vAlign w:val="center"/>
          </w:tcPr>
          <w:p w14:paraId="361481A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0.291</w:t>
            </w:r>
          </w:p>
        </w:tc>
      </w:tr>
      <w:tr w14:paraId="301E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92" w:type="dxa"/>
            <w:tcBorders>
              <w:top w:val="nil"/>
              <w:left w:val="nil"/>
              <w:bottom w:val="nil"/>
              <w:right w:val="nil"/>
            </w:tcBorders>
            <w:vAlign w:val="center"/>
          </w:tcPr>
          <w:p w14:paraId="3577B38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Male sex (ref: female)</w:t>
            </w:r>
          </w:p>
        </w:tc>
        <w:tc>
          <w:tcPr>
            <w:tcW w:w="728" w:type="dxa"/>
            <w:tcBorders>
              <w:top w:val="nil"/>
              <w:left w:val="nil"/>
              <w:bottom w:val="nil"/>
              <w:right w:val="nil"/>
            </w:tcBorders>
            <w:vAlign w:val="center"/>
          </w:tcPr>
          <w:p w14:paraId="20598CA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-0.43</w:t>
            </w:r>
          </w:p>
        </w:tc>
        <w:tc>
          <w:tcPr>
            <w:tcW w:w="637" w:type="dxa"/>
            <w:tcBorders>
              <w:top w:val="nil"/>
              <w:left w:val="nil"/>
              <w:bottom w:val="nil"/>
              <w:right w:val="nil"/>
            </w:tcBorders>
            <w:vAlign w:val="center"/>
          </w:tcPr>
          <w:p w14:paraId="16C05D6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0.41</w:t>
            </w:r>
          </w:p>
        </w:tc>
        <w:tc>
          <w:tcPr>
            <w:tcW w:w="2390" w:type="dxa"/>
            <w:tcBorders>
              <w:top w:val="nil"/>
              <w:left w:val="nil"/>
              <w:bottom w:val="nil"/>
              <w:right w:val="nil"/>
            </w:tcBorders>
            <w:vAlign w:val="center"/>
          </w:tcPr>
          <w:p w14:paraId="23CA8C1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0.65 (0.29–1.46)</w:t>
            </w:r>
          </w:p>
        </w:tc>
        <w:tc>
          <w:tcPr>
            <w:tcW w:w="1017" w:type="dxa"/>
            <w:tcBorders>
              <w:top w:val="nil"/>
              <w:left w:val="nil"/>
              <w:bottom w:val="nil"/>
              <w:right w:val="nil"/>
            </w:tcBorders>
            <w:vAlign w:val="center"/>
          </w:tcPr>
          <w:p w14:paraId="3984626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0.299</w:t>
            </w:r>
          </w:p>
        </w:tc>
      </w:tr>
      <w:tr w14:paraId="3100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92" w:type="dxa"/>
            <w:tcBorders>
              <w:top w:val="nil"/>
              <w:left w:val="nil"/>
              <w:bottom w:val="nil"/>
              <w:right w:val="nil"/>
            </w:tcBorders>
            <w:vAlign w:val="center"/>
          </w:tcPr>
          <w:p w14:paraId="77D2502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BMI (per 1 kg/m²)</w:t>
            </w:r>
          </w:p>
        </w:tc>
        <w:tc>
          <w:tcPr>
            <w:tcW w:w="728" w:type="dxa"/>
            <w:tcBorders>
              <w:top w:val="nil"/>
              <w:left w:val="nil"/>
              <w:bottom w:val="nil"/>
              <w:right w:val="nil"/>
            </w:tcBorders>
            <w:vAlign w:val="center"/>
          </w:tcPr>
          <w:p w14:paraId="523EB4D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0.03</w:t>
            </w:r>
          </w:p>
        </w:tc>
        <w:tc>
          <w:tcPr>
            <w:tcW w:w="637" w:type="dxa"/>
            <w:tcBorders>
              <w:top w:val="nil"/>
              <w:left w:val="nil"/>
              <w:bottom w:val="nil"/>
              <w:right w:val="nil"/>
            </w:tcBorders>
            <w:vAlign w:val="center"/>
          </w:tcPr>
          <w:p w14:paraId="109A011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0.05</w:t>
            </w:r>
          </w:p>
        </w:tc>
        <w:tc>
          <w:tcPr>
            <w:tcW w:w="2390" w:type="dxa"/>
            <w:tcBorders>
              <w:top w:val="nil"/>
              <w:left w:val="nil"/>
              <w:bottom w:val="nil"/>
              <w:right w:val="nil"/>
            </w:tcBorders>
            <w:vAlign w:val="center"/>
          </w:tcPr>
          <w:p w14:paraId="3E57859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1.03 (0.92–1.14)</w:t>
            </w:r>
          </w:p>
        </w:tc>
        <w:tc>
          <w:tcPr>
            <w:tcW w:w="1017" w:type="dxa"/>
            <w:tcBorders>
              <w:top w:val="nil"/>
              <w:left w:val="nil"/>
              <w:bottom w:val="nil"/>
              <w:right w:val="nil"/>
            </w:tcBorders>
            <w:vAlign w:val="center"/>
          </w:tcPr>
          <w:p w14:paraId="1E21906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0.629</w:t>
            </w:r>
          </w:p>
        </w:tc>
      </w:tr>
      <w:tr w14:paraId="7BC3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92" w:type="dxa"/>
            <w:tcBorders>
              <w:top w:val="nil"/>
              <w:left w:val="nil"/>
              <w:bottom w:val="nil"/>
              <w:right w:val="nil"/>
            </w:tcBorders>
            <w:vAlign w:val="center"/>
          </w:tcPr>
          <w:p w14:paraId="33FEA46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eastAsia" w:ascii="Times New Roman" w:hAnsi="Times New Roman" w:eastAsia="宋体" w:cs="Times New Roman"/>
                <w:b w:val="0"/>
                <w:bCs w:val="0"/>
                <w:i w:val="0"/>
                <w:iCs w:val="0"/>
                <w:color w:val="000000"/>
                <w:kern w:val="0"/>
                <w:sz w:val="22"/>
                <w:szCs w:val="22"/>
                <w:u w:val="none"/>
                <w:lang w:val="en-US" w:eastAsia="zh-CN" w:bidi="ar"/>
              </w:rPr>
              <w:t>SGLT2</w:t>
            </w:r>
            <w:r>
              <w:rPr>
                <w:rFonts w:hint="default" w:ascii="Times New Roman" w:hAnsi="Times New Roman" w:eastAsia="宋体" w:cs="Times New Roman"/>
                <w:b w:val="0"/>
                <w:bCs w:val="0"/>
                <w:i w:val="0"/>
                <w:iCs w:val="0"/>
                <w:color w:val="000000"/>
                <w:kern w:val="0"/>
                <w:sz w:val="22"/>
                <w:szCs w:val="22"/>
                <w:u w:val="none"/>
                <w:lang w:val="en-US" w:eastAsia="zh-CN" w:bidi="ar"/>
              </w:rPr>
              <w:t xml:space="preserve"> inhibitor use (yes; ref: no)</w:t>
            </w:r>
          </w:p>
        </w:tc>
        <w:tc>
          <w:tcPr>
            <w:tcW w:w="728" w:type="dxa"/>
            <w:tcBorders>
              <w:top w:val="nil"/>
              <w:left w:val="nil"/>
              <w:bottom w:val="nil"/>
              <w:right w:val="nil"/>
            </w:tcBorders>
            <w:vAlign w:val="center"/>
          </w:tcPr>
          <w:p w14:paraId="31866B0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-0.55</w:t>
            </w:r>
          </w:p>
        </w:tc>
        <w:tc>
          <w:tcPr>
            <w:tcW w:w="637" w:type="dxa"/>
            <w:tcBorders>
              <w:top w:val="nil"/>
              <w:left w:val="nil"/>
              <w:bottom w:val="nil"/>
              <w:right w:val="nil"/>
            </w:tcBorders>
            <w:vAlign w:val="center"/>
          </w:tcPr>
          <w:p w14:paraId="0D33A62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0.43</w:t>
            </w:r>
          </w:p>
        </w:tc>
        <w:tc>
          <w:tcPr>
            <w:tcW w:w="2390" w:type="dxa"/>
            <w:tcBorders>
              <w:top w:val="nil"/>
              <w:left w:val="nil"/>
              <w:bottom w:val="nil"/>
              <w:right w:val="nil"/>
            </w:tcBorders>
            <w:vAlign w:val="center"/>
          </w:tcPr>
          <w:p w14:paraId="3B672AF4">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0.57 (0.25–1.34)</w:t>
            </w:r>
          </w:p>
        </w:tc>
        <w:tc>
          <w:tcPr>
            <w:tcW w:w="1017" w:type="dxa"/>
            <w:tcBorders>
              <w:top w:val="nil"/>
              <w:left w:val="nil"/>
              <w:bottom w:val="nil"/>
              <w:right w:val="nil"/>
            </w:tcBorders>
            <w:vAlign w:val="center"/>
          </w:tcPr>
          <w:p w14:paraId="1679321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0.201</w:t>
            </w:r>
          </w:p>
        </w:tc>
      </w:tr>
      <w:tr w14:paraId="0389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92" w:type="dxa"/>
            <w:tcBorders>
              <w:top w:val="nil"/>
              <w:left w:val="nil"/>
              <w:bottom w:val="nil"/>
              <w:right w:val="nil"/>
            </w:tcBorders>
            <w:vAlign w:val="center"/>
          </w:tcPr>
          <w:p w14:paraId="2D9B0DD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HbA1c (per 1%)</w:t>
            </w:r>
          </w:p>
        </w:tc>
        <w:tc>
          <w:tcPr>
            <w:tcW w:w="728" w:type="dxa"/>
            <w:tcBorders>
              <w:top w:val="nil"/>
              <w:left w:val="nil"/>
              <w:bottom w:val="nil"/>
              <w:right w:val="nil"/>
            </w:tcBorders>
            <w:vAlign w:val="center"/>
          </w:tcPr>
          <w:p w14:paraId="37DFA1E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-0.20</w:t>
            </w:r>
          </w:p>
        </w:tc>
        <w:tc>
          <w:tcPr>
            <w:tcW w:w="637" w:type="dxa"/>
            <w:tcBorders>
              <w:top w:val="nil"/>
              <w:left w:val="nil"/>
              <w:bottom w:val="nil"/>
              <w:right w:val="nil"/>
            </w:tcBorders>
            <w:vAlign w:val="center"/>
          </w:tcPr>
          <w:p w14:paraId="0042D24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0.10</w:t>
            </w:r>
          </w:p>
        </w:tc>
        <w:tc>
          <w:tcPr>
            <w:tcW w:w="2390" w:type="dxa"/>
            <w:tcBorders>
              <w:top w:val="nil"/>
              <w:left w:val="nil"/>
              <w:bottom w:val="nil"/>
              <w:right w:val="nil"/>
            </w:tcBorders>
            <w:vAlign w:val="center"/>
          </w:tcPr>
          <w:p w14:paraId="1136375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0.82 (0.67–1.01)</w:t>
            </w:r>
          </w:p>
        </w:tc>
        <w:tc>
          <w:tcPr>
            <w:tcW w:w="1017" w:type="dxa"/>
            <w:tcBorders>
              <w:top w:val="nil"/>
              <w:left w:val="nil"/>
              <w:bottom w:val="nil"/>
              <w:right w:val="nil"/>
            </w:tcBorders>
            <w:vAlign w:val="center"/>
          </w:tcPr>
          <w:p w14:paraId="07BA4A5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0.064</w:t>
            </w:r>
          </w:p>
        </w:tc>
      </w:tr>
      <w:tr w14:paraId="1B00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92" w:type="dxa"/>
            <w:tcBorders>
              <w:top w:val="nil"/>
              <w:left w:val="nil"/>
              <w:bottom w:val="nil"/>
              <w:right w:val="nil"/>
            </w:tcBorders>
            <w:vAlign w:val="center"/>
          </w:tcPr>
          <w:p w14:paraId="2C42638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MAGE (per 1 mmol/L)</w:t>
            </w:r>
          </w:p>
        </w:tc>
        <w:tc>
          <w:tcPr>
            <w:tcW w:w="728" w:type="dxa"/>
            <w:tcBorders>
              <w:top w:val="nil"/>
              <w:left w:val="nil"/>
              <w:bottom w:val="nil"/>
              <w:right w:val="nil"/>
            </w:tcBorders>
            <w:vAlign w:val="center"/>
          </w:tcPr>
          <w:p w14:paraId="26DA70A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0.29</w:t>
            </w:r>
          </w:p>
        </w:tc>
        <w:tc>
          <w:tcPr>
            <w:tcW w:w="637" w:type="dxa"/>
            <w:tcBorders>
              <w:top w:val="nil"/>
              <w:left w:val="nil"/>
              <w:bottom w:val="nil"/>
              <w:right w:val="nil"/>
            </w:tcBorders>
            <w:vAlign w:val="center"/>
          </w:tcPr>
          <w:p w14:paraId="72B46D9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0.13</w:t>
            </w:r>
          </w:p>
        </w:tc>
        <w:tc>
          <w:tcPr>
            <w:tcW w:w="2390" w:type="dxa"/>
            <w:tcBorders>
              <w:top w:val="nil"/>
              <w:left w:val="nil"/>
              <w:bottom w:val="nil"/>
              <w:right w:val="nil"/>
            </w:tcBorders>
            <w:vAlign w:val="center"/>
          </w:tcPr>
          <w:p w14:paraId="35BF5BB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1.34 (1.04–1.73)</w:t>
            </w:r>
          </w:p>
        </w:tc>
        <w:tc>
          <w:tcPr>
            <w:tcW w:w="1017" w:type="dxa"/>
            <w:tcBorders>
              <w:top w:val="nil"/>
              <w:left w:val="nil"/>
              <w:bottom w:val="nil"/>
              <w:right w:val="nil"/>
            </w:tcBorders>
            <w:vAlign w:val="center"/>
          </w:tcPr>
          <w:p w14:paraId="4901E0E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0.023</w:t>
            </w:r>
          </w:p>
        </w:tc>
      </w:tr>
      <w:tr w14:paraId="23A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92" w:type="dxa"/>
            <w:tcBorders>
              <w:top w:val="nil"/>
              <w:left w:val="nil"/>
              <w:bottom w:val="nil"/>
              <w:right w:val="nil"/>
            </w:tcBorders>
            <w:vAlign w:val="center"/>
          </w:tcPr>
          <w:p w14:paraId="5A101F0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Mean glucose (per 1 mmol/L)</w:t>
            </w:r>
          </w:p>
        </w:tc>
        <w:tc>
          <w:tcPr>
            <w:tcW w:w="728" w:type="dxa"/>
            <w:tcBorders>
              <w:top w:val="nil"/>
              <w:left w:val="nil"/>
              <w:bottom w:val="nil"/>
              <w:right w:val="nil"/>
            </w:tcBorders>
            <w:vAlign w:val="center"/>
          </w:tcPr>
          <w:p w14:paraId="166FAA3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0.25</w:t>
            </w:r>
          </w:p>
        </w:tc>
        <w:tc>
          <w:tcPr>
            <w:tcW w:w="637" w:type="dxa"/>
            <w:tcBorders>
              <w:top w:val="nil"/>
              <w:left w:val="nil"/>
              <w:bottom w:val="nil"/>
              <w:right w:val="nil"/>
            </w:tcBorders>
            <w:vAlign w:val="center"/>
          </w:tcPr>
          <w:p w14:paraId="3170E8B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0.14</w:t>
            </w:r>
          </w:p>
        </w:tc>
        <w:tc>
          <w:tcPr>
            <w:tcW w:w="2390" w:type="dxa"/>
            <w:tcBorders>
              <w:top w:val="nil"/>
              <w:left w:val="nil"/>
              <w:bottom w:val="nil"/>
              <w:right w:val="nil"/>
            </w:tcBorders>
            <w:vAlign w:val="center"/>
          </w:tcPr>
          <w:p w14:paraId="3C28C75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1.28 (0.99–1.68)</w:t>
            </w:r>
          </w:p>
        </w:tc>
        <w:tc>
          <w:tcPr>
            <w:tcW w:w="1017" w:type="dxa"/>
            <w:tcBorders>
              <w:top w:val="nil"/>
              <w:left w:val="nil"/>
              <w:bottom w:val="nil"/>
              <w:right w:val="nil"/>
            </w:tcBorders>
            <w:vAlign w:val="center"/>
          </w:tcPr>
          <w:p w14:paraId="0CADF7C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0.064</w:t>
            </w:r>
          </w:p>
        </w:tc>
      </w:tr>
      <w:tr w14:paraId="293B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92" w:type="dxa"/>
            <w:tcBorders>
              <w:top w:val="nil"/>
              <w:left w:val="nil"/>
              <w:bottom w:val="nil"/>
              <w:right w:val="nil"/>
            </w:tcBorders>
            <w:vAlign w:val="center"/>
          </w:tcPr>
          <w:p w14:paraId="168C63B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2-h C-peptide (per 1 nmol/L)</w:t>
            </w:r>
          </w:p>
        </w:tc>
        <w:tc>
          <w:tcPr>
            <w:tcW w:w="728" w:type="dxa"/>
            <w:tcBorders>
              <w:top w:val="nil"/>
              <w:left w:val="nil"/>
              <w:bottom w:val="nil"/>
              <w:right w:val="nil"/>
            </w:tcBorders>
            <w:vAlign w:val="center"/>
          </w:tcPr>
          <w:p w14:paraId="15F68C0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-0.64</w:t>
            </w:r>
          </w:p>
        </w:tc>
        <w:tc>
          <w:tcPr>
            <w:tcW w:w="637" w:type="dxa"/>
            <w:tcBorders>
              <w:top w:val="nil"/>
              <w:left w:val="nil"/>
              <w:bottom w:val="nil"/>
              <w:right w:val="nil"/>
            </w:tcBorders>
            <w:vAlign w:val="center"/>
          </w:tcPr>
          <w:p w14:paraId="16E1935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0.21</w:t>
            </w:r>
          </w:p>
        </w:tc>
        <w:tc>
          <w:tcPr>
            <w:tcW w:w="2390" w:type="dxa"/>
            <w:tcBorders>
              <w:top w:val="nil"/>
              <w:left w:val="nil"/>
              <w:bottom w:val="nil"/>
              <w:right w:val="nil"/>
            </w:tcBorders>
            <w:vAlign w:val="center"/>
          </w:tcPr>
          <w:p w14:paraId="0E586EB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0.53 (0.35–0.80)</w:t>
            </w:r>
          </w:p>
        </w:tc>
        <w:tc>
          <w:tcPr>
            <w:tcW w:w="1017" w:type="dxa"/>
            <w:tcBorders>
              <w:top w:val="nil"/>
              <w:left w:val="nil"/>
              <w:bottom w:val="nil"/>
              <w:right w:val="nil"/>
            </w:tcBorders>
            <w:vAlign w:val="center"/>
          </w:tcPr>
          <w:p w14:paraId="4458F4D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0.002</w:t>
            </w:r>
          </w:p>
        </w:tc>
      </w:tr>
      <w:tr w14:paraId="1CC1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92" w:type="dxa"/>
            <w:tcBorders>
              <w:top w:val="nil"/>
              <w:left w:val="nil"/>
              <w:bottom w:val="nil"/>
              <w:right w:val="nil"/>
            </w:tcBorders>
            <w:vAlign w:val="center"/>
          </w:tcPr>
          <w:p w14:paraId="65ACACF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Albumin (per 1 g/L)</w:t>
            </w:r>
          </w:p>
        </w:tc>
        <w:tc>
          <w:tcPr>
            <w:tcW w:w="728" w:type="dxa"/>
            <w:tcBorders>
              <w:top w:val="nil"/>
              <w:left w:val="nil"/>
              <w:bottom w:val="nil"/>
              <w:right w:val="nil"/>
            </w:tcBorders>
            <w:vAlign w:val="center"/>
          </w:tcPr>
          <w:p w14:paraId="39FA989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-0.06</w:t>
            </w:r>
          </w:p>
        </w:tc>
        <w:tc>
          <w:tcPr>
            <w:tcW w:w="637" w:type="dxa"/>
            <w:tcBorders>
              <w:top w:val="nil"/>
              <w:left w:val="nil"/>
              <w:bottom w:val="nil"/>
              <w:right w:val="nil"/>
            </w:tcBorders>
            <w:vAlign w:val="center"/>
          </w:tcPr>
          <w:p w14:paraId="5F75267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0.05</w:t>
            </w:r>
          </w:p>
        </w:tc>
        <w:tc>
          <w:tcPr>
            <w:tcW w:w="2390" w:type="dxa"/>
            <w:tcBorders>
              <w:top w:val="nil"/>
              <w:left w:val="nil"/>
              <w:bottom w:val="nil"/>
              <w:right w:val="nil"/>
            </w:tcBorders>
            <w:vAlign w:val="center"/>
          </w:tcPr>
          <w:p w14:paraId="78672B8D">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0.94 (0.85–1.04)</w:t>
            </w:r>
          </w:p>
        </w:tc>
        <w:tc>
          <w:tcPr>
            <w:tcW w:w="1017" w:type="dxa"/>
            <w:tcBorders>
              <w:top w:val="nil"/>
              <w:left w:val="nil"/>
              <w:bottom w:val="nil"/>
              <w:right w:val="nil"/>
            </w:tcBorders>
            <w:vAlign w:val="center"/>
          </w:tcPr>
          <w:p w14:paraId="66CF006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0.237</w:t>
            </w:r>
          </w:p>
        </w:tc>
      </w:tr>
      <w:tr w14:paraId="3BA1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92" w:type="dxa"/>
            <w:tcBorders>
              <w:top w:val="nil"/>
              <w:left w:val="nil"/>
              <w:bottom w:val="nil"/>
              <w:right w:val="nil"/>
            </w:tcBorders>
            <w:vAlign w:val="center"/>
          </w:tcPr>
          <w:p w14:paraId="4C9CC49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ApoA-I (per 1 g/L)</w:t>
            </w:r>
          </w:p>
        </w:tc>
        <w:tc>
          <w:tcPr>
            <w:tcW w:w="728" w:type="dxa"/>
            <w:tcBorders>
              <w:top w:val="nil"/>
              <w:left w:val="nil"/>
              <w:bottom w:val="nil"/>
              <w:right w:val="nil"/>
            </w:tcBorders>
            <w:vAlign w:val="center"/>
          </w:tcPr>
          <w:p w14:paraId="7669AF1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-1.48</w:t>
            </w:r>
          </w:p>
        </w:tc>
        <w:tc>
          <w:tcPr>
            <w:tcW w:w="637" w:type="dxa"/>
            <w:tcBorders>
              <w:top w:val="nil"/>
              <w:left w:val="nil"/>
              <w:bottom w:val="nil"/>
              <w:right w:val="nil"/>
            </w:tcBorders>
            <w:vAlign w:val="center"/>
          </w:tcPr>
          <w:p w14:paraId="00268B2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0.68</w:t>
            </w:r>
          </w:p>
        </w:tc>
        <w:tc>
          <w:tcPr>
            <w:tcW w:w="2390" w:type="dxa"/>
            <w:tcBorders>
              <w:top w:val="nil"/>
              <w:left w:val="nil"/>
              <w:bottom w:val="nil"/>
              <w:right w:val="nil"/>
            </w:tcBorders>
            <w:vAlign w:val="center"/>
          </w:tcPr>
          <w:p w14:paraId="5643C62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0.23 (0.06–0.86)</w:t>
            </w:r>
          </w:p>
        </w:tc>
        <w:tc>
          <w:tcPr>
            <w:tcW w:w="1017" w:type="dxa"/>
            <w:tcBorders>
              <w:top w:val="nil"/>
              <w:left w:val="nil"/>
              <w:bottom w:val="nil"/>
              <w:right w:val="nil"/>
            </w:tcBorders>
            <w:vAlign w:val="center"/>
          </w:tcPr>
          <w:p w14:paraId="32C1CEB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0.029</w:t>
            </w:r>
          </w:p>
        </w:tc>
      </w:tr>
      <w:tr w14:paraId="077D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92" w:type="dxa"/>
            <w:tcBorders>
              <w:top w:val="nil"/>
              <w:left w:val="nil"/>
              <w:bottom w:val="single" w:color="auto" w:sz="4" w:space="0"/>
              <w:right w:val="nil"/>
            </w:tcBorders>
            <w:vAlign w:val="center"/>
          </w:tcPr>
          <w:p w14:paraId="3CB7A39F">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Intercept</w:t>
            </w:r>
          </w:p>
        </w:tc>
        <w:tc>
          <w:tcPr>
            <w:tcW w:w="728" w:type="dxa"/>
            <w:tcBorders>
              <w:top w:val="nil"/>
              <w:left w:val="nil"/>
              <w:bottom w:val="single" w:color="auto" w:sz="4" w:space="0"/>
              <w:right w:val="nil"/>
            </w:tcBorders>
            <w:vAlign w:val="center"/>
          </w:tcPr>
          <w:p w14:paraId="3293561A">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2.26</w:t>
            </w:r>
          </w:p>
        </w:tc>
        <w:tc>
          <w:tcPr>
            <w:tcW w:w="637" w:type="dxa"/>
            <w:tcBorders>
              <w:top w:val="nil"/>
              <w:left w:val="nil"/>
              <w:bottom w:val="single" w:color="auto" w:sz="4" w:space="0"/>
              <w:right w:val="nil"/>
            </w:tcBorders>
            <w:vAlign w:val="center"/>
          </w:tcPr>
          <w:p w14:paraId="50B2AED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3.10</w:t>
            </w:r>
          </w:p>
        </w:tc>
        <w:tc>
          <w:tcPr>
            <w:tcW w:w="2390" w:type="dxa"/>
            <w:tcBorders>
              <w:top w:val="nil"/>
              <w:left w:val="nil"/>
              <w:bottom w:val="single" w:color="auto" w:sz="4" w:space="0"/>
              <w:right w:val="nil"/>
            </w:tcBorders>
            <w:vAlign w:val="center"/>
          </w:tcPr>
          <w:p w14:paraId="657BB0C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w:t>
            </w:r>
          </w:p>
        </w:tc>
        <w:tc>
          <w:tcPr>
            <w:tcW w:w="1017" w:type="dxa"/>
            <w:tcBorders>
              <w:top w:val="nil"/>
              <w:left w:val="nil"/>
              <w:bottom w:val="single" w:color="auto" w:sz="4" w:space="0"/>
              <w:right w:val="nil"/>
            </w:tcBorders>
            <w:vAlign w:val="center"/>
          </w:tcPr>
          <w:p w14:paraId="2EC427A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napToGrid w:val="0"/>
              <w:spacing w:after="0" w:line="240" w:lineRule="auto"/>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0.466</w:t>
            </w:r>
          </w:p>
        </w:tc>
      </w:tr>
    </w:tbl>
    <w:p w14:paraId="2EF564EF">
      <w:pPr>
        <w:rPr>
          <w:rFonts w:hint="default" w:ascii="Times New Roman" w:hAnsi="Times New Roman" w:cs="Times New Roman"/>
        </w:rPr>
      </w:pPr>
      <w:r>
        <w:rPr>
          <w:rFonts w:hint="default" w:ascii="Times New Roman" w:hAnsi="Times New Roman" w:eastAsia="宋体" w:cs="Times New Roman"/>
          <w:b/>
          <w:bCs/>
          <w:i w:val="0"/>
          <w:iCs w:val="0"/>
          <w:color w:val="000000"/>
          <w:kern w:val="0"/>
          <w:sz w:val="22"/>
          <w:szCs w:val="22"/>
          <w:u w:val="none"/>
          <w:lang w:val="en-US" w:eastAsia="zh-CN" w:bidi="ar"/>
        </w:rPr>
        <w:t xml:space="preserve">Table </w:t>
      </w:r>
      <w:r>
        <w:rPr>
          <w:rFonts w:hint="eastAsia" w:ascii="Times New Roman" w:hAnsi="Times New Roman" w:eastAsia="宋体" w:cs="Times New Roman"/>
          <w:b/>
          <w:bCs/>
          <w:i w:val="0"/>
          <w:iCs w:val="0"/>
          <w:color w:val="000000"/>
          <w:kern w:val="0"/>
          <w:sz w:val="22"/>
          <w:szCs w:val="22"/>
          <w:u w:val="none"/>
          <w:lang w:val="en-US" w:eastAsia="zh-CN" w:bidi="ar"/>
        </w:rPr>
        <w:t>S5</w:t>
      </w:r>
      <w:r>
        <w:rPr>
          <w:rFonts w:hint="default" w:ascii="Times New Roman" w:hAnsi="Times New Roman" w:eastAsia="宋体" w:cs="Times New Roman"/>
          <w:b/>
          <w:bCs/>
          <w:i w:val="0"/>
          <w:iCs w:val="0"/>
          <w:color w:val="000000"/>
          <w:kern w:val="0"/>
          <w:sz w:val="22"/>
          <w:szCs w:val="22"/>
          <w:u w:val="none"/>
          <w:lang w:val="en-US" w:eastAsia="zh-CN" w:bidi="ar"/>
        </w:rPr>
        <w:t>.</w:t>
      </w:r>
      <w:r>
        <w:rPr>
          <w:rFonts w:hint="default" w:ascii="Times New Roman" w:hAnsi="Times New Roman" w:eastAsia="宋体" w:cs="Times New Roman"/>
          <w:b w:val="0"/>
          <w:bCs w:val="0"/>
          <w:i w:val="0"/>
          <w:iCs w:val="0"/>
          <w:color w:val="000000"/>
          <w:kern w:val="0"/>
          <w:sz w:val="22"/>
          <w:szCs w:val="22"/>
          <w:u w:val="none"/>
          <w:lang w:val="en-US" w:eastAsia="zh-CN" w:bidi="ar"/>
        </w:rPr>
        <w:t xml:space="preserve"> Base specification (Model A) includes only clinical–metabolic covariates for malignancy.</w:t>
      </w:r>
      <w:r>
        <w:rPr>
          <w:rFonts w:hint="eastAsia" w:ascii="Times New Roman" w:hAnsi="Times New Roman" w:eastAsia="宋体" w:cs="Times New Roman"/>
          <w:b w:val="0"/>
          <w:bCs w:val="0"/>
          <w:i w:val="0"/>
          <w:iCs w:val="0"/>
          <w:color w:val="000000"/>
          <w:kern w:val="0"/>
          <w:sz w:val="22"/>
          <w:szCs w:val="22"/>
          <w:u w:val="none"/>
          <w:lang w:val="en-US" w:eastAsia="zh-CN" w:bidi="ar"/>
        </w:rPr>
        <w:t xml:space="preserve"> </w:t>
      </w:r>
      <w:r>
        <w:rPr>
          <w:rFonts w:hint="default" w:ascii="Times New Roman" w:hAnsi="Times New Roman" w:cs="Times New Roman"/>
        </w:rPr>
        <w:t>Values are regression coefficients (B), standard errors (SE), odds ratios (OR) with 95% confidence intervals (CI), and Wald P values from a multivariable logistic model. The intercept is reported to enable full model reconstruction (logit(p)=β₀+Σβx).</w:t>
      </w:r>
    </w:p>
    <w:p w14:paraId="5D842AD2">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p>
    <w:p w14:paraId="7167565D">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Table S</w:t>
      </w:r>
      <w:r>
        <w:rPr>
          <w:rFonts w:hint="eastAsia" w:ascii="Times New Roman" w:hAnsi="Times New Roman" w:eastAsia="宋体" w:cs="Times New Roman"/>
          <w:b/>
          <w:bCs/>
          <w:i w:val="0"/>
          <w:iCs w:val="0"/>
          <w:color w:val="000000"/>
          <w:kern w:val="0"/>
          <w:sz w:val="24"/>
          <w:szCs w:val="24"/>
          <w:u w:val="none"/>
          <w:lang w:val="en-US" w:eastAsia="zh-CN" w:bidi="ar"/>
        </w:rPr>
        <w:t>6</w:t>
      </w:r>
      <w:r>
        <w:rPr>
          <w:rFonts w:hint="default" w:ascii="Times New Roman" w:hAnsi="Times New Roman" w:eastAsia="宋体" w:cs="Times New Roman"/>
          <w:b/>
          <w:bCs/>
          <w:i w:val="0"/>
          <w:iCs w:val="0"/>
          <w:color w:val="000000"/>
          <w:kern w:val="0"/>
          <w:sz w:val="24"/>
          <w:szCs w:val="24"/>
          <w:u w:val="none"/>
          <w:lang w:val="en-US" w:eastAsia="zh-CN" w:bidi="ar"/>
        </w:rPr>
        <w:t>. Logistic regression coefficients for malignancy in participants with type 2 diabetes (Model B)</w:t>
      </w:r>
    </w:p>
    <w:tbl>
      <w:tblPr>
        <w:tblStyle w:val="3"/>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3692"/>
        <w:gridCol w:w="696"/>
        <w:gridCol w:w="616"/>
        <w:gridCol w:w="2822"/>
        <w:gridCol w:w="938"/>
      </w:tblGrid>
      <w:tr w14:paraId="4BC8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3692" w:type="dxa"/>
            <w:tcBorders>
              <w:top w:val="single" w:color="auto" w:sz="4" w:space="0"/>
              <w:left w:val="nil"/>
              <w:bottom w:val="single" w:color="auto" w:sz="4" w:space="0"/>
              <w:right w:val="nil"/>
            </w:tcBorders>
            <w:vAlign w:val="center"/>
          </w:tcPr>
          <w:p w14:paraId="3DF57580">
            <w:pPr>
              <w:snapToGrid w:val="0"/>
              <w:spacing w:after="0" w:line="240" w:lineRule="auto"/>
              <w:jc w:val="center"/>
              <w:rPr>
                <w:rFonts w:hint="eastAsia" w:ascii="Times New Roman" w:hAnsi="Times New Roman" w:eastAsia="宋体" w:cs="Times New Roman"/>
                <w:b/>
                <w:sz w:val="22"/>
                <w:lang w:eastAsia="zh-CN"/>
              </w:rPr>
            </w:pPr>
            <w:r>
              <w:rPr>
                <w:rFonts w:hint="eastAsia" w:ascii="Times New Roman" w:eastAsia="宋体"/>
                <w:b/>
                <w:sz w:val="22"/>
                <w:lang w:eastAsia="zh-CN"/>
              </w:rPr>
              <w:t>Variable</w:t>
            </w:r>
          </w:p>
        </w:tc>
        <w:tc>
          <w:tcPr>
            <w:tcW w:w="696" w:type="dxa"/>
            <w:tcBorders>
              <w:top w:val="single" w:color="auto" w:sz="4" w:space="0"/>
              <w:left w:val="nil"/>
              <w:bottom w:val="single" w:color="auto" w:sz="4" w:space="0"/>
              <w:right w:val="nil"/>
            </w:tcBorders>
            <w:vAlign w:val="center"/>
          </w:tcPr>
          <w:p w14:paraId="56CC4390">
            <w:pPr>
              <w:snapToGrid w:val="0"/>
              <w:spacing w:after="0" w:line="240" w:lineRule="auto"/>
              <w:jc w:val="center"/>
              <w:rPr>
                <w:rFonts w:hint="eastAsia" w:ascii="Times New Roman" w:hAnsi="Times New Roman" w:eastAsia="宋体" w:cs="Times New Roman"/>
                <w:b/>
                <w:sz w:val="22"/>
                <w:lang w:eastAsia="zh-CN"/>
              </w:rPr>
            </w:pPr>
            <w:r>
              <w:rPr>
                <w:rFonts w:hint="eastAsia" w:ascii="Times New Roman" w:eastAsia="宋体"/>
                <w:b/>
                <w:sz w:val="22"/>
                <w:lang w:eastAsia="zh-CN"/>
              </w:rPr>
              <w:t>B</w:t>
            </w:r>
          </w:p>
        </w:tc>
        <w:tc>
          <w:tcPr>
            <w:tcW w:w="616" w:type="dxa"/>
            <w:tcBorders>
              <w:top w:val="single" w:color="auto" w:sz="4" w:space="0"/>
              <w:left w:val="nil"/>
              <w:bottom w:val="single" w:color="auto" w:sz="4" w:space="0"/>
              <w:right w:val="nil"/>
            </w:tcBorders>
            <w:vAlign w:val="center"/>
          </w:tcPr>
          <w:p w14:paraId="7B2ACF28">
            <w:pPr>
              <w:snapToGrid w:val="0"/>
              <w:spacing w:after="0" w:line="240" w:lineRule="auto"/>
              <w:jc w:val="center"/>
              <w:rPr>
                <w:rFonts w:hint="eastAsia" w:ascii="Times New Roman" w:hAnsi="Times New Roman" w:eastAsia="宋体" w:cs="Times New Roman"/>
                <w:b/>
                <w:sz w:val="22"/>
                <w:lang w:eastAsia="zh-CN"/>
              </w:rPr>
            </w:pPr>
            <w:r>
              <w:rPr>
                <w:rFonts w:hint="eastAsia" w:ascii="Times New Roman" w:eastAsia="宋体"/>
                <w:b/>
                <w:sz w:val="22"/>
                <w:lang w:eastAsia="zh-CN"/>
              </w:rPr>
              <w:t>SE</w:t>
            </w:r>
          </w:p>
        </w:tc>
        <w:tc>
          <w:tcPr>
            <w:tcW w:w="2822" w:type="dxa"/>
            <w:tcBorders>
              <w:top w:val="single" w:color="auto" w:sz="4" w:space="0"/>
              <w:left w:val="nil"/>
              <w:bottom w:val="single" w:color="auto" w:sz="4" w:space="0"/>
              <w:right w:val="nil"/>
            </w:tcBorders>
            <w:vAlign w:val="center"/>
          </w:tcPr>
          <w:p w14:paraId="30E5B765">
            <w:pPr>
              <w:snapToGrid w:val="0"/>
              <w:spacing w:after="0" w:line="240" w:lineRule="auto"/>
              <w:jc w:val="center"/>
              <w:rPr>
                <w:rFonts w:hint="eastAsia" w:ascii="Times New Roman" w:hAnsi="Times New Roman" w:eastAsia="宋体" w:cs="Times New Roman"/>
                <w:b/>
                <w:sz w:val="22"/>
                <w:lang w:eastAsia="zh-CN"/>
              </w:rPr>
            </w:pPr>
            <w:r>
              <w:rPr>
                <w:rFonts w:hint="eastAsia" w:ascii="Times New Roman" w:eastAsia="宋体"/>
                <w:b/>
                <w:sz w:val="22"/>
                <w:lang w:eastAsia="zh-CN"/>
              </w:rPr>
              <w:t>OR (95% CI)</w:t>
            </w:r>
          </w:p>
        </w:tc>
        <w:tc>
          <w:tcPr>
            <w:tcW w:w="938" w:type="dxa"/>
            <w:tcBorders>
              <w:top w:val="single" w:color="auto" w:sz="4" w:space="0"/>
              <w:left w:val="nil"/>
              <w:bottom w:val="single" w:color="auto" w:sz="4" w:space="0"/>
              <w:right w:val="nil"/>
            </w:tcBorders>
            <w:vAlign w:val="center"/>
          </w:tcPr>
          <w:p w14:paraId="64ACF243">
            <w:pPr>
              <w:snapToGrid w:val="0"/>
              <w:spacing w:after="0" w:line="240" w:lineRule="auto"/>
              <w:jc w:val="center"/>
              <w:rPr>
                <w:rFonts w:hint="eastAsia" w:ascii="Times New Roman" w:hAnsi="Times New Roman" w:eastAsia="宋体" w:cs="Times New Roman"/>
                <w:b/>
                <w:sz w:val="22"/>
                <w:lang w:eastAsia="zh-CN"/>
              </w:rPr>
            </w:pPr>
            <w:r>
              <w:rPr>
                <w:rFonts w:hint="eastAsia" w:ascii="Times New Roman" w:eastAsia="宋体"/>
                <w:b/>
                <w:sz w:val="22"/>
                <w:lang w:eastAsia="zh-CN"/>
              </w:rPr>
              <w:t>P value</w:t>
            </w:r>
          </w:p>
        </w:tc>
      </w:tr>
      <w:tr w14:paraId="1238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single" w:color="auto" w:sz="4" w:space="0"/>
              <w:left w:val="nil"/>
              <w:bottom w:val="nil"/>
              <w:right w:val="nil"/>
            </w:tcBorders>
            <w:vAlign w:val="center"/>
          </w:tcPr>
          <w:p w14:paraId="6A57FE0F">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Age (per 1 year)</w:t>
            </w:r>
          </w:p>
        </w:tc>
        <w:tc>
          <w:tcPr>
            <w:tcW w:w="696" w:type="dxa"/>
            <w:tcBorders>
              <w:top w:val="single" w:color="auto" w:sz="4" w:space="0"/>
              <w:left w:val="nil"/>
              <w:bottom w:val="nil"/>
              <w:right w:val="nil"/>
            </w:tcBorders>
            <w:vAlign w:val="center"/>
          </w:tcPr>
          <w:p w14:paraId="46C24764">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-0.03</w:t>
            </w:r>
          </w:p>
        </w:tc>
        <w:tc>
          <w:tcPr>
            <w:tcW w:w="616" w:type="dxa"/>
            <w:tcBorders>
              <w:top w:val="single" w:color="auto" w:sz="4" w:space="0"/>
              <w:left w:val="nil"/>
              <w:bottom w:val="nil"/>
              <w:right w:val="nil"/>
            </w:tcBorders>
            <w:vAlign w:val="center"/>
          </w:tcPr>
          <w:p w14:paraId="495B4BCA">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0.03</w:t>
            </w:r>
          </w:p>
        </w:tc>
        <w:tc>
          <w:tcPr>
            <w:tcW w:w="2822" w:type="dxa"/>
            <w:tcBorders>
              <w:top w:val="single" w:color="auto" w:sz="4" w:space="0"/>
              <w:left w:val="nil"/>
              <w:bottom w:val="nil"/>
              <w:right w:val="nil"/>
            </w:tcBorders>
            <w:vAlign w:val="center"/>
          </w:tcPr>
          <w:p w14:paraId="5E7E899B">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0.97 (0.91–1.03)</w:t>
            </w:r>
          </w:p>
        </w:tc>
        <w:tc>
          <w:tcPr>
            <w:tcW w:w="938" w:type="dxa"/>
            <w:tcBorders>
              <w:top w:val="single" w:color="auto" w:sz="4" w:space="0"/>
              <w:left w:val="nil"/>
              <w:bottom w:val="nil"/>
              <w:right w:val="nil"/>
            </w:tcBorders>
            <w:vAlign w:val="center"/>
          </w:tcPr>
          <w:p w14:paraId="798F1C40">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0.340</w:t>
            </w:r>
          </w:p>
        </w:tc>
      </w:tr>
      <w:tr w14:paraId="68ED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7D9E90E5">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Male sex (ref: female)</w:t>
            </w:r>
          </w:p>
        </w:tc>
        <w:tc>
          <w:tcPr>
            <w:tcW w:w="696" w:type="dxa"/>
            <w:tcBorders>
              <w:top w:val="nil"/>
              <w:left w:val="nil"/>
              <w:bottom w:val="nil"/>
              <w:right w:val="nil"/>
            </w:tcBorders>
            <w:vAlign w:val="center"/>
          </w:tcPr>
          <w:p w14:paraId="6B1DBA69">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-0.70</w:t>
            </w:r>
          </w:p>
        </w:tc>
        <w:tc>
          <w:tcPr>
            <w:tcW w:w="616" w:type="dxa"/>
            <w:tcBorders>
              <w:top w:val="nil"/>
              <w:left w:val="nil"/>
              <w:bottom w:val="nil"/>
              <w:right w:val="nil"/>
            </w:tcBorders>
            <w:vAlign w:val="center"/>
          </w:tcPr>
          <w:p w14:paraId="792869E8">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0.61</w:t>
            </w:r>
          </w:p>
        </w:tc>
        <w:tc>
          <w:tcPr>
            <w:tcW w:w="2822" w:type="dxa"/>
            <w:tcBorders>
              <w:top w:val="nil"/>
              <w:left w:val="nil"/>
              <w:bottom w:val="nil"/>
              <w:right w:val="nil"/>
            </w:tcBorders>
            <w:vAlign w:val="center"/>
          </w:tcPr>
          <w:p w14:paraId="4014399C">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0.50 (0.15–1.63)</w:t>
            </w:r>
          </w:p>
        </w:tc>
        <w:tc>
          <w:tcPr>
            <w:tcW w:w="938" w:type="dxa"/>
            <w:tcBorders>
              <w:top w:val="nil"/>
              <w:left w:val="nil"/>
              <w:bottom w:val="nil"/>
              <w:right w:val="nil"/>
            </w:tcBorders>
            <w:vAlign w:val="center"/>
          </w:tcPr>
          <w:p w14:paraId="7AF94263">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0.249</w:t>
            </w:r>
          </w:p>
        </w:tc>
      </w:tr>
      <w:tr w14:paraId="7A9B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5BFED3EB">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BMI (per 1 kg/m²)</w:t>
            </w:r>
          </w:p>
        </w:tc>
        <w:tc>
          <w:tcPr>
            <w:tcW w:w="696" w:type="dxa"/>
            <w:tcBorders>
              <w:top w:val="nil"/>
              <w:left w:val="nil"/>
              <w:bottom w:val="nil"/>
              <w:right w:val="nil"/>
            </w:tcBorders>
            <w:vAlign w:val="center"/>
          </w:tcPr>
          <w:p w14:paraId="6CCFDC51">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0.05</w:t>
            </w:r>
          </w:p>
        </w:tc>
        <w:tc>
          <w:tcPr>
            <w:tcW w:w="616" w:type="dxa"/>
            <w:tcBorders>
              <w:top w:val="nil"/>
              <w:left w:val="nil"/>
              <w:bottom w:val="nil"/>
              <w:right w:val="nil"/>
            </w:tcBorders>
            <w:vAlign w:val="center"/>
          </w:tcPr>
          <w:p w14:paraId="7DF54ABC">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0.08</w:t>
            </w:r>
          </w:p>
        </w:tc>
        <w:tc>
          <w:tcPr>
            <w:tcW w:w="2822" w:type="dxa"/>
            <w:tcBorders>
              <w:top w:val="nil"/>
              <w:left w:val="nil"/>
              <w:bottom w:val="nil"/>
              <w:right w:val="nil"/>
            </w:tcBorders>
            <w:vAlign w:val="center"/>
          </w:tcPr>
          <w:p w14:paraId="7CBEB1BB">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1.05 (0.89–1.23)</w:t>
            </w:r>
          </w:p>
        </w:tc>
        <w:tc>
          <w:tcPr>
            <w:tcW w:w="938" w:type="dxa"/>
            <w:tcBorders>
              <w:top w:val="nil"/>
              <w:left w:val="nil"/>
              <w:bottom w:val="nil"/>
              <w:right w:val="nil"/>
            </w:tcBorders>
            <w:vAlign w:val="center"/>
          </w:tcPr>
          <w:p w14:paraId="259951C8">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0.560</w:t>
            </w:r>
          </w:p>
        </w:tc>
      </w:tr>
      <w:tr w14:paraId="76E1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1545B905">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lang w:eastAsia="zh-CN"/>
              </w:rPr>
              <w:t>SGLT2</w:t>
            </w:r>
            <w:r>
              <w:rPr>
                <w:rFonts w:hint="eastAsia" w:ascii="Times New Roman" w:eastAsia="宋体"/>
                <w:sz w:val="22"/>
              </w:rPr>
              <w:t xml:space="preserve"> inhibitor use (yes; ref: no)</w:t>
            </w:r>
          </w:p>
        </w:tc>
        <w:tc>
          <w:tcPr>
            <w:tcW w:w="696" w:type="dxa"/>
            <w:tcBorders>
              <w:top w:val="nil"/>
              <w:left w:val="nil"/>
              <w:bottom w:val="nil"/>
              <w:right w:val="nil"/>
            </w:tcBorders>
            <w:vAlign w:val="center"/>
          </w:tcPr>
          <w:p w14:paraId="5018DCA5">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-0.66</w:t>
            </w:r>
          </w:p>
        </w:tc>
        <w:tc>
          <w:tcPr>
            <w:tcW w:w="616" w:type="dxa"/>
            <w:tcBorders>
              <w:top w:val="nil"/>
              <w:left w:val="nil"/>
              <w:bottom w:val="nil"/>
              <w:right w:val="nil"/>
            </w:tcBorders>
            <w:vAlign w:val="center"/>
          </w:tcPr>
          <w:p w14:paraId="671F0015">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0.55</w:t>
            </w:r>
          </w:p>
        </w:tc>
        <w:tc>
          <w:tcPr>
            <w:tcW w:w="2822" w:type="dxa"/>
            <w:tcBorders>
              <w:top w:val="nil"/>
              <w:left w:val="nil"/>
              <w:bottom w:val="nil"/>
              <w:right w:val="nil"/>
            </w:tcBorders>
            <w:vAlign w:val="center"/>
          </w:tcPr>
          <w:p w14:paraId="7197195D">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0.52 (0.17–1.52)</w:t>
            </w:r>
          </w:p>
        </w:tc>
        <w:tc>
          <w:tcPr>
            <w:tcW w:w="938" w:type="dxa"/>
            <w:tcBorders>
              <w:top w:val="nil"/>
              <w:left w:val="nil"/>
              <w:bottom w:val="nil"/>
              <w:right w:val="nil"/>
            </w:tcBorders>
            <w:vAlign w:val="center"/>
          </w:tcPr>
          <w:p w14:paraId="5CDD8967">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0.231</w:t>
            </w:r>
          </w:p>
        </w:tc>
      </w:tr>
      <w:tr w14:paraId="4A12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5C2E05A0">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HbA1c (per 1%)</w:t>
            </w:r>
          </w:p>
        </w:tc>
        <w:tc>
          <w:tcPr>
            <w:tcW w:w="696" w:type="dxa"/>
            <w:tcBorders>
              <w:top w:val="nil"/>
              <w:left w:val="nil"/>
              <w:bottom w:val="nil"/>
              <w:right w:val="nil"/>
            </w:tcBorders>
            <w:vAlign w:val="center"/>
          </w:tcPr>
          <w:p w14:paraId="64472D3A">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-0.39</w:t>
            </w:r>
          </w:p>
        </w:tc>
        <w:tc>
          <w:tcPr>
            <w:tcW w:w="616" w:type="dxa"/>
            <w:tcBorders>
              <w:top w:val="nil"/>
              <w:left w:val="nil"/>
              <w:bottom w:val="nil"/>
              <w:right w:val="nil"/>
            </w:tcBorders>
            <w:vAlign w:val="center"/>
          </w:tcPr>
          <w:p w14:paraId="31C0956F">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0.17</w:t>
            </w:r>
          </w:p>
        </w:tc>
        <w:tc>
          <w:tcPr>
            <w:tcW w:w="2822" w:type="dxa"/>
            <w:tcBorders>
              <w:top w:val="nil"/>
              <w:left w:val="nil"/>
              <w:bottom w:val="nil"/>
              <w:right w:val="nil"/>
            </w:tcBorders>
            <w:vAlign w:val="center"/>
          </w:tcPr>
          <w:p w14:paraId="5883A867">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0.68 (0.48–0.95)</w:t>
            </w:r>
          </w:p>
        </w:tc>
        <w:tc>
          <w:tcPr>
            <w:tcW w:w="938" w:type="dxa"/>
            <w:tcBorders>
              <w:top w:val="nil"/>
              <w:left w:val="nil"/>
              <w:bottom w:val="nil"/>
              <w:right w:val="nil"/>
            </w:tcBorders>
            <w:vAlign w:val="center"/>
          </w:tcPr>
          <w:p w14:paraId="70E19669">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0.024</w:t>
            </w:r>
          </w:p>
        </w:tc>
      </w:tr>
      <w:tr w14:paraId="0462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7749853E">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MAGE (per 1 mmol/L)</w:t>
            </w:r>
          </w:p>
        </w:tc>
        <w:tc>
          <w:tcPr>
            <w:tcW w:w="696" w:type="dxa"/>
            <w:tcBorders>
              <w:top w:val="nil"/>
              <w:left w:val="nil"/>
              <w:bottom w:val="nil"/>
              <w:right w:val="nil"/>
            </w:tcBorders>
            <w:vAlign w:val="center"/>
          </w:tcPr>
          <w:p w14:paraId="0BFEACDA">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-0.16</w:t>
            </w:r>
          </w:p>
        </w:tc>
        <w:tc>
          <w:tcPr>
            <w:tcW w:w="616" w:type="dxa"/>
            <w:tcBorders>
              <w:top w:val="nil"/>
              <w:left w:val="nil"/>
              <w:bottom w:val="nil"/>
              <w:right w:val="nil"/>
            </w:tcBorders>
            <w:vAlign w:val="center"/>
          </w:tcPr>
          <w:p w14:paraId="37DCE834">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0.27</w:t>
            </w:r>
          </w:p>
        </w:tc>
        <w:tc>
          <w:tcPr>
            <w:tcW w:w="2822" w:type="dxa"/>
            <w:tcBorders>
              <w:top w:val="nil"/>
              <w:left w:val="nil"/>
              <w:bottom w:val="nil"/>
              <w:right w:val="nil"/>
            </w:tcBorders>
            <w:vAlign w:val="center"/>
          </w:tcPr>
          <w:p w14:paraId="141BCB8D">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0.85 (0.51–1.43)</w:t>
            </w:r>
          </w:p>
        </w:tc>
        <w:tc>
          <w:tcPr>
            <w:tcW w:w="938" w:type="dxa"/>
            <w:tcBorders>
              <w:top w:val="nil"/>
              <w:left w:val="nil"/>
              <w:bottom w:val="nil"/>
              <w:right w:val="nil"/>
            </w:tcBorders>
            <w:vAlign w:val="center"/>
          </w:tcPr>
          <w:p w14:paraId="4FB44EBB">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0.542</w:t>
            </w:r>
          </w:p>
        </w:tc>
      </w:tr>
      <w:tr w14:paraId="0F84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766178B6">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Mean glucose (per 1 mmol/L)</w:t>
            </w:r>
          </w:p>
        </w:tc>
        <w:tc>
          <w:tcPr>
            <w:tcW w:w="696" w:type="dxa"/>
            <w:tcBorders>
              <w:top w:val="nil"/>
              <w:left w:val="nil"/>
              <w:bottom w:val="nil"/>
              <w:right w:val="nil"/>
            </w:tcBorders>
            <w:vAlign w:val="center"/>
          </w:tcPr>
          <w:p w14:paraId="5DD2EFAA">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0.21</w:t>
            </w:r>
          </w:p>
        </w:tc>
        <w:tc>
          <w:tcPr>
            <w:tcW w:w="616" w:type="dxa"/>
            <w:tcBorders>
              <w:top w:val="nil"/>
              <w:left w:val="nil"/>
              <w:bottom w:val="nil"/>
              <w:right w:val="nil"/>
            </w:tcBorders>
            <w:vAlign w:val="center"/>
          </w:tcPr>
          <w:p w14:paraId="59B096B9">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0.25</w:t>
            </w:r>
          </w:p>
        </w:tc>
        <w:tc>
          <w:tcPr>
            <w:tcW w:w="2822" w:type="dxa"/>
            <w:tcBorders>
              <w:top w:val="nil"/>
              <w:left w:val="nil"/>
              <w:bottom w:val="nil"/>
              <w:right w:val="nil"/>
            </w:tcBorders>
            <w:vAlign w:val="center"/>
          </w:tcPr>
          <w:p w14:paraId="39B6E34C">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1.23 (0.75–2.02)</w:t>
            </w:r>
          </w:p>
        </w:tc>
        <w:tc>
          <w:tcPr>
            <w:tcW w:w="938" w:type="dxa"/>
            <w:tcBorders>
              <w:top w:val="nil"/>
              <w:left w:val="nil"/>
              <w:bottom w:val="nil"/>
              <w:right w:val="nil"/>
            </w:tcBorders>
            <w:vAlign w:val="center"/>
          </w:tcPr>
          <w:p w14:paraId="14511177">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0.416</w:t>
            </w:r>
          </w:p>
        </w:tc>
      </w:tr>
      <w:tr w14:paraId="5DFC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501F8C76">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2-h C-peptide (per 1 nmol/L)</w:t>
            </w:r>
          </w:p>
        </w:tc>
        <w:tc>
          <w:tcPr>
            <w:tcW w:w="696" w:type="dxa"/>
            <w:tcBorders>
              <w:top w:val="nil"/>
              <w:left w:val="nil"/>
              <w:bottom w:val="nil"/>
              <w:right w:val="nil"/>
            </w:tcBorders>
            <w:vAlign w:val="center"/>
          </w:tcPr>
          <w:p w14:paraId="64EED3DC">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-0.70</w:t>
            </w:r>
          </w:p>
        </w:tc>
        <w:tc>
          <w:tcPr>
            <w:tcW w:w="616" w:type="dxa"/>
            <w:tcBorders>
              <w:top w:val="nil"/>
              <w:left w:val="nil"/>
              <w:bottom w:val="nil"/>
              <w:right w:val="nil"/>
            </w:tcBorders>
            <w:vAlign w:val="center"/>
          </w:tcPr>
          <w:p w14:paraId="36750142">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0.28</w:t>
            </w:r>
          </w:p>
        </w:tc>
        <w:tc>
          <w:tcPr>
            <w:tcW w:w="2822" w:type="dxa"/>
            <w:tcBorders>
              <w:top w:val="nil"/>
              <w:left w:val="nil"/>
              <w:bottom w:val="nil"/>
              <w:right w:val="nil"/>
            </w:tcBorders>
            <w:vAlign w:val="center"/>
          </w:tcPr>
          <w:p w14:paraId="3B946554">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0.49 (0.28–0.86)</w:t>
            </w:r>
          </w:p>
        </w:tc>
        <w:tc>
          <w:tcPr>
            <w:tcW w:w="938" w:type="dxa"/>
            <w:tcBorders>
              <w:top w:val="nil"/>
              <w:left w:val="nil"/>
              <w:bottom w:val="nil"/>
              <w:right w:val="nil"/>
            </w:tcBorders>
            <w:vAlign w:val="center"/>
          </w:tcPr>
          <w:p w14:paraId="39608F10">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0.012</w:t>
            </w:r>
          </w:p>
        </w:tc>
      </w:tr>
      <w:tr w14:paraId="2A77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0A000BFE">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ApoA-I (per 1 g/L)</w:t>
            </w:r>
          </w:p>
        </w:tc>
        <w:tc>
          <w:tcPr>
            <w:tcW w:w="696" w:type="dxa"/>
            <w:tcBorders>
              <w:top w:val="nil"/>
              <w:left w:val="nil"/>
              <w:bottom w:val="nil"/>
              <w:right w:val="nil"/>
            </w:tcBorders>
            <w:vAlign w:val="center"/>
          </w:tcPr>
          <w:p w14:paraId="3C694682">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-2.71</w:t>
            </w:r>
          </w:p>
        </w:tc>
        <w:tc>
          <w:tcPr>
            <w:tcW w:w="616" w:type="dxa"/>
            <w:tcBorders>
              <w:top w:val="nil"/>
              <w:left w:val="nil"/>
              <w:bottom w:val="nil"/>
              <w:right w:val="nil"/>
            </w:tcBorders>
            <w:vAlign w:val="center"/>
          </w:tcPr>
          <w:p w14:paraId="6A883727">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1.06</w:t>
            </w:r>
          </w:p>
        </w:tc>
        <w:tc>
          <w:tcPr>
            <w:tcW w:w="2822" w:type="dxa"/>
            <w:tcBorders>
              <w:top w:val="nil"/>
              <w:left w:val="nil"/>
              <w:bottom w:val="nil"/>
              <w:right w:val="nil"/>
            </w:tcBorders>
            <w:vAlign w:val="center"/>
          </w:tcPr>
          <w:p w14:paraId="11CE39F6">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0.07 (0.01–0.53)</w:t>
            </w:r>
          </w:p>
        </w:tc>
        <w:tc>
          <w:tcPr>
            <w:tcW w:w="938" w:type="dxa"/>
            <w:tcBorders>
              <w:top w:val="nil"/>
              <w:left w:val="nil"/>
              <w:bottom w:val="nil"/>
              <w:right w:val="nil"/>
            </w:tcBorders>
            <w:vAlign w:val="center"/>
          </w:tcPr>
          <w:p w14:paraId="63289065">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0.010</w:t>
            </w:r>
          </w:p>
        </w:tc>
      </w:tr>
      <w:tr w14:paraId="54DE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7433D454">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CEA (per 1 ng/mL)</w:t>
            </w:r>
          </w:p>
        </w:tc>
        <w:tc>
          <w:tcPr>
            <w:tcW w:w="696" w:type="dxa"/>
            <w:tcBorders>
              <w:top w:val="nil"/>
              <w:left w:val="nil"/>
              <w:bottom w:val="nil"/>
              <w:right w:val="nil"/>
            </w:tcBorders>
            <w:vAlign w:val="center"/>
          </w:tcPr>
          <w:p w14:paraId="2DE1B1D6">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0.24</w:t>
            </w:r>
          </w:p>
        </w:tc>
        <w:tc>
          <w:tcPr>
            <w:tcW w:w="616" w:type="dxa"/>
            <w:tcBorders>
              <w:top w:val="nil"/>
              <w:left w:val="nil"/>
              <w:bottom w:val="nil"/>
              <w:right w:val="nil"/>
            </w:tcBorders>
            <w:vAlign w:val="center"/>
          </w:tcPr>
          <w:p w14:paraId="3FB3EEE2">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0.14</w:t>
            </w:r>
          </w:p>
        </w:tc>
        <w:tc>
          <w:tcPr>
            <w:tcW w:w="2822" w:type="dxa"/>
            <w:tcBorders>
              <w:top w:val="nil"/>
              <w:left w:val="nil"/>
              <w:bottom w:val="nil"/>
              <w:right w:val="nil"/>
            </w:tcBorders>
            <w:vAlign w:val="center"/>
          </w:tcPr>
          <w:p w14:paraId="2C53F9B1">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1.28 (0.96–1.69)</w:t>
            </w:r>
          </w:p>
        </w:tc>
        <w:tc>
          <w:tcPr>
            <w:tcW w:w="938" w:type="dxa"/>
            <w:tcBorders>
              <w:top w:val="nil"/>
              <w:left w:val="nil"/>
              <w:bottom w:val="nil"/>
              <w:right w:val="nil"/>
            </w:tcBorders>
            <w:vAlign w:val="center"/>
          </w:tcPr>
          <w:p w14:paraId="23AD0DB7">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0.089</w:t>
            </w:r>
          </w:p>
        </w:tc>
      </w:tr>
      <w:tr w14:paraId="5AB5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1998A7CC">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CA19-9 (per 1 U/mL)</w:t>
            </w:r>
          </w:p>
        </w:tc>
        <w:tc>
          <w:tcPr>
            <w:tcW w:w="696" w:type="dxa"/>
            <w:tcBorders>
              <w:top w:val="nil"/>
              <w:left w:val="nil"/>
              <w:bottom w:val="nil"/>
              <w:right w:val="nil"/>
            </w:tcBorders>
            <w:vAlign w:val="center"/>
          </w:tcPr>
          <w:p w14:paraId="7CDDC516">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0.01</w:t>
            </w:r>
          </w:p>
        </w:tc>
        <w:tc>
          <w:tcPr>
            <w:tcW w:w="616" w:type="dxa"/>
            <w:tcBorders>
              <w:top w:val="nil"/>
              <w:left w:val="nil"/>
              <w:bottom w:val="nil"/>
              <w:right w:val="nil"/>
            </w:tcBorders>
            <w:vAlign w:val="center"/>
          </w:tcPr>
          <w:p w14:paraId="49CD9ADD">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0.02</w:t>
            </w:r>
          </w:p>
        </w:tc>
        <w:tc>
          <w:tcPr>
            <w:tcW w:w="2822" w:type="dxa"/>
            <w:tcBorders>
              <w:top w:val="nil"/>
              <w:left w:val="nil"/>
              <w:bottom w:val="nil"/>
              <w:right w:val="nil"/>
            </w:tcBorders>
            <w:vAlign w:val="center"/>
          </w:tcPr>
          <w:p w14:paraId="15301FFA">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1.01 (0.97–1.06)</w:t>
            </w:r>
          </w:p>
        </w:tc>
        <w:tc>
          <w:tcPr>
            <w:tcW w:w="938" w:type="dxa"/>
            <w:tcBorders>
              <w:top w:val="nil"/>
              <w:left w:val="nil"/>
              <w:bottom w:val="nil"/>
              <w:right w:val="nil"/>
            </w:tcBorders>
            <w:vAlign w:val="center"/>
          </w:tcPr>
          <w:p w14:paraId="06A19B94">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0.494</w:t>
            </w:r>
          </w:p>
        </w:tc>
      </w:tr>
      <w:tr w14:paraId="742D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618C4E45">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CA125 (per 1 U/mL)</w:t>
            </w:r>
          </w:p>
        </w:tc>
        <w:tc>
          <w:tcPr>
            <w:tcW w:w="696" w:type="dxa"/>
            <w:tcBorders>
              <w:top w:val="nil"/>
              <w:left w:val="nil"/>
              <w:bottom w:val="nil"/>
              <w:right w:val="nil"/>
            </w:tcBorders>
            <w:vAlign w:val="center"/>
          </w:tcPr>
          <w:p w14:paraId="568BE95F">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0.02</w:t>
            </w:r>
          </w:p>
        </w:tc>
        <w:tc>
          <w:tcPr>
            <w:tcW w:w="616" w:type="dxa"/>
            <w:tcBorders>
              <w:top w:val="nil"/>
              <w:left w:val="nil"/>
              <w:bottom w:val="nil"/>
              <w:right w:val="nil"/>
            </w:tcBorders>
            <w:vAlign w:val="center"/>
          </w:tcPr>
          <w:p w14:paraId="435B87D9">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0.03</w:t>
            </w:r>
          </w:p>
        </w:tc>
        <w:tc>
          <w:tcPr>
            <w:tcW w:w="2822" w:type="dxa"/>
            <w:tcBorders>
              <w:top w:val="nil"/>
              <w:left w:val="nil"/>
              <w:bottom w:val="nil"/>
              <w:right w:val="nil"/>
            </w:tcBorders>
            <w:vAlign w:val="center"/>
          </w:tcPr>
          <w:p w14:paraId="0DDAD3CD">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1.02 (0.97–1.08)</w:t>
            </w:r>
          </w:p>
        </w:tc>
        <w:tc>
          <w:tcPr>
            <w:tcW w:w="938" w:type="dxa"/>
            <w:tcBorders>
              <w:top w:val="nil"/>
              <w:left w:val="nil"/>
              <w:bottom w:val="nil"/>
              <w:right w:val="nil"/>
            </w:tcBorders>
            <w:vAlign w:val="center"/>
          </w:tcPr>
          <w:p w14:paraId="38328CAF">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0.455</w:t>
            </w:r>
          </w:p>
        </w:tc>
      </w:tr>
      <w:tr w14:paraId="18BA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nil"/>
              <w:right w:val="nil"/>
            </w:tcBorders>
            <w:vAlign w:val="center"/>
          </w:tcPr>
          <w:p w14:paraId="2A791344">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CYFRA21-1 (per 1 ng/mL)</w:t>
            </w:r>
          </w:p>
        </w:tc>
        <w:tc>
          <w:tcPr>
            <w:tcW w:w="696" w:type="dxa"/>
            <w:tcBorders>
              <w:top w:val="nil"/>
              <w:left w:val="nil"/>
              <w:bottom w:val="nil"/>
              <w:right w:val="nil"/>
            </w:tcBorders>
            <w:vAlign w:val="center"/>
          </w:tcPr>
          <w:p w14:paraId="25F80A1D">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0.34</w:t>
            </w:r>
          </w:p>
        </w:tc>
        <w:tc>
          <w:tcPr>
            <w:tcW w:w="616" w:type="dxa"/>
            <w:tcBorders>
              <w:top w:val="nil"/>
              <w:left w:val="nil"/>
              <w:bottom w:val="nil"/>
              <w:right w:val="nil"/>
            </w:tcBorders>
            <w:vAlign w:val="center"/>
          </w:tcPr>
          <w:p w14:paraId="1C56FED0">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0.16</w:t>
            </w:r>
          </w:p>
        </w:tc>
        <w:tc>
          <w:tcPr>
            <w:tcW w:w="2822" w:type="dxa"/>
            <w:tcBorders>
              <w:top w:val="nil"/>
              <w:left w:val="nil"/>
              <w:bottom w:val="nil"/>
              <w:right w:val="nil"/>
            </w:tcBorders>
            <w:vAlign w:val="center"/>
          </w:tcPr>
          <w:p w14:paraId="0EC81818">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1.41 (1.03–1.93)</w:t>
            </w:r>
          </w:p>
        </w:tc>
        <w:tc>
          <w:tcPr>
            <w:tcW w:w="938" w:type="dxa"/>
            <w:tcBorders>
              <w:top w:val="nil"/>
              <w:left w:val="nil"/>
              <w:bottom w:val="nil"/>
              <w:right w:val="nil"/>
            </w:tcBorders>
            <w:vAlign w:val="center"/>
          </w:tcPr>
          <w:p w14:paraId="6E43694F">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0.034</w:t>
            </w:r>
          </w:p>
        </w:tc>
      </w:tr>
      <w:tr w14:paraId="3814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692" w:type="dxa"/>
            <w:tcBorders>
              <w:top w:val="nil"/>
              <w:left w:val="nil"/>
              <w:bottom w:val="single" w:color="auto" w:sz="4" w:space="0"/>
              <w:right w:val="nil"/>
            </w:tcBorders>
            <w:vAlign w:val="center"/>
          </w:tcPr>
          <w:p w14:paraId="7BCF39F2">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Intercept</w:t>
            </w:r>
          </w:p>
        </w:tc>
        <w:tc>
          <w:tcPr>
            <w:tcW w:w="696" w:type="dxa"/>
            <w:tcBorders>
              <w:top w:val="nil"/>
              <w:left w:val="nil"/>
              <w:bottom w:val="single" w:color="auto" w:sz="4" w:space="0"/>
              <w:right w:val="nil"/>
            </w:tcBorders>
            <w:vAlign w:val="center"/>
          </w:tcPr>
          <w:p w14:paraId="0E5AF505">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3.09</w:t>
            </w:r>
          </w:p>
        </w:tc>
        <w:tc>
          <w:tcPr>
            <w:tcW w:w="616" w:type="dxa"/>
            <w:tcBorders>
              <w:top w:val="nil"/>
              <w:left w:val="nil"/>
              <w:bottom w:val="single" w:color="auto" w:sz="4" w:space="0"/>
              <w:right w:val="nil"/>
            </w:tcBorders>
            <w:vAlign w:val="center"/>
          </w:tcPr>
          <w:p w14:paraId="79772ED2">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5.29</w:t>
            </w:r>
          </w:p>
        </w:tc>
        <w:tc>
          <w:tcPr>
            <w:tcW w:w="2822" w:type="dxa"/>
            <w:tcBorders>
              <w:top w:val="nil"/>
              <w:left w:val="nil"/>
              <w:bottom w:val="single" w:color="auto" w:sz="4" w:space="0"/>
              <w:right w:val="nil"/>
            </w:tcBorders>
            <w:vAlign w:val="center"/>
          </w:tcPr>
          <w:p w14:paraId="31F36341">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w:t>
            </w:r>
          </w:p>
        </w:tc>
        <w:tc>
          <w:tcPr>
            <w:tcW w:w="938" w:type="dxa"/>
            <w:tcBorders>
              <w:top w:val="nil"/>
              <w:left w:val="nil"/>
              <w:bottom w:val="single" w:color="auto" w:sz="4" w:space="0"/>
              <w:right w:val="nil"/>
            </w:tcBorders>
            <w:vAlign w:val="center"/>
          </w:tcPr>
          <w:p w14:paraId="0DCAFE11">
            <w:pPr>
              <w:snapToGrid w:val="0"/>
              <w:spacing w:after="0" w:line="240" w:lineRule="auto"/>
              <w:jc w:val="center"/>
              <w:rPr>
                <w:rFonts w:hint="default" w:ascii="Times New Roman" w:hAnsi="Times New Roman" w:eastAsia="宋体" w:cs="Times New Roman"/>
                <w:sz w:val="22"/>
              </w:rPr>
            </w:pPr>
            <w:r>
              <w:rPr>
                <w:rFonts w:hint="eastAsia" w:ascii="Times New Roman" w:eastAsia="宋体"/>
                <w:sz w:val="22"/>
              </w:rPr>
              <w:t>0.560</w:t>
            </w:r>
          </w:p>
        </w:tc>
      </w:tr>
    </w:tbl>
    <w:p w14:paraId="39E87D91">
      <w:pPr>
        <w:rPr>
          <w:rFonts w:hint="default" w:ascii="Times New Roman" w:hAnsi="Times New Roman" w:cs="Times New Roman"/>
        </w:rPr>
      </w:pPr>
      <w:r>
        <w:rPr>
          <w:rFonts w:hint="default" w:ascii="Times New Roman" w:hAnsi="Times New Roman" w:cs="Times New Roman"/>
          <w:b/>
          <w:bCs/>
          <w:lang w:val="en-US" w:eastAsia="zh-CN"/>
        </w:rPr>
        <w:t xml:space="preserve">Table </w:t>
      </w:r>
      <w:r>
        <w:rPr>
          <w:rFonts w:hint="eastAsia" w:ascii="Times New Roman" w:hAnsi="Times New Roman" w:cs="Times New Roman"/>
          <w:b/>
          <w:bCs/>
          <w:lang w:val="en-US" w:eastAsia="zh-CN"/>
        </w:rPr>
        <w:t>S6</w:t>
      </w:r>
      <w:r>
        <w:rPr>
          <w:rFonts w:hint="default" w:ascii="Times New Roman" w:hAnsi="Times New Roman" w:cs="Times New Roman"/>
          <w:b/>
          <w:bCs/>
          <w:lang w:val="en-US" w:eastAsia="zh-CN"/>
        </w:rPr>
        <w:t xml:space="preserve">. </w:t>
      </w:r>
      <w:r>
        <w:rPr>
          <w:rFonts w:hint="default" w:ascii="Times New Roman" w:hAnsi="Times New Roman" w:cs="Times New Roman"/>
          <w:b w:val="0"/>
          <w:bCs w:val="0"/>
          <w:lang w:val="en-US" w:eastAsia="zh-CN"/>
        </w:rPr>
        <w:t>Coefficients and effect estimates from the extended multivariable model (Model B), which adds tumour markers to clinical–metabolic predictors to evaluate independent associations with malignancy. Reported are B, SE, OR (95% CI), and Wald P; the intercept is provided to enable full model reconstruction (logit(p) = β₀ + Σβx).</w:t>
      </w:r>
    </w:p>
    <w:p w14:paraId="17631F5E"/>
    <w:p w14:paraId="5D44B369">
      <w:pPr>
        <w:keepNext w:val="0"/>
        <w:keepLines w:val="0"/>
        <w:widowControl/>
        <w:suppressLineNumbers w:val="0"/>
        <w:spacing w:after="0" w:line="240" w:lineRule="auto"/>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Table S</w:t>
      </w:r>
      <w:r>
        <w:rPr>
          <w:rFonts w:hint="eastAsia" w:ascii="Times New Roman" w:hAnsi="Times New Roman" w:eastAsia="宋体" w:cs="Times New Roman"/>
          <w:b/>
          <w:bCs/>
          <w:i w:val="0"/>
          <w:iCs w:val="0"/>
          <w:color w:val="000000"/>
          <w:kern w:val="0"/>
          <w:sz w:val="24"/>
          <w:szCs w:val="24"/>
          <w:u w:val="none"/>
          <w:lang w:val="en-US" w:eastAsia="zh-CN" w:bidi="ar"/>
        </w:rPr>
        <w:t>7</w:t>
      </w:r>
      <w:r>
        <w:rPr>
          <w:rFonts w:hint="default" w:ascii="Times New Roman" w:hAnsi="Times New Roman" w:eastAsia="宋体" w:cs="Times New Roman"/>
          <w:b/>
          <w:bCs/>
          <w:i w:val="0"/>
          <w:iCs w:val="0"/>
          <w:color w:val="000000"/>
          <w:kern w:val="0"/>
          <w:sz w:val="24"/>
          <w:szCs w:val="24"/>
          <w:u w:val="none"/>
          <w:lang w:val="en-US" w:eastAsia="zh-CN" w:bidi="ar"/>
        </w:rPr>
        <w:t xml:space="preserve">. Sensitivity analysis: logistic regression coefficients for malignancy in the tumour-marker-complete subset </w:t>
      </w:r>
    </w:p>
    <w:tbl>
      <w:tblPr>
        <w:tblStyle w:val="2"/>
        <w:tblW w:w="8522" w:type="dxa"/>
        <w:jc w:val="center"/>
        <w:tblLayout w:type="autofit"/>
        <w:tblCellMar>
          <w:top w:w="0" w:type="dxa"/>
          <w:left w:w="108" w:type="dxa"/>
          <w:bottom w:w="0" w:type="dxa"/>
          <w:right w:w="108" w:type="dxa"/>
        </w:tblCellMar>
      </w:tblPr>
      <w:tblGrid>
        <w:gridCol w:w="3709"/>
        <w:gridCol w:w="885"/>
        <w:gridCol w:w="812"/>
        <w:gridCol w:w="2053"/>
        <w:gridCol w:w="1063"/>
      </w:tblGrid>
      <w:tr w14:paraId="02F4F2CF">
        <w:tblPrEx>
          <w:tblCellMar>
            <w:top w:w="0" w:type="dxa"/>
            <w:left w:w="108" w:type="dxa"/>
            <w:bottom w:w="0" w:type="dxa"/>
            <w:right w:w="108" w:type="dxa"/>
          </w:tblCellMar>
        </w:tblPrEx>
        <w:trPr>
          <w:trHeight w:val="0" w:hRule="atLeast"/>
          <w:tblHeader/>
          <w:jc w:val="center"/>
        </w:trPr>
        <w:tc>
          <w:tcPr>
            <w:tcW w:w="3709" w:type="dxa"/>
            <w:tcBorders>
              <w:top w:val="single" w:color="auto" w:sz="12" w:space="0"/>
              <w:left w:val="nil"/>
              <w:bottom w:val="single" w:color="auto" w:sz="4" w:space="0"/>
              <w:right w:val="nil"/>
            </w:tcBorders>
            <w:vAlign w:val="center"/>
          </w:tcPr>
          <w:p w14:paraId="383A979D">
            <w:pPr>
              <w:snapToGrid w:val="0"/>
              <w:spacing w:after="0" w:line="240" w:lineRule="auto"/>
              <w:ind w:left="0" w:leftChars="0" w:right="0" w:rightChars="0" w:firstLine="0" w:firstLineChars="0"/>
              <w:jc w:val="center"/>
              <w:rPr>
                <w:rFonts w:hint="eastAsia" w:ascii="Times New Roman" w:eastAsia="宋体"/>
                <w:b/>
                <w:bCs/>
                <w:sz w:val="22"/>
              </w:rPr>
            </w:pPr>
            <w:r>
              <w:rPr>
                <w:rFonts w:hint="eastAsia" w:ascii="Times New Roman" w:eastAsia="宋体"/>
                <w:b/>
                <w:bCs/>
                <w:sz w:val="22"/>
              </w:rPr>
              <w:t>Variable</w:t>
            </w:r>
          </w:p>
        </w:tc>
        <w:tc>
          <w:tcPr>
            <w:tcW w:w="885" w:type="dxa"/>
            <w:tcBorders>
              <w:top w:val="single" w:color="auto" w:sz="12" w:space="0"/>
              <w:left w:val="nil"/>
              <w:bottom w:val="single" w:color="auto" w:sz="4" w:space="0"/>
              <w:right w:val="nil"/>
            </w:tcBorders>
            <w:vAlign w:val="center"/>
          </w:tcPr>
          <w:p w14:paraId="2B85993D">
            <w:pPr>
              <w:snapToGrid w:val="0"/>
              <w:spacing w:after="0" w:line="240" w:lineRule="auto"/>
              <w:ind w:left="0" w:leftChars="0" w:right="0" w:rightChars="0" w:firstLine="0" w:firstLineChars="0"/>
              <w:jc w:val="center"/>
              <w:rPr>
                <w:rFonts w:hint="eastAsia" w:ascii="Times New Roman" w:eastAsia="宋体"/>
                <w:b/>
                <w:bCs/>
                <w:sz w:val="22"/>
              </w:rPr>
            </w:pPr>
            <w:r>
              <w:rPr>
                <w:rFonts w:hint="eastAsia" w:ascii="Times New Roman" w:eastAsia="宋体"/>
                <w:b/>
                <w:bCs/>
                <w:sz w:val="22"/>
              </w:rPr>
              <w:t>B</w:t>
            </w:r>
          </w:p>
        </w:tc>
        <w:tc>
          <w:tcPr>
            <w:tcW w:w="812" w:type="dxa"/>
            <w:tcBorders>
              <w:top w:val="single" w:color="auto" w:sz="12" w:space="0"/>
              <w:left w:val="nil"/>
              <w:bottom w:val="single" w:color="auto" w:sz="4" w:space="0"/>
              <w:right w:val="nil"/>
            </w:tcBorders>
            <w:vAlign w:val="center"/>
          </w:tcPr>
          <w:p w14:paraId="4A29C796">
            <w:pPr>
              <w:snapToGrid w:val="0"/>
              <w:spacing w:after="0" w:line="240" w:lineRule="auto"/>
              <w:ind w:left="0" w:leftChars="0" w:right="0" w:rightChars="0" w:firstLine="0" w:firstLineChars="0"/>
              <w:jc w:val="center"/>
              <w:rPr>
                <w:rFonts w:hint="eastAsia" w:ascii="Times New Roman" w:eastAsia="宋体"/>
                <w:b/>
                <w:bCs/>
                <w:sz w:val="22"/>
              </w:rPr>
            </w:pPr>
            <w:r>
              <w:rPr>
                <w:rFonts w:hint="eastAsia" w:ascii="Times New Roman" w:eastAsia="宋体"/>
                <w:b/>
                <w:bCs/>
                <w:sz w:val="22"/>
              </w:rPr>
              <w:t>SE</w:t>
            </w:r>
          </w:p>
        </w:tc>
        <w:tc>
          <w:tcPr>
            <w:tcW w:w="2053" w:type="dxa"/>
            <w:tcBorders>
              <w:top w:val="single" w:color="auto" w:sz="12" w:space="0"/>
              <w:left w:val="nil"/>
              <w:bottom w:val="single" w:color="auto" w:sz="4" w:space="0"/>
              <w:right w:val="nil"/>
            </w:tcBorders>
            <w:vAlign w:val="center"/>
          </w:tcPr>
          <w:p w14:paraId="1C92FCFD">
            <w:pPr>
              <w:snapToGrid w:val="0"/>
              <w:spacing w:after="0" w:line="240" w:lineRule="auto"/>
              <w:ind w:left="0" w:leftChars="0" w:right="0" w:rightChars="0" w:firstLine="0" w:firstLineChars="0"/>
              <w:jc w:val="center"/>
              <w:rPr>
                <w:rFonts w:hint="eastAsia" w:ascii="Times New Roman" w:eastAsia="宋体"/>
                <w:b/>
                <w:bCs/>
                <w:sz w:val="22"/>
              </w:rPr>
            </w:pPr>
            <w:r>
              <w:rPr>
                <w:rFonts w:hint="eastAsia" w:ascii="Times New Roman" w:eastAsia="宋体"/>
                <w:b/>
                <w:bCs/>
                <w:sz w:val="22"/>
              </w:rPr>
              <w:t>OR (95% CI)</w:t>
            </w:r>
          </w:p>
        </w:tc>
        <w:tc>
          <w:tcPr>
            <w:tcW w:w="1063" w:type="dxa"/>
            <w:tcBorders>
              <w:top w:val="single" w:color="auto" w:sz="12" w:space="0"/>
              <w:left w:val="nil"/>
              <w:bottom w:val="single" w:color="auto" w:sz="4" w:space="0"/>
              <w:right w:val="nil"/>
            </w:tcBorders>
            <w:vAlign w:val="center"/>
          </w:tcPr>
          <w:p w14:paraId="68E1A0D6">
            <w:pPr>
              <w:snapToGrid w:val="0"/>
              <w:spacing w:after="0" w:line="240" w:lineRule="auto"/>
              <w:ind w:left="0" w:leftChars="0" w:right="0" w:rightChars="0" w:firstLine="0" w:firstLineChars="0"/>
              <w:jc w:val="center"/>
              <w:rPr>
                <w:rFonts w:hint="eastAsia" w:ascii="Times New Roman" w:eastAsia="宋体"/>
                <w:b/>
                <w:bCs/>
                <w:sz w:val="22"/>
              </w:rPr>
            </w:pPr>
            <w:r>
              <w:rPr>
                <w:rFonts w:hint="eastAsia" w:ascii="Times New Roman" w:eastAsia="宋体"/>
                <w:b/>
                <w:bCs/>
                <w:sz w:val="22"/>
              </w:rPr>
              <w:t>P value</w:t>
            </w:r>
          </w:p>
        </w:tc>
      </w:tr>
      <w:tr w14:paraId="41316D7F">
        <w:tblPrEx>
          <w:tblCellMar>
            <w:top w:w="0" w:type="dxa"/>
            <w:left w:w="108" w:type="dxa"/>
            <w:bottom w:w="0" w:type="dxa"/>
            <w:right w:w="108" w:type="dxa"/>
          </w:tblCellMar>
        </w:tblPrEx>
        <w:trPr>
          <w:trHeight w:val="0" w:hRule="atLeast"/>
          <w:jc w:val="center"/>
        </w:trPr>
        <w:tc>
          <w:tcPr>
            <w:tcW w:w="3709" w:type="dxa"/>
            <w:tcBorders>
              <w:top w:val="single" w:color="auto" w:sz="4" w:space="0"/>
              <w:left w:val="nil"/>
              <w:bottom w:val="nil"/>
              <w:right w:val="nil"/>
            </w:tcBorders>
            <w:vAlign w:val="center"/>
          </w:tcPr>
          <w:p w14:paraId="27BC4E94">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Age (per 1 year)</w:t>
            </w:r>
          </w:p>
        </w:tc>
        <w:tc>
          <w:tcPr>
            <w:tcW w:w="885" w:type="dxa"/>
            <w:tcBorders>
              <w:top w:val="single" w:color="auto" w:sz="4" w:space="0"/>
              <w:left w:val="nil"/>
              <w:bottom w:val="nil"/>
              <w:right w:val="nil"/>
            </w:tcBorders>
            <w:vAlign w:val="center"/>
          </w:tcPr>
          <w:p w14:paraId="6A282A88">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-0.01</w:t>
            </w:r>
          </w:p>
        </w:tc>
        <w:tc>
          <w:tcPr>
            <w:tcW w:w="812" w:type="dxa"/>
            <w:tcBorders>
              <w:top w:val="single" w:color="auto" w:sz="4" w:space="0"/>
              <w:left w:val="nil"/>
              <w:bottom w:val="nil"/>
              <w:right w:val="nil"/>
            </w:tcBorders>
            <w:vAlign w:val="center"/>
          </w:tcPr>
          <w:p w14:paraId="46FDC152">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0.02</w:t>
            </w:r>
          </w:p>
        </w:tc>
        <w:tc>
          <w:tcPr>
            <w:tcW w:w="2053" w:type="dxa"/>
            <w:tcBorders>
              <w:top w:val="single" w:color="auto" w:sz="4" w:space="0"/>
              <w:left w:val="nil"/>
              <w:bottom w:val="nil"/>
              <w:right w:val="nil"/>
            </w:tcBorders>
            <w:vAlign w:val="center"/>
          </w:tcPr>
          <w:p w14:paraId="797F1B1B">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0.99 (0.94–1.03)</w:t>
            </w:r>
          </w:p>
        </w:tc>
        <w:tc>
          <w:tcPr>
            <w:tcW w:w="1063" w:type="dxa"/>
            <w:tcBorders>
              <w:top w:val="single" w:color="auto" w:sz="4" w:space="0"/>
              <w:left w:val="nil"/>
              <w:bottom w:val="nil"/>
              <w:right w:val="nil"/>
            </w:tcBorders>
            <w:vAlign w:val="center"/>
          </w:tcPr>
          <w:p w14:paraId="45650C8E">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0.606</w:t>
            </w:r>
          </w:p>
        </w:tc>
      </w:tr>
      <w:tr w14:paraId="625B7B4A">
        <w:tblPrEx>
          <w:tblCellMar>
            <w:top w:w="0" w:type="dxa"/>
            <w:left w:w="108" w:type="dxa"/>
            <w:bottom w:w="0" w:type="dxa"/>
            <w:right w:w="108" w:type="dxa"/>
          </w:tblCellMar>
        </w:tblPrEx>
        <w:trPr>
          <w:trHeight w:val="0" w:hRule="atLeast"/>
          <w:jc w:val="center"/>
        </w:trPr>
        <w:tc>
          <w:tcPr>
            <w:tcW w:w="3709" w:type="dxa"/>
            <w:tcBorders>
              <w:top w:val="nil"/>
              <w:left w:val="nil"/>
              <w:bottom w:val="nil"/>
              <w:right w:val="nil"/>
            </w:tcBorders>
            <w:vAlign w:val="center"/>
          </w:tcPr>
          <w:p w14:paraId="63DEB13A">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Male sex (ref: female)</w:t>
            </w:r>
          </w:p>
        </w:tc>
        <w:tc>
          <w:tcPr>
            <w:tcW w:w="885" w:type="dxa"/>
            <w:tcBorders>
              <w:top w:val="nil"/>
              <w:left w:val="nil"/>
              <w:bottom w:val="nil"/>
              <w:right w:val="nil"/>
            </w:tcBorders>
            <w:vAlign w:val="center"/>
          </w:tcPr>
          <w:p w14:paraId="49EF7815">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-0.51</w:t>
            </w:r>
          </w:p>
        </w:tc>
        <w:tc>
          <w:tcPr>
            <w:tcW w:w="812" w:type="dxa"/>
            <w:tcBorders>
              <w:top w:val="nil"/>
              <w:left w:val="nil"/>
              <w:bottom w:val="nil"/>
              <w:right w:val="nil"/>
            </w:tcBorders>
            <w:vAlign w:val="center"/>
          </w:tcPr>
          <w:p w14:paraId="7443F3C1">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0.44</w:t>
            </w:r>
          </w:p>
        </w:tc>
        <w:tc>
          <w:tcPr>
            <w:tcW w:w="2053" w:type="dxa"/>
            <w:tcBorders>
              <w:top w:val="nil"/>
              <w:left w:val="nil"/>
              <w:bottom w:val="nil"/>
              <w:right w:val="nil"/>
            </w:tcBorders>
            <w:vAlign w:val="center"/>
          </w:tcPr>
          <w:p w14:paraId="4157A426">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0.60 (0.25–1.41)</w:t>
            </w:r>
          </w:p>
        </w:tc>
        <w:tc>
          <w:tcPr>
            <w:tcW w:w="1063" w:type="dxa"/>
            <w:tcBorders>
              <w:top w:val="nil"/>
              <w:left w:val="nil"/>
              <w:bottom w:val="nil"/>
              <w:right w:val="nil"/>
            </w:tcBorders>
            <w:vAlign w:val="center"/>
          </w:tcPr>
          <w:p w14:paraId="67DBE89B">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0.241</w:t>
            </w:r>
          </w:p>
        </w:tc>
      </w:tr>
      <w:tr w14:paraId="5061EFC6">
        <w:tblPrEx>
          <w:tblCellMar>
            <w:top w:w="0" w:type="dxa"/>
            <w:left w:w="108" w:type="dxa"/>
            <w:bottom w:w="0" w:type="dxa"/>
            <w:right w:w="108" w:type="dxa"/>
          </w:tblCellMar>
        </w:tblPrEx>
        <w:trPr>
          <w:trHeight w:val="0" w:hRule="atLeast"/>
          <w:jc w:val="center"/>
        </w:trPr>
        <w:tc>
          <w:tcPr>
            <w:tcW w:w="3709" w:type="dxa"/>
            <w:tcBorders>
              <w:top w:val="nil"/>
              <w:left w:val="nil"/>
              <w:bottom w:val="nil"/>
              <w:right w:val="nil"/>
            </w:tcBorders>
            <w:vAlign w:val="center"/>
          </w:tcPr>
          <w:p w14:paraId="31685A88">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BMI (per 1 kg/m²)</w:t>
            </w:r>
          </w:p>
        </w:tc>
        <w:tc>
          <w:tcPr>
            <w:tcW w:w="885" w:type="dxa"/>
            <w:tcBorders>
              <w:top w:val="nil"/>
              <w:left w:val="nil"/>
              <w:bottom w:val="nil"/>
              <w:right w:val="nil"/>
            </w:tcBorders>
            <w:vAlign w:val="center"/>
          </w:tcPr>
          <w:p w14:paraId="5E6C05D1">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-0.01</w:t>
            </w:r>
          </w:p>
        </w:tc>
        <w:tc>
          <w:tcPr>
            <w:tcW w:w="812" w:type="dxa"/>
            <w:tcBorders>
              <w:top w:val="nil"/>
              <w:left w:val="nil"/>
              <w:bottom w:val="nil"/>
              <w:right w:val="nil"/>
            </w:tcBorders>
            <w:vAlign w:val="center"/>
          </w:tcPr>
          <w:p w14:paraId="128D801A">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0.06</w:t>
            </w:r>
          </w:p>
        </w:tc>
        <w:tc>
          <w:tcPr>
            <w:tcW w:w="2053" w:type="dxa"/>
            <w:tcBorders>
              <w:top w:val="nil"/>
              <w:left w:val="nil"/>
              <w:bottom w:val="nil"/>
              <w:right w:val="nil"/>
            </w:tcBorders>
            <w:vAlign w:val="center"/>
          </w:tcPr>
          <w:p w14:paraId="31A70C0F">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0.99 (0.88–1.13)</w:t>
            </w:r>
          </w:p>
        </w:tc>
        <w:tc>
          <w:tcPr>
            <w:tcW w:w="1063" w:type="dxa"/>
            <w:tcBorders>
              <w:top w:val="nil"/>
              <w:left w:val="nil"/>
              <w:bottom w:val="nil"/>
              <w:right w:val="nil"/>
            </w:tcBorders>
            <w:vAlign w:val="center"/>
          </w:tcPr>
          <w:p w14:paraId="755D1ADE">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0.909</w:t>
            </w:r>
          </w:p>
        </w:tc>
      </w:tr>
      <w:tr w14:paraId="4DDCA333">
        <w:tblPrEx>
          <w:tblCellMar>
            <w:top w:w="0" w:type="dxa"/>
            <w:left w:w="108" w:type="dxa"/>
            <w:bottom w:w="0" w:type="dxa"/>
            <w:right w:w="108" w:type="dxa"/>
          </w:tblCellMar>
        </w:tblPrEx>
        <w:trPr>
          <w:trHeight w:val="0" w:hRule="atLeast"/>
          <w:jc w:val="center"/>
        </w:trPr>
        <w:tc>
          <w:tcPr>
            <w:tcW w:w="3709" w:type="dxa"/>
            <w:tcBorders>
              <w:top w:val="nil"/>
              <w:left w:val="nil"/>
              <w:bottom w:val="nil"/>
              <w:right w:val="nil"/>
            </w:tcBorders>
            <w:vAlign w:val="center"/>
          </w:tcPr>
          <w:p w14:paraId="7DEAC4A7">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lang w:eastAsia="zh-CN"/>
              </w:rPr>
              <w:t>SGLT2</w:t>
            </w:r>
            <w:r>
              <w:rPr>
                <w:rFonts w:hint="eastAsia" w:ascii="Times New Roman" w:eastAsia="宋体"/>
                <w:sz w:val="22"/>
              </w:rPr>
              <w:t xml:space="preserve"> inhibitor use (yes; ref: no)</w:t>
            </w:r>
          </w:p>
        </w:tc>
        <w:tc>
          <w:tcPr>
            <w:tcW w:w="885" w:type="dxa"/>
            <w:tcBorders>
              <w:top w:val="nil"/>
              <w:left w:val="nil"/>
              <w:bottom w:val="nil"/>
              <w:right w:val="nil"/>
            </w:tcBorders>
            <w:vAlign w:val="center"/>
          </w:tcPr>
          <w:p w14:paraId="5EF0C7AD">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0.78</w:t>
            </w:r>
          </w:p>
        </w:tc>
        <w:tc>
          <w:tcPr>
            <w:tcW w:w="812" w:type="dxa"/>
            <w:tcBorders>
              <w:top w:val="nil"/>
              <w:left w:val="nil"/>
              <w:bottom w:val="nil"/>
              <w:right w:val="nil"/>
            </w:tcBorders>
            <w:vAlign w:val="center"/>
          </w:tcPr>
          <w:p w14:paraId="3C53E25A">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0.44</w:t>
            </w:r>
          </w:p>
        </w:tc>
        <w:tc>
          <w:tcPr>
            <w:tcW w:w="2053" w:type="dxa"/>
            <w:tcBorders>
              <w:top w:val="nil"/>
              <w:left w:val="nil"/>
              <w:bottom w:val="nil"/>
              <w:right w:val="nil"/>
            </w:tcBorders>
            <w:vAlign w:val="center"/>
          </w:tcPr>
          <w:p w14:paraId="673D972A">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2.17 (0.92–5.13)</w:t>
            </w:r>
          </w:p>
        </w:tc>
        <w:tc>
          <w:tcPr>
            <w:tcW w:w="1063" w:type="dxa"/>
            <w:tcBorders>
              <w:top w:val="nil"/>
              <w:left w:val="nil"/>
              <w:bottom w:val="nil"/>
              <w:right w:val="nil"/>
            </w:tcBorders>
            <w:vAlign w:val="center"/>
          </w:tcPr>
          <w:p w14:paraId="7079E075">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0.077</w:t>
            </w:r>
          </w:p>
        </w:tc>
      </w:tr>
      <w:tr w14:paraId="134E2BD1">
        <w:tblPrEx>
          <w:tblCellMar>
            <w:top w:w="0" w:type="dxa"/>
            <w:left w:w="108" w:type="dxa"/>
            <w:bottom w:w="0" w:type="dxa"/>
            <w:right w:w="108" w:type="dxa"/>
          </w:tblCellMar>
        </w:tblPrEx>
        <w:trPr>
          <w:trHeight w:val="0" w:hRule="atLeast"/>
          <w:jc w:val="center"/>
        </w:trPr>
        <w:tc>
          <w:tcPr>
            <w:tcW w:w="3709" w:type="dxa"/>
            <w:tcBorders>
              <w:top w:val="nil"/>
              <w:left w:val="nil"/>
              <w:bottom w:val="nil"/>
              <w:right w:val="nil"/>
            </w:tcBorders>
            <w:vAlign w:val="center"/>
          </w:tcPr>
          <w:p w14:paraId="421A0305">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HbA1c (per 1%)</w:t>
            </w:r>
          </w:p>
        </w:tc>
        <w:tc>
          <w:tcPr>
            <w:tcW w:w="885" w:type="dxa"/>
            <w:tcBorders>
              <w:top w:val="nil"/>
              <w:left w:val="nil"/>
              <w:bottom w:val="nil"/>
              <w:right w:val="nil"/>
            </w:tcBorders>
            <w:vAlign w:val="center"/>
          </w:tcPr>
          <w:p w14:paraId="25B15E61">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-0.07</w:t>
            </w:r>
          </w:p>
        </w:tc>
        <w:tc>
          <w:tcPr>
            <w:tcW w:w="812" w:type="dxa"/>
            <w:tcBorders>
              <w:top w:val="nil"/>
              <w:left w:val="nil"/>
              <w:bottom w:val="nil"/>
              <w:right w:val="nil"/>
            </w:tcBorders>
            <w:vAlign w:val="center"/>
          </w:tcPr>
          <w:p w14:paraId="3D764752">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0.11</w:t>
            </w:r>
          </w:p>
        </w:tc>
        <w:tc>
          <w:tcPr>
            <w:tcW w:w="2053" w:type="dxa"/>
            <w:tcBorders>
              <w:top w:val="nil"/>
              <w:left w:val="nil"/>
              <w:bottom w:val="nil"/>
              <w:right w:val="nil"/>
            </w:tcBorders>
            <w:vAlign w:val="center"/>
          </w:tcPr>
          <w:p w14:paraId="223E4FC4">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0.93 (0.75–1.15)</w:t>
            </w:r>
          </w:p>
        </w:tc>
        <w:tc>
          <w:tcPr>
            <w:tcW w:w="1063" w:type="dxa"/>
            <w:tcBorders>
              <w:top w:val="nil"/>
              <w:left w:val="nil"/>
              <w:bottom w:val="nil"/>
              <w:right w:val="nil"/>
            </w:tcBorders>
            <w:vAlign w:val="center"/>
          </w:tcPr>
          <w:p w14:paraId="055296DC">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0.504</w:t>
            </w:r>
          </w:p>
        </w:tc>
      </w:tr>
      <w:tr w14:paraId="5136C990">
        <w:tblPrEx>
          <w:tblCellMar>
            <w:top w:w="0" w:type="dxa"/>
            <w:left w:w="108" w:type="dxa"/>
            <w:bottom w:w="0" w:type="dxa"/>
            <w:right w:w="108" w:type="dxa"/>
          </w:tblCellMar>
        </w:tblPrEx>
        <w:trPr>
          <w:trHeight w:val="0" w:hRule="atLeast"/>
          <w:jc w:val="center"/>
        </w:trPr>
        <w:tc>
          <w:tcPr>
            <w:tcW w:w="3709" w:type="dxa"/>
            <w:tcBorders>
              <w:top w:val="nil"/>
              <w:left w:val="nil"/>
              <w:bottom w:val="nil"/>
              <w:right w:val="nil"/>
            </w:tcBorders>
            <w:vAlign w:val="center"/>
          </w:tcPr>
          <w:p w14:paraId="66B97289">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MAGE (per 1 mmol/L)</w:t>
            </w:r>
          </w:p>
        </w:tc>
        <w:tc>
          <w:tcPr>
            <w:tcW w:w="885" w:type="dxa"/>
            <w:tcBorders>
              <w:top w:val="nil"/>
              <w:left w:val="nil"/>
              <w:bottom w:val="nil"/>
              <w:right w:val="nil"/>
            </w:tcBorders>
            <w:vAlign w:val="center"/>
          </w:tcPr>
          <w:p w14:paraId="08925221">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-0.21</w:t>
            </w:r>
          </w:p>
        </w:tc>
        <w:tc>
          <w:tcPr>
            <w:tcW w:w="812" w:type="dxa"/>
            <w:tcBorders>
              <w:top w:val="nil"/>
              <w:left w:val="nil"/>
              <w:bottom w:val="nil"/>
              <w:right w:val="nil"/>
            </w:tcBorders>
            <w:vAlign w:val="center"/>
          </w:tcPr>
          <w:p w14:paraId="703A517D">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0.19</w:t>
            </w:r>
          </w:p>
        </w:tc>
        <w:tc>
          <w:tcPr>
            <w:tcW w:w="2053" w:type="dxa"/>
            <w:tcBorders>
              <w:top w:val="nil"/>
              <w:left w:val="nil"/>
              <w:bottom w:val="nil"/>
              <w:right w:val="nil"/>
            </w:tcBorders>
            <w:vAlign w:val="center"/>
          </w:tcPr>
          <w:p w14:paraId="08577F1D">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0.81 (0.56–1.17)</w:t>
            </w:r>
          </w:p>
        </w:tc>
        <w:tc>
          <w:tcPr>
            <w:tcW w:w="1063" w:type="dxa"/>
            <w:tcBorders>
              <w:top w:val="nil"/>
              <w:left w:val="nil"/>
              <w:bottom w:val="nil"/>
              <w:right w:val="nil"/>
            </w:tcBorders>
            <w:vAlign w:val="center"/>
          </w:tcPr>
          <w:p w14:paraId="011CD611">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0.264</w:t>
            </w:r>
          </w:p>
        </w:tc>
      </w:tr>
      <w:tr w14:paraId="032A07A9">
        <w:tblPrEx>
          <w:tblCellMar>
            <w:top w:w="0" w:type="dxa"/>
            <w:left w:w="108" w:type="dxa"/>
            <w:bottom w:w="0" w:type="dxa"/>
            <w:right w:w="108" w:type="dxa"/>
          </w:tblCellMar>
        </w:tblPrEx>
        <w:trPr>
          <w:trHeight w:val="0" w:hRule="atLeast"/>
          <w:jc w:val="center"/>
        </w:trPr>
        <w:tc>
          <w:tcPr>
            <w:tcW w:w="3709" w:type="dxa"/>
            <w:tcBorders>
              <w:top w:val="nil"/>
              <w:left w:val="nil"/>
              <w:bottom w:val="nil"/>
              <w:right w:val="nil"/>
            </w:tcBorders>
            <w:vAlign w:val="center"/>
          </w:tcPr>
          <w:p w14:paraId="5745CA23">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Mean glucose (per 1 mmol/L)</w:t>
            </w:r>
          </w:p>
        </w:tc>
        <w:tc>
          <w:tcPr>
            <w:tcW w:w="885" w:type="dxa"/>
            <w:tcBorders>
              <w:top w:val="nil"/>
              <w:left w:val="nil"/>
              <w:bottom w:val="nil"/>
              <w:right w:val="nil"/>
            </w:tcBorders>
            <w:vAlign w:val="center"/>
          </w:tcPr>
          <w:p w14:paraId="4301C6DE">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0.24</w:t>
            </w:r>
          </w:p>
        </w:tc>
        <w:tc>
          <w:tcPr>
            <w:tcW w:w="812" w:type="dxa"/>
            <w:tcBorders>
              <w:top w:val="nil"/>
              <w:left w:val="nil"/>
              <w:bottom w:val="nil"/>
              <w:right w:val="nil"/>
            </w:tcBorders>
            <w:vAlign w:val="center"/>
          </w:tcPr>
          <w:p w14:paraId="629AE889">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0.16</w:t>
            </w:r>
          </w:p>
        </w:tc>
        <w:tc>
          <w:tcPr>
            <w:tcW w:w="2053" w:type="dxa"/>
            <w:tcBorders>
              <w:top w:val="nil"/>
              <w:left w:val="nil"/>
              <w:bottom w:val="nil"/>
              <w:right w:val="nil"/>
            </w:tcBorders>
            <w:vAlign w:val="center"/>
          </w:tcPr>
          <w:p w14:paraId="1C25A8DE">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1.27 (0.92–1.76)</w:t>
            </w:r>
          </w:p>
        </w:tc>
        <w:tc>
          <w:tcPr>
            <w:tcW w:w="1063" w:type="dxa"/>
            <w:tcBorders>
              <w:top w:val="nil"/>
              <w:left w:val="nil"/>
              <w:bottom w:val="nil"/>
              <w:right w:val="nil"/>
            </w:tcBorders>
            <w:vAlign w:val="center"/>
          </w:tcPr>
          <w:p w14:paraId="0FCA1C8B">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0.137</w:t>
            </w:r>
          </w:p>
        </w:tc>
      </w:tr>
      <w:tr w14:paraId="4741B9F3">
        <w:tblPrEx>
          <w:tblCellMar>
            <w:top w:w="0" w:type="dxa"/>
            <w:left w:w="108" w:type="dxa"/>
            <w:bottom w:w="0" w:type="dxa"/>
            <w:right w:w="108" w:type="dxa"/>
          </w:tblCellMar>
        </w:tblPrEx>
        <w:trPr>
          <w:trHeight w:val="0" w:hRule="atLeast"/>
          <w:jc w:val="center"/>
        </w:trPr>
        <w:tc>
          <w:tcPr>
            <w:tcW w:w="3709" w:type="dxa"/>
            <w:tcBorders>
              <w:top w:val="nil"/>
              <w:left w:val="nil"/>
              <w:bottom w:val="nil"/>
              <w:right w:val="nil"/>
            </w:tcBorders>
            <w:vAlign w:val="center"/>
          </w:tcPr>
          <w:p w14:paraId="16FE1CA1">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2-h C-peptide (per 1 nmol/L)</w:t>
            </w:r>
          </w:p>
        </w:tc>
        <w:tc>
          <w:tcPr>
            <w:tcW w:w="885" w:type="dxa"/>
            <w:tcBorders>
              <w:top w:val="nil"/>
              <w:left w:val="nil"/>
              <w:bottom w:val="nil"/>
              <w:right w:val="nil"/>
            </w:tcBorders>
            <w:vAlign w:val="center"/>
          </w:tcPr>
          <w:p w14:paraId="3F0E439D">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-0.38</w:t>
            </w:r>
          </w:p>
        </w:tc>
        <w:tc>
          <w:tcPr>
            <w:tcW w:w="812" w:type="dxa"/>
            <w:tcBorders>
              <w:top w:val="nil"/>
              <w:left w:val="nil"/>
              <w:bottom w:val="nil"/>
              <w:right w:val="nil"/>
            </w:tcBorders>
            <w:vAlign w:val="center"/>
          </w:tcPr>
          <w:p w14:paraId="5A85AF30">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0.23</w:t>
            </w:r>
          </w:p>
        </w:tc>
        <w:tc>
          <w:tcPr>
            <w:tcW w:w="2053" w:type="dxa"/>
            <w:tcBorders>
              <w:top w:val="nil"/>
              <w:left w:val="nil"/>
              <w:bottom w:val="nil"/>
              <w:right w:val="nil"/>
            </w:tcBorders>
            <w:vAlign w:val="center"/>
          </w:tcPr>
          <w:p w14:paraId="490A1591">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0.68 (0.44–1.06)</w:t>
            </w:r>
          </w:p>
        </w:tc>
        <w:tc>
          <w:tcPr>
            <w:tcW w:w="1063" w:type="dxa"/>
            <w:tcBorders>
              <w:top w:val="nil"/>
              <w:left w:val="nil"/>
              <w:bottom w:val="nil"/>
              <w:right w:val="nil"/>
            </w:tcBorders>
            <w:vAlign w:val="center"/>
          </w:tcPr>
          <w:p w14:paraId="7BD375CC">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0.091</w:t>
            </w:r>
          </w:p>
        </w:tc>
      </w:tr>
      <w:tr w14:paraId="6A87D452">
        <w:tblPrEx>
          <w:tblCellMar>
            <w:top w:w="0" w:type="dxa"/>
            <w:left w:w="108" w:type="dxa"/>
            <w:bottom w:w="0" w:type="dxa"/>
            <w:right w:w="108" w:type="dxa"/>
          </w:tblCellMar>
        </w:tblPrEx>
        <w:trPr>
          <w:trHeight w:val="0" w:hRule="atLeast"/>
          <w:jc w:val="center"/>
        </w:trPr>
        <w:tc>
          <w:tcPr>
            <w:tcW w:w="3709" w:type="dxa"/>
            <w:tcBorders>
              <w:top w:val="nil"/>
              <w:left w:val="nil"/>
              <w:bottom w:val="nil"/>
              <w:right w:val="nil"/>
            </w:tcBorders>
            <w:vAlign w:val="center"/>
          </w:tcPr>
          <w:p w14:paraId="02C5D440">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Albumin (per 1 g/L)</w:t>
            </w:r>
          </w:p>
        </w:tc>
        <w:tc>
          <w:tcPr>
            <w:tcW w:w="885" w:type="dxa"/>
            <w:tcBorders>
              <w:top w:val="nil"/>
              <w:left w:val="nil"/>
              <w:bottom w:val="nil"/>
              <w:right w:val="nil"/>
            </w:tcBorders>
            <w:vAlign w:val="center"/>
          </w:tcPr>
          <w:p w14:paraId="32D6900C">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-0.05</w:t>
            </w:r>
          </w:p>
        </w:tc>
        <w:tc>
          <w:tcPr>
            <w:tcW w:w="812" w:type="dxa"/>
            <w:tcBorders>
              <w:top w:val="nil"/>
              <w:left w:val="nil"/>
              <w:bottom w:val="nil"/>
              <w:right w:val="nil"/>
            </w:tcBorders>
            <w:vAlign w:val="center"/>
          </w:tcPr>
          <w:p w14:paraId="68394B89">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0.06</w:t>
            </w:r>
          </w:p>
        </w:tc>
        <w:tc>
          <w:tcPr>
            <w:tcW w:w="2053" w:type="dxa"/>
            <w:tcBorders>
              <w:top w:val="nil"/>
              <w:left w:val="nil"/>
              <w:bottom w:val="nil"/>
              <w:right w:val="nil"/>
            </w:tcBorders>
            <w:vAlign w:val="center"/>
          </w:tcPr>
          <w:p w14:paraId="63CF9815">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0.95 (0.85–1.07)</w:t>
            </w:r>
          </w:p>
        </w:tc>
        <w:tc>
          <w:tcPr>
            <w:tcW w:w="1063" w:type="dxa"/>
            <w:tcBorders>
              <w:top w:val="nil"/>
              <w:left w:val="nil"/>
              <w:bottom w:val="nil"/>
              <w:right w:val="nil"/>
            </w:tcBorders>
            <w:vAlign w:val="center"/>
          </w:tcPr>
          <w:p w14:paraId="32D36677">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0.391</w:t>
            </w:r>
          </w:p>
        </w:tc>
      </w:tr>
      <w:tr w14:paraId="163D7282">
        <w:tblPrEx>
          <w:tblCellMar>
            <w:top w:w="0" w:type="dxa"/>
            <w:left w:w="108" w:type="dxa"/>
            <w:bottom w:w="0" w:type="dxa"/>
            <w:right w:w="108" w:type="dxa"/>
          </w:tblCellMar>
        </w:tblPrEx>
        <w:trPr>
          <w:trHeight w:val="0" w:hRule="atLeast"/>
          <w:jc w:val="center"/>
        </w:trPr>
        <w:tc>
          <w:tcPr>
            <w:tcW w:w="3709" w:type="dxa"/>
            <w:tcBorders>
              <w:top w:val="nil"/>
              <w:left w:val="nil"/>
              <w:bottom w:val="single" w:color="auto" w:sz="4" w:space="0"/>
              <w:right w:val="nil"/>
            </w:tcBorders>
            <w:vAlign w:val="center"/>
          </w:tcPr>
          <w:p w14:paraId="6018B9FC">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ApoA-I (per 1 g/L)</w:t>
            </w:r>
          </w:p>
        </w:tc>
        <w:tc>
          <w:tcPr>
            <w:tcW w:w="885" w:type="dxa"/>
            <w:tcBorders>
              <w:top w:val="nil"/>
              <w:left w:val="nil"/>
              <w:bottom w:val="single" w:color="auto" w:sz="4" w:space="0"/>
              <w:right w:val="nil"/>
            </w:tcBorders>
            <w:vAlign w:val="center"/>
          </w:tcPr>
          <w:p w14:paraId="7CF0A39D">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-3.09</w:t>
            </w:r>
          </w:p>
        </w:tc>
        <w:tc>
          <w:tcPr>
            <w:tcW w:w="812" w:type="dxa"/>
            <w:tcBorders>
              <w:top w:val="nil"/>
              <w:left w:val="nil"/>
              <w:bottom w:val="single" w:color="auto" w:sz="4" w:space="0"/>
              <w:right w:val="nil"/>
            </w:tcBorders>
            <w:vAlign w:val="center"/>
          </w:tcPr>
          <w:p w14:paraId="68E7CA63">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0.77</w:t>
            </w:r>
          </w:p>
        </w:tc>
        <w:tc>
          <w:tcPr>
            <w:tcW w:w="2053" w:type="dxa"/>
            <w:tcBorders>
              <w:top w:val="nil"/>
              <w:left w:val="nil"/>
              <w:bottom w:val="single" w:color="auto" w:sz="4" w:space="0"/>
              <w:right w:val="nil"/>
            </w:tcBorders>
            <w:vAlign w:val="center"/>
          </w:tcPr>
          <w:p w14:paraId="7FA9E2BA">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0.05 (0.01–0.21)</w:t>
            </w:r>
          </w:p>
        </w:tc>
        <w:tc>
          <w:tcPr>
            <w:tcW w:w="1063" w:type="dxa"/>
            <w:tcBorders>
              <w:top w:val="nil"/>
              <w:left w:val="nil"/>
              <w:bottom w:val="single" w:color="auto" w:sz="4" w:space="0"/>
              <w:right w:val="nil"/>
            </w:tcBorders>
            <w:vAlign w:val="center"/>
          </w:tcPr>
          <w:p w14:paraId="1CB4BCFB">
            <w:pPr>
              <w:snapToGrid w:val="0"/>
              <w:spacing w:after="0" w:line="240" w:lineRule="auto"/>
              <w:ind w:left="0" w:leftChars="0" w:right="0" w:rightChars="0" w:firstLine="0" w:firstLineChars="0"/>
              <w:jc w:val="center"/>
              <w:rPr>
                <w:rFonts w:hint="eastAsia" w:ascii="Times New Roman" w:eastAsia="宋体"/>
                <w:sz w:val="22"/>
              </w:rPr>
            </w:pPr>
            <w:r>
              <w:rPr>
                <w:rFonts w:hint="eastAsia" w:ascii="Times New Roman" w:eastAsia="宋体"/>
                <w:sz w:val="22"/>
              </w:rPr>
              <w:t>&lt;0.001</w:t>
            </w:r>
          </w:p>
        </w:tc>
      </w:tr>
    </w:tbl>
    <w:p w14:paraId="1EA9D79E">
      <w:r>
        <w:rPr>
          <w:rFonts w:hint="default" w:ascii="Times New Roman" w:hAnsi="Times New Roman" w:cs="Times New Roman"/>
          <w:b/>
          <w:bCs/>
          <w:lang w:val="en-US" w:eastAsia="zh-CN"/>
        </w:rPr>
        <w:t>Table S</w:t>
      </w:r>
      <w:r>
        <w:rPr>
          <w:rFonts w:hint="eastAsia" w:ascii="Times New Roman" w:hAnsi="Times New Roman" w:cs="Times New Roman"/>
          <w:b/>
          <w:bCs/>
          <w:lang w:val="en-US" w:eastAsia="zh-CN"/>
        </w:rPr>
        <w:t>7</w:t>
      </w:r>
      <w:r>
        <w:rPr>
          <w:rFonts w:hint="default" w:ascii="Times New Roman" w:hAnsi="Times New Roman" w:cs="Times New Roman"/>
          <w:b/>
          <w:bCs/>
          <w:lang w:val="en-US" w:eastAsia="zh-CN"/>
        </w:rPr>
        <w:t>.</w:t>
      </w:r>
      <w:r>
        <w:t xml:space="preserve"> </w:t>
      </w:r>
      <w:r>
        <w:rPr>
          <w:rFonts w:hint="default" w:ascii="Times New Roman" w:hAnsi="Times New Roman" w:cs="Times New Roman"/>
          <w:b w:val="0"/>
          <w:bCs w:val="0"/>
          <w:lang w:val="en-US" w:eastAsia="zh-CN"/>
        </w:rPr>
        <w:t>Sensitivity analysis refitting the clinical–metabolic candidate predictor set within the tumour-marker-complete subset (n=156). Values are regression coefficients (B), standard errors (SE), odds ratios (OR) with 95% confidence intervals (CI), and Wald P values from a multivariable logistic model. The intercept is reported to enable full model reconstruction (logit(p)=β₀+Σβx).</w:t>
      </w:r>
    </w:p>
    <w:p w14:paraId="7CABD01A">
      <w:pPr>
        <w:rPr>
          <w:rFonts w:hint="eastAsia" w:eastAsiaTheme="minorEastAsia"/>
          <w:lang w:eastAsia="zh-CN"/>
        </w:rPr>
      </w:pPr>
    </w:p>
    <w:p w14:paraId="28A0EA58">
      <w:pPr>
        <w:rPr>
          <w:rFonts w:hint="eastAsia" w:eastAsiaTheme="minorEastAsia"/>
          <w:lang w:eastAsia="zh-CN"/>
        </w:rPr>
      </w:pPr>
    </w:p>
    <w:p w14:paraId="4C819365">
      <w:pPr>
        <w:rPr>
          <w:rFonts w:hint="eastAsia" w:eastAsiaTheme="minorEastAsia"/>
          <w:lang w:eastAsia="zh-CN"/>
        </w:rPr>
      </w:pPr>
    </w:p>
    <w:p w14:paraId="25B5AF0D">
      <w:pPr>
        <w:rPr>
          <w:rFonts w:hint="eastAsia" w:eastAsiaTheme="minorEastAsia"/>
          <w:lang w:eastAsia="zh-CN"/>
        </w:rPr>
      </w:pPr>
    </w:p>
    <w:p w14:paraId="793995DC">
      <w:pPr>
        <w:rPr>
          <w:rFonts w:hint="eastAsia" w:eastAsiaTheme="minorEastAsia"/>
          <w:lang w:eastAsia="zh-CN"/>
        </w:rPr>
      </w:pPr>
    </w:p>
    <w:p w14:paraId="1914A94D">
      <w:pPr>
        <w:rPr>
          <w:rFonts w:hint="eastAsia" w:eastAsiaTheme="minorEastAsia"/>
          <w:lang w:eastAsia="zh-CN"/>
        </w:rPr>
      </w:pPr>
    </w:p>
    <w:p w14:paraId="61935A70">
      <w:pPr>
        <w:keepNext w:val="0"/>
        <w:keepLines w:val="0"/>
        <w:widowControl/>
        <w:suppressLineNumbers w:val="0"/>
        <w:spacing w:after="0" w:line="240" w:lineRule="auto"/>
        <w:jc w:val="center"/>
        <w:textAlignment w:val="center"/>
        <w:rPr>
          <w:rFonts w:hint="eastAsia" w:ascii="Times New Roman" w:hAnsi="Times New Roman" w:eastAsia="宋体" w:cs="Times New Roman"/>
          <w:b/>
          <w:bCs/>
          <w:i w:val="0"/>
          <w:iCs w:val="0"/>
          <w:color w:val="000000"/>
          <w:kern w:val="0"/>
          <w:sz w:val="24"/>
          <w:szCs w:val="24"/>
          <w:u w:val="none"/>
          <w:lang w:val="en-US" w:eastAsia="zh-CN" w:bidi="ar"/>
        </w:rPr>
      </w:pPr>
      <w:r>
        <w:rPr>
          <w:rFonts w:hint="eastAsia" w:ascii="Times New Roman" w:hAnsi="Times New Roman" w:eastAsia="宋体" w:cs="Times New Roman"/>
          <w:b/>
          <w:bCs/>
          <w:i w:val="0"/>
          <w:iCs w:val="0"/>
          <w:color w:val="000000"/>
          <w:kern w:val="0"/>
          <w:sz w:val="24"/>
          <w:szCs w:val="24"/>
          <w:u w:val="none"/>
          <w:lang w:val="en-US" w:eastAsia="zh-CN" w:bidi="ar"/>
        </w:rPr>
        <w:t>Figure S1. ROC curves for sensitivity analyses additionally adjusting Model B for ESR and eGFR</w:t>
      </w:r>
    </w:p>
    <w:p w14:paraId="4EB57B13">
      <w:pPr>
        <w:rPr>
          <w:rFonts w:hint="eastAsia" w:eastAsiaTheme="minorEastAsia"/>
          <w:lang w:eastAsia="zh-CN"/>
        </w:rPr>
      </w:pPr>
      <w:r>
        <w:rPr>
          <w:rFonts w:hint="eastAsia" w:eastAsiaTheme="minorEastAsia"/>
          <w:lang w:eastAsia="zh-CN"/>
        </w:rPr>
        <w:drawing>
          <wp:inline distT="0" distB="0" distL="114300" distR="114300">
            <wp:extent cx="5273675" cy="4671060"/>
            <wp:effectExtent l="0" t="0" r="9525" b="2540"/>
            <wp:docPr id="1" name="图片 1" descr="comment 14 gfr esr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omment 14 gfr esr_01"/>
                    <pic:cNvPicPr>
                      <a:picLocks noChangeAspect="1"/>
                    </pic:cNvPicPr>
                  </pic:nvPicPr>
                  <pic:blipFill>
                    <a:blip r:embed="rId6"/>
                    <a:stretch>
                      <a:fillRect/>
                    </a:stretch>
                  </pic:blipFill>
                  <pic:spPr>
                    <a:xfrm>
                      <a:off x="0" y="0"/>
                      <a:ext cx="5273675" cy="4671060"/>
                    </a:xfrm>
                    <a:prstGeom prst="rect">
                      <a:avLst/>
                    </a:prstGeom>
                  </pic:spPr>
                </pic:pic>
              </a:graphicData>
            </a:graphic>
          </wp:inline>
        </w:drawing>
      </w:r>
    </w:p>
    <w:p w14:paraId="59004005">
      <w:pPr>
        <w:spacing w:after="0" w:line="240" w:lineRule="auto"/>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Sensitivity analysis of Model B discrimination after additional adjustment for inflammatory and renal function markers. ROC curves for the baseline tumour marker–extended model (Model B) and sensitivity specifications additionally adjusted for ESR alone or for both ESR and eGFR. AUCs were 0.851 (95% CI, 0.790 - 0.912) for Model B, 0.870 (95% CI, 0.809 - 0.930) after additional adjustment for ESR, and 0.872 (95% CI, 0.812 - 0.933) after additional adjustment for ESR and eGFR.</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93397"/>
    <w:rsid w:val="0069744B"/>
    <w:rsid w:val="006B51B8"/>
    <w:rsid w:val="01B97764"/>
    <w:rsid w:val="07D04D96"/>
    <w:rsid w:val="082F74EE"/>
    <w:rsid w:val="096609CC"/>
    <w:rsid w:val="0DB55A7E"/>
    <w:rsid w:val="0EB43DAF"/>
    <w:rsid w:val="12DB7D35"/>
    <w:rsid w:val="14BD6892"/>
    <w:rsid w:val="1B193397"/>
    <w:rsid w:val="1BB83309"/>
    <w:rsid w:val="1E2D5BE7"/>
    <w:rsid w:val="2375745D"/>
    <w:rsid w:val="23D73E2E"/>
    <w:rsid w:val="23E66539"/>
    <w:rsid w:val="26B70CF0"/>
    <w:rsid w:val="277B51EB"/>
    <w:rsid w:val="29D91D18"/>
    <w:rsid w:val="2ADA13B2"/>
    <w:rsid w:val="2D744BB6"/>
    <w:rsid w:val="2EF333BA"/>
    <w:rsid w:val="2F386C31"/>
    <w:rsid w:val="2F6B035B"/>
    <w:rsid w:val="2FCE2FEC"/>
    <w:rsid w:val="314C327A"/>
    <w:rsid w:val="31A81E84"/>
    <w:rsid w:val="337F0EBB"/>
    <w:rsid w:val="35B23FA8"/>
    <w:rsid w:val="379466BC"/>
    <w:rsid w:val="3A59585F"/>
    <w:rsid w:val="3BA54D44"/>
    <w:rsid w:val="4A8536D2"/>
    <w:rsid w:val="4C2C4D07"/>
    <w:rsid w:val="4DCF7936"/>
    <w:rsid w:val="524B3013"/>
    <w:rsid w:val="54A95672"/>
    <w:rsid w:val="5575017C"/>
    <w:rsid w:val="57EE30D7"/>
    <w:rsid w:val="59030A18"/>
    <w:rsid w:val="5DE922A1"/>
    <w:rsid w:val="5FA80095"/>
    <w:rsid w:val="5FDF3861"/>
    <w:rsid w:val="609E5691"/>
    <w:rsid w:val="6437345D"/>
    <w:rsid w:val="649F75B2"/>
    <w:rsid w:val="64EA68D9"/>
    <w:rsid w:val="655820EC"/>
    <w:rsid w:val="66464E50"/>
    <w:rsid w:val="68041736"/>
    <w:rsid w:val="6DEC227B"/>
    <w:rsid w:val="6E095305"/>
    <w:rsid w:val="71666EDE"/>
    <w:rsid w:val="746F1D15"/>
    <w:rsid w:val="785100D1"/>
    <w:rsid w:val="78F70037"/>
    <w:rsid w:val="791D3755"/>
    <w:rsid w:val="7CC66C84"/>
    <w:rsid w:val="7E304914"/>
    <w:rsid w:val="7EB7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898</Words>
  <Characters>4836</Characters>
  <Lines>0</Lines>
  <Paragraphs>0</Paragraphs>
  <TotalTime>2</TotalTime>
  <ScaleCrop>false</ScaleCrop>
  <LinksUpToDate>false</LinksUpToDate>
  <CharactersWithSpaces>5404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2025-11-15T15:03:00Z</dcterms:created>
  <dc:creator>ngsonu</dc:creator>
  <cp:lastModifiedBy>ngsonu</cp:lastModifiedBy>
  <dcterms:modified xsi:type="dcterms:W3CDTF">2026-01-03T12:28:24Z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BC5D12BB149848439F35925E3DB93557_11</vt:lpwstr>
  </property>
  <property fmtid="{D5CDD505-2E9C-101B-9397-08002B2CF9AE}" pid="4" name="KSOTemplateDocerSaveRecord">
    <vt:lpwstr>eyJoZGlkIjoiNjE4ZDA3ZTMwMWMzZGMwN2RjMTJiMjJiM2VlNTk3NTEiLCJ1c2VySWQiOiIyNzg0NDUxOTkifQ==</vt:lpwstr>
  </property>
</Properties>
</file>