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2DB" w:rsidRDefault="002312A2">
      <w:r>
        <w:t xml:space="preserve">Supplemental material </w:t>
      </w:r>
    </w:p>
    <w:p w:rsidR="002312A2" w:rsidRDefault="002312A2">
      <w:r>
        <w:t xml:space="preserve">Table </w:t>
      </w:r>
      <w:r w:rsidR="004E6016">
        <w:t>S</w:t>
      </w:r>
      <w:r>
        <w:t>1. Exclusion criteria</w:t>
      </w:r>
    </w:p>
    <w:tbl>
      <w:tblPr>
        <w:tblStyle w:val="TableGrid"/>
        <w:tblW w:w="10060" w:type="dxa"/>
        <w:tblLook w:val="04A0" w:firstRow="1" w:lastRow="0" w:firstColumn="1" w:lastColumn="0" w:noHBand="0" w:noVBand="1"/>
      </w:tblPr>
      <w:tblGrid>
        <w:gridCol w:w="473"/>
        <w:gridCol w:w="9587"/>
      </w:tblGrid>
      <w:tr w:rsidR="002312A2" w:rsidTr="001D21E0">
        <w:trPr>
          <w:trHeight w:val="722"/>
        </w:trPr>
        <w:tc>
          <w:tcPr>
            <w:tcW w:w="473" w:type="dxa"/>
          </w:tcPr>
          <w:p w:rsidR="002312A2" w:rsidRDefault="002312A2" w:rsidP="002312A2">
            <w:r>
              <w:t>1</w:t>
            </w:r>
          </w:p>
        </w:tc>
        <w:tc>
          <w:tcPr>
            <w:tcW w:w="9587" w:type="dxa"/>
          </w:tcPr>
          <w:p w:rsidR="002312A2" w:rsidRPr="002312A2" w:rsidRDefault="002312A2" w:rsidP="002312A2">
            <w:pPr>
              <w:spacing w:after="160" w:line="278" w:lineRule="auto"/>
            </w:pPr>
            <w:r w:rsidRPr="002312A2">
              <w:t xml:space="preserve">Individuals that are being treated for cancer or have a history of facial skin cancer on the test areas. </w:t>
            </w:r>
          </w:p>
        </w:tc>
      </w:tr>
      <w:tr w:rsidR="002312A2" w:rsidTr="001D21E0">
        <w:trPr>
          <w:trHeight w:val="1019"/>
        </w:trPr>
        <w:tc>
          <w:tcPr>
            <w:tcW w:w="473" w:type="dxa"/>
          </w:tcPr>
          <w:p w:rsidR="002312A2" w:rsidRDefault="002312A2" w:rsidP="002312A2">
            <w:r>
              <w:t>2</w:t>
            </w:r>
          </w:p>
        </w:tc>
        <w:tc>
          <w:tcPr>
            <w:tcW w:w="9587" w:type="dxa"/>
          </w:tcPr>
          <w:p w:rsidR="002312A2" w:rsidRPr="002312A2" w:rsidRDefault="002312A2" w:rsidP="002312A2">
            <w:pPr>
              <w:spacing w:after="160" w:line="278" w:lineRule="auto"/>
            </w:pPr>
            <w:r w:rsidRPr="002312A2">
              <w:t xml:space="preserve">Individuals with sunburn, moderate to pronounced suntan, significant asymmetrical skin aging, uneven skin tones, tattoos, significant scars or </w:t>
            </w:r>
            <w:proofErr w:type="gramStart"/>
            <w:r w:rsidRPr="002312A2">
              <w:t>other</w:t>
            </w:r>
            <w:proofErr w:type="gramEnd"/>
            <w:r w:rsidRPr="002312A2">
              <w:t xml:space="preserve"> disfiguration, inflammatory </w:t>
            </w:r>
          </w:p>
        </w:tc>
      </w:tr>
      <w:tr w:rsidR="002312A2" w:rsidTr="001D21E0">
        <w:trPr>
          <w:trHeight w:val="425"/>
        </w:trPr>
        <w:tc>
          <w:tcPr>
            <w:tcW w:w="473" w:type="dxa"/>
          </w:tcPr>
          <w:p w:rsidR="002312A2" w:rsidRDefault="002312A2" w:rsidP="002312A2">
            <w:r>
              <w:t>3</w:t>
            </w:r>
          </w:p>
        </w:tc>
        <w:tc>
          <w:tcPr>
            <w:tcW w:w="9587" w:type="dxa"/>
          </w:tcPr>
          <w:p w:rsidR="002312A2" w:rsidRPr="002312A2" w:rsidRDefault="002312A2" w:rsidP="002312A2">
            <w:pPr>
              <w:spacing w:after="160" w:line="278" w:lineRule="auto"/>
            </w:pPr>
            <w:r w:rsidRPr="002312A2">
              <w:t xml:space="preserve">Rosacea or other conditions on the test area that might influence the test results. </w:t>
            </w:r>
          </w:p>
        </w:tc>
      </w:tr>
      <w:tr w:rsidR="002312A2" w:rsidTr="001D21E0">
        <w:trPr>
          <w:trHeight w:val="1603"/>
        </w:trPr>
        <w:tc>
          <w:tcPr>
            <w:tcW w:w="473" w:type="dxa"/>
          </w:tcPr>
          <w:p w:rsidR="002312A2" w:rsidRDefault="002312A2" w:rsidP="002312A2">
            <w:r>
              <w:t>4</w:t>
            </w:r>
          </w:p>
        </w:tc>
        <w:tc>
          <w:tcPr>
            <w:tcW w:w="9587" w:type="dxa"/>
          </w:tcPr>
          <w:p w:rsidR="002312A2" w:rsidRPr="002312A2" w:rsidRDefault="002312A2" w:rsidP="002312A2">
            <w:pPr>
              <w:spacing w:after="160" w:line="278" w:lineRule="auto"/>
            </w:pPr>
            <w:r w:rsidRPr="002312A2">
              <w:t xml:space="preserve">Individuals currently taking certain medications which in the opinion of the investigators may interfere with the Study. This would include but not be limited to routine high dosage use of anti-inflammatory drugs (aspirin, ibuprofen, corticosteroids (steroid nose drops, inhalers and/or eye drops are permitted)), and immunosuppressive drugs </w:t>
            </w:r>
          </w:p>
        </w:tc>
      </w:tr>
      <w:tr w:rsidR="002312A2" w:rsidTr="001D21E0">
        <w:trPr>
          <w:trHeight w:val="1009"/>
        </w:trPr>
        <w:tc>
          <w:tcPr>
            <w:tcW w:w="473" w:type="dxa"/>
          </w:tcPr>
          <w:p w:rsidR="002312A2" w:rsidRDefault="002312A2" w:rsidP="002312A2">
            <w:r>
              <w:t>5</w:t>
            </w:r>
          </w:p>
        </w:tc>
        <w:tc>
          <w:tcPr>
            <w:tcW w:w="9587" w:type="dxa"/>
          </w:tcPr>
          <w:p w:rsidR="002312A2" w:rsidRPr="002312A2" w:rsidRDefault="002312A2" w:rsidP="002312A2">
            <w:pPr>
              <w:spacing w:after="160" w:line="278" w:lineRule="auto"/>
            </w:pPr>
            <w:r w:rsidRPr="002312A2">
              <w:t xml:space="preserve"> Individuals with self-reported, uncontrolled systemic disease which, in the opinion of the investigator, may hinder either the individual’s ability to perform all responsibilities of the trial or the investigator’s ability to perform assessments. </w:t>
            </w:r>
          </w:p>
        </w:tc>
      </w:tr>
      <w:tr w:rsidR="002312A2" w:rsidTr="001D21E0">
        <w:trPr>
          <w:trHeight w:val="434"/>
        </w:trPr>
        <w:tc>
          <w:tcPr>
            <w:tcW w:w="473" w:type="dxa"/>
          </w:tcPr>
          <w:p w:rsidR="002312A2" w:rsidRDefault="002312A2" w:rsidP="002312A2">
            <w:r>
              <w:t>6</w:t>
            </w:r>
          </w:p>
        </w:tc>
        <w:tc>
          <w:tcPr>
            <w:tcW w:w="9587" w:type="dxa"/>
          </w:tcPr>
          <w:p w:rsidR="002312A2" w:rsidRPr="002312A2" w:rsidRDefault="002312A2" w:rsidP="002312A2">
            <w:pPr>
              <w:spacing w:after="160" w:line="278" w:lineRule="auto"/>
            </w:pPr>
            <w:r w:rsidRPr="002312A2">
              <w:t xml:space="preserve">Women known to be pregnant, nursing or planning to become pregnant. </w:t>
            </w:r>
          </w:p>
        </w:tc>
      </w:tr>
      <w:tr w:rsidR="002312A2" w:rsidTr="001D21E0">
        <w:trPr>
          <w:trHeight w:val="425"/>
        </w:trPr>
        <w:tc>
          <w:tcPr>
            <w:tcW w:w="473" w:type="dxa"/>
          </w:tcPr>
          <w:p w:rsidR="002312A2" w:rsidRDefault="002312A2" w:rsidP="002312A2">
            <w:r>
              <w:t>7</w:t>
            </w:r>
          </w:p>
        </w:tc>
        <w:tc>
          <w:tcPr>
            <w:tcW w:w="9587" w:type="dxa"/>
          </w:tcPr>
          <w:p w:rsidR="002312A2" w:rsidRPr="002312A2" w:rsidRDefault="002312A2" w:rsidP="002312A2">
            <w:pPr>
              <w:spacing w:after="160" w:line="278" w:lineRule="auto"/>
            </w:pPr>
            <w:r w:rsidRPr="002312A2">
              <w:t>Individuals participating in other facial clinical studies</w:t>
            </w:r>
          </w:p>
        </w:tc>
      </w:tr>
      <w:tr w:rsidR="002312A2" w:rsidTr="001D21E0">
        <w:trPr>
          <w:trHeight w:val="1603"/>
        </w:trPr>
        <w:tc>
          <w:tcPr>
            <w:tcW w:w="473" w:type="dxa"/>
          </w:tcPr>
          <w:p w:rsidR="002312A2" w:rsidRDefault="002312A2" w:rsidP="002312A2">
            <w:r>
              <w:t>8</w:t>
            </w:r>
          </w:p>
        </w:tc>
        <w:tc>
          <w:tcPr>
            <w:tcW w:w="9587" w:type="dxa"/>
          </w:tcPr>
          <w:p w:rsidR="002312A2" w:rsidRPr="002312A2" w:rsidRDefault="002312A2" w:rsidP="002312A2">
            <w:pPr>
              <w:spacing w:after="160" w:line="278" w:lineRule="auto"/>
            </w:pPr>
            <w:r w:rsidRPr="002312A2">
              <w:t xml:space="preserve">Individuals who have routinely used an alpha-hydroxy-acid (AHA) or a beta-hydroxy-acid (BHA) containing product within two weeks or </w:t>
            </w:r>
            <w:r w:rsidR="001D21E0" w:rsidRPr="001D21E0">
              <w:t xml:space="preserve">Retin-A®, Retin-A Micro®, Renova®, Differin®, Avita®, </w:t>
            </w:r>
            <w:proofErr w:type="spellStart"/>
            <w:r w:rsidR="001D21E0" w:rsidRPr="001D21E0">
              <w:t>Tazorac</w:t>
            </w:r>
            <w:proofErr w:type="spellEnd"/>
            <w:r w:rsidR="001D21E0" w:rsidRPr="001D21E0">
              <w:t xml:space="preserve">®, or </w:t>
            </w:r>
            <w:proofErr w:type="spellStart"/>
            <w:r w:rsidR="001D21E0" w:rsidRPr="001D21E0">
              <w:t>Soriatane</w:t>
            </w:r>
            <w:proofErr w:type="spellEnd"/>
            <w:r w:rsidR="001D21E0" w:rsidRPr="001D21E0">
              <w:t>®</w:t>
            </w:r>
            <w:r w:rsidR="001D21E0" w:rsidRPr="002312A2">
              <w:t xml:space="preserve"> </w:t>
            </w:r>
            <w:r w:rsidRPr="002312A2">
              <w:t>within 8 weeks of the Study start or have taken Accutane</w:t>
            </w:r>
            <w:r w:rsidR="001D21E0" w:rsidRPr="001D21E0">
              <w:t>®</w:t>
            </w:r>
            <w:r w:rsidRPr="002312A2">
              <w:t xml:space="preserve"> within one year of the Study start. Individuals who have used Retinol in the last 8 weeks. </w:t>
            </w:r>
          </w:p>
        </w:tc>
      </w:tr>
      <w:tr w:rsidR="002312A2" w:rsidTr="001D21E0">
        <w:trPr>
          <w:trHeight w:val="425"/>
        </w:trPr>
        <w:tc>
          <w:tcPr>
            <w:tcW w:w="473" w:type="dxa"/>
          </w:tcPr>
          <w:p w:rsidR="002312A2" w:rsidRDefault="002312A2" w:rsidP="002312A2">
            <w:r>
              <w:t>9</w:t>
            </w:r>
          </w:p>
        </w:tc>
        <w:tc>
          <w:tcPr>
            <w:tcW w:w="9587" w:type="dxa"/>
          </w:tcPr>
          <w:p w:rsidR="002312A2" w:rsidRPr="002312A2" w:rsidRDefault="002312A2" w:rsidP="002312A2">
            <w:pPr>
              <w:spacing w:after="160" w:line="278" w:lineRule="auto"/>
            </w:pPr>
            <w:r w:rsidRPr="002312A2">
              <w:t xml:space="preserve">Individuals with current flaring moderate to severe inflammatory acne </w:t>
            </w:r>
          </w:p>
        </w:tc>
      </w:tr>
      <w:tr w:rsidR="002312A2" w:rsidTr="001D21E0">
        <w:trPr>
          <w:trHeight w:val="722"/>
        </w:trPr>
        <w:tc>
          <w:tcPr>
            <w:tcW w:w="473" w:type="dxa"/>
          </w:tcPr>
          <w:p w:rsidR="002312A2" w:rsidRDefault="002312A2" w:rsidP="002312A2">
            <w:r>
              <w:t>10</w:t>
            </w:r>
          </w:p>
        </w:tc>
        <w:tc>
          <w:tcPr>
            <w:tcW w:w="9587" w:type="dxa"/>
          </w:tcPr>
          <w:p w:rsidR="002312A2" w:rsidRPr="002312A2" w:rsidRDefault="002312A2" w:rsidP="002312A2">
            <w:pPr>
              <w:spacing w:after="160" w:line="278" w:lineRule="auto"/>
            </w:pPr>
            <w:r w:rsidRPr="002312A2">
              <w:t xml:space="preserve">Individuals who have had ablative laser treatments, microneedling, and/or chemical peels or dermabrasion within the last six months. </w:t>
            </w:r>
          </w:p>
        </w:tc>
      </w:tr>
      <w:tr w:rsidR="002312A2" w:rsidTr="001D21E0">
        <w:trPr>
          <w:trHeight w:val="722"/>
        </w:trPr>
        <w:tc>
          <w:tcPr>
            <w:tcW w:w="473" w:type="dxa"/>
          </w:tcPr>
          <w:p w:rsidR="002312A2" w:rsidRDefault="002312A2" w:rsidP="002312A2">
            <w:r>
              <w:t>11</w:t>
            </w:r>
          </w:p>
        </w:tc>
        <w:tc>
          <w:tcPr>
            <w:tcW w:w="9587" w:type="dxa"/>
          </w:tcPr>
          <w:p w:rsidR="002312A2" w:rsidRPr="002312A2" w:rsidRDefault="002312A2" w:rsidP="002312A2">
            <w:pPr>
              <w:spacing w:after="160" w:line="278" w:lineRule="auto"/>
            </w:pPr>
            <w:r w:rsidRPr="002312A2">
              <w:t xml:space="preserve">Individuals who have had non-ablative laser treatments or IPL within the last12 weeks. </w:t>
            </w:r>
          </w:p>
        </w:tc>
      </w:tr>
      <w:tr w:rsidR="002312A2" w:rsidTr="001D21E0">
        <w:trPr>
          <w:trHeight w:val="722"/>
        </w:trPr>
        <w:tc>
          <w:tcPr>
            <w:tcW w:w="473" w:type="dxa"/>
          </w:tcPr>
          <w:p w:rsidR="002312A2" w:rsidRDefault="002312A2" w:rsidP="002312A2">
            <w:r>
              <w:t>12</w:t>
            </w:r>
          </w:p>
        </w:tc>
        <w:tc>
          <w:tcPr>
            <w:tcW w:w="9587" w:type="dxa"/>
          </w:tcPr>
          <w:p w:rsidR="002312A2" w:rsidRPr="002312A2" w:rsidRDefault="002312A2" w:rsidP="002312A2">
            <w:pPr>
              <w:spacing w:after="160" w:line="278" w:lineRule="auto"/>
            </w:pPr>
            <w:r w:rsidRPr="002312A2">
              <w:t xml:space="preserve"> Individuals with known allergies to skin treatment products or cosmetics, toiletries, and/or topical drugs. </w:t>
            </w:r>
          </w:p>
        </w:tc>
      </w:tr>
      <w:tr w:rsidR="002312A2" w:rsidTr="001D21E0">
        <w:trPr>
          <w:trHeight w:val="425"/>
        </w:trPr>
        <w:tc>
          <w:tcPr>
            <w:tcW w:w="473" w:type="dxa"/>
          </w:tcPr>
          <w:p w:rsidR="002312A2" w:rsidRDefault="002312A2" w:rsidP="002312A2">
            <w:r>
              <w:t>13</w:t>
            </w:r>
          </w:p>
        </w:tc>
        <w:tc>
          <w:tcPr>
            <w:tcW w:w="9587" w:type="dxa"/>
          </w:tcPr>
          <w:p w:rsidR="002312A2" w:rsidRPr="002312A2" w:rsidRDefault="002312A2" w:rsidP="002312A2">
            <w:pPr>
              <w:spacing w:after="160" w:line="278" w:lineRule="auto"/>
            </w:pPr>
            <w:r w:rsidRPr="002312A2">
              <w:t>Individuals currently using topically applied prescription medications on the face.</w:t>
            </w:r>
          </w:p>
        </w:tc>
      </w:tr>
    </w:tbl>
    <w:p w:rsidR="002312A2" w:rsidRDefault="002312A2" w:rsidP="001D21E0"/>
    <w:sectPr w:rsidR="002312A2" w:rsidSect="00C849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A2"/>
    <w:rsid w:val="00007C84"/>
    <w:rsid w:val="00027F06"/>
    <w:rsid w:val="00031C3F"/>
    <w:rsid w:val="00054E69"/>
    <w:rsid w:val="000C3A91"/>
    <w:rsid w:val="000F20CD"/>
    <w:rsid w:val="001817A3"/>
    <w:rsid w:val="00183F22"/>
    <w:rsid w:val="0019404D"/>
    <w:rsid w:val="001A7E3E"/>
    <w:rsid w:val="001D21E0"/>
    <w:rsid w:val="0021788B"/>
    <w:rsid w:val="002312A2"/>
    <w:rsid w:val="002609E9"/>
    <w:rsid w:val="002920D9"/>
    <w:rsid w:val="002E0A62"/>
    <w:rsid w:val="002E1A9E"/>
    <w:rsid w:val="002E75AC"/>
    <w:rsid w:val="002F563C"/>
    <w:rsid w:val="00373C9F"/>
    <w:rsid w:val="004131C5"/>
    <w:rsid w:val="004365F7"/>
    <w:rsid w:val="004504D3"/>
    <w:rsid w:val="004821E3"/>
    <w:rsid w:val="004A2350"/>
    <w:rsid w:val="004B06F8"/>
    <w:rsid w:val="004D43D0"/>
    <w:rsid w:val="004E1CCD"/>
    <w:rsid w:val="004E6016"/>
    <w:rsid w:val="004F5B82"/>
    <w:rsid w:val="00543E5F"/>
    <w:rsid w:val="00585111"/>
    <w:rsid w:val="005A5817"/>
    <w:rsid w:val="005D4655"/>
    <w:rsid w:val="005E6A07"/>
    <w:rsid w:val="005F6DEE"/>
    <w:rsid w:val="00600E66"/>
    <w:rsid w:val="0065244D"/>
    <w:rsid w:val="00653F66"/>
    <w:rsid w:val="0065642A"/>
    <w:rsid w:val="00656AE0"/>
    <w:rsid w:val="00657ED7"/>
    <w:rsid w:val="00681CC7"/>
    <w:rsid w:val="006B29FD"/>
    <w:rsid w:val="006F3303"/>
    <w:rsid w:val="007058A6"/>
    <w:rsid w:val="007237CC"/>
    <w:rsid w:val="007342DB"/>
    <w:rsid w:val="00754CF5"/>
    <w:rsid w:val="00767C82"/>
    <w:rsid w:val="00786781"/>
    <w:rsid w:val="007D65AF"/>
    <w:rsid w:val="00805165"/>
    <w:rsid w:val="00811455"/>
    <w:rsid w:val="008263DF"/>
    <w:rsid w:val="00835A98"/>
    <w:rsid w:val="00847133"/>
    <w:rsid w:val="00867FA2"/>
    <w:rsid w:val="008738F4"/>
    <w:rsid w:val="00880CD7"/>
    <w:rsid w:val="008821E3"/>
    <w:rsid w:val="00883263"/>
    <w:rsid w:val="008B22E8"/>
    <w:rsid w:val="008B4020"/>
    <w:rsid w:val="008C4811"/>
    <w:rsid w:val="00900A2F"/>
    <w:rsid w:val="009014E2"/>
    <w:rsid w:val="00972885"/>
    <w:rsid w:val="00997117"/>
    <w:rsid w:val="009B4D9A"/>
    <w:rsid w:val="009C2C17"/>
    <w:rsid w:val="009F5005"/>
    <w:rsid w:val="00A6287E"/>
    <w:rsid w:val="00A64FA5"/>
    <w:rsid w:val="00AA461B"/>
    <w:rsid w:val="00AC7EC1"/>
    <w:rsid w:val="00AE32D1"/>
    <w:rsid w:val="00AE52AE"/>
    <w:rsid w:val="00AE6D59"/>
    <w:rsid w:val="00BB7022"/>
    <w:rsid w:val="00BC3DDE"/>
    <w:rsid w:val="00BD253B"/>
    <w:rsid w:val="00C06D11"/>
    <w:rsid w:val="00C5484C"/>
    <w:rsid w:val="00C849F6"/>
    <w:rsid w:val="00CC12D3"/>
    <w:rsid w:val="00D00EBA"/>
    <w:rsid w:val="00D0213F"/>
    <w:rsid w:val="00D03C11"/>
    <w:rsid w:val="00D138B8"/>
    <w:rsid w:val="00D2626F"/>
    <w:rsid w:val="00D93B62"/>
    <w:rsid w:val="00DA4506"/>
    <w:rsid w:val="00DB4837"/>
    <w:rsid w:val="00DF2130"/>
    <w:rsid w:val="00E03AB6"/>
    <w:rsid w:val="00E12136"/>
    <w:rsid w:val="00E21C90"/>
    <w:rsid w:val="00E2796E"/>
    <w:rsid w:val="00E4667C"/>
    <w:rsid w:val="00E83B43"/>
    <w:rsid w:val="00EB7982"/>
    <w:rsid w:val="00F03C3A"/>
    <w:rsid w:val="00F42005"/>
    <w:rsid w:val="00F43085"/>
    <w:rsid w:val="00F45FDE"/>
    <w:rsid w:val="00F570F9"/>
    <w:rsid w:val="00F92493"/>
    <w:rsid w:val="00F9275A"/>
    <w:rsid w:val="00F92882"/>
    <w:rsid w:val="00F92E9D"/>
    <w:rsid w:val="00FB2059"/>
    <w:rsid w:val="00FB2077"/>
    <w:rsid w:val="00FC75DC"/>
    <w:rsid w:val="00FD1A4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168CF86E"/>
  <w15:chartTrackingRefBased/>
  <w15:docId w15:val="{FC1A1A3F-D50D-8C40-ADEA-6DE31452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2A2"/>
    <w:rPr>
      <w:rFonts w:eastAsiaTheme="majorEastAsia" w:cstheme="majorBidi"/>
      <w:color w:val="272727" w:themeColor="text1" w:themeTint="D8"/>
    </w:rPr>
  </w:style>
  <w:style w:type="paragraph" w:styleId="Title">
    <w:name w:val="Title"/>
    <w:basedOn w:val="Normal"/>
    <w:next w:val="Normal"/>
    <w:link w:val="TitleChar"/>
    <w:uiPriority w:val="10"/>
    <w:qFormat/>
    <w:rsid w:val="0023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2A2"/>
    <w:pPr>
      <w:spacing w:before="160"/>
      <w:jc w:val="center"/>
    </w:pPr>
    <w:rPr>
      <w:i/>
      <w:iCs/>
      <w:color w:val="404040" w:themeColor="text1" w:themeTint="BF"/>
    </w:rPr>
  </w:style>
  <w:style w:type="character" w:customStyle="1" w:styleId="QuoteChar">
    <w:name w:val="Quote Char"/>
    <w:basedOn w:val="DefaultParagraphFont"/>
    <w:link w:val="Quote"/>
    <w:uiPriority w:val="29"/>
    <w:rsid w:val="002312A2"/>
    <w:rPr>
      <w:i/>
      <w:iCs/>
      <w:color w:val="404040" w:themeColor="text1" w:themeTint="BF"/>
    </w:rPr>
  </w:style>
  <w:style w:type="paragraph" w:styleId="ListParagraph">
    <w:name w:val="List Paragraph"/>
    <w:basedOn w:val="Normal"/>
    <w:uiPriority w:val="34"/>
    <w:qFormat/>
    <w:rsid w:val="002312A2"/>
    <w:pPr>
      <w:ind w:left="720"/>
      <w:contextualSpacing/>
    </w:pPr>
  </w:style>
  <w:style w:type="character" w:styleId="IntenseEmphasis">
    <w:name w:val="Intense Emphasis"/>
    <w:basedOn w:val="DefaultParagraphFont"/>
    <w:uiPriority w:val="21"/>
    <w:qFormat/>
    <w:rsid w:val="002312A2"/>
    <w:rPr>
      <w:i/>
      <w:iCs/>
      <w:color w:val="0F4761" w:themeColor="accent1" w:themeShade="BF"/>
    </w:rPr>
  </w:style>
  <w:style w:type="paragraph" w:styleId="IntenseQuote">
    <w:name w:val="Intense Quote"/>
    <w:basedOn w:val="Normal"/>
    <w:next w:val="Normal"/>
    <w:link w:val="IntenseQuoteChar"/>
    <w:uiPriority w:val="30"/>
    <w:qFormat/>
    <w:rsid w:val="0023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2A2"/>
    <w:rPr>
      <w:i/>
      <w:iCs/>
      <w:color w:val="0F4761" w:themeColor="accent1" w:themeShade="BF"/>
    </w:rPr>
  </w:style>
  <w:style w:type="character" w:styleId="IntenseReference">
    <w:name w:val="Intense Reference"/>
    <w:basedOn w:val="DefaultParagraphFont"/>
    <w:uiPriority w:val="32"/>
    <w:qFormat/>
    <w:rsid w:val="002312A2"/>
    <w:rPr>
      <w:b/>
      <w:bCs/>
      <w:smallCaps/>
      <w:color w:val="0F4761" w:themeColor="accent1" w:themeShade="BF"/>
      <w:spacing w:val="5"/>
    </w:rPr>
  </w:style>
  <w:style w:type="table" w:styleId="TableGrid">
    <w:name w:val="Table Grid"/>
    <w:basedOn w:val="TableNormal"/>
    <w:uiPriority w:val="39"/>
    <w:rsid w:val="0023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277</Words>
  <Characters>1755</Characters>
  <Application>Microsoft Office Word</Application>
  <DocSecurity>0</DocSecurity>
  <Lines>26</Lines>
  <Paragraphs>7</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Chamoun</dc:creator>
  <cp:keywords/>
  <dc:description/>
  <cp:lastModifiedBy>Mira Chamoun</cp:lastModifiedBy>
  <cp:revision>3</cp:revision>
  <dcterms:created xsi:type="dcterms:W3CDTF">2026-04-28T00:30:00Z</dcterms:created>
  <dcterms:modified xsi:type="dcterms:W3CDTF">2026-05-05T02:00:00Z</dcterms:modified>
</cp:coreProperties>
</file>