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5027A">
      <w:pPr>
        <w:spacing w:line="360" w:lineRule="auto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drawing>
          <wp:inline distT="0" distB="0" distL="0" distR="0">
            <wp:extent cx="5270500" cy="31623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CEAB3">
      <w:pPr>
        <w:spacing w:line="360" w:lineRule="auto"/>
        <w:rPr>
          <w:rFonts w:cs="Times New Roman"/>
          <w:b/>
          <w:bCs/>
          <w:szCs w:val="20"/>
        </w:rPr>
      </w:pPr>
    </w:p>
    <w:p w14:paraId="73048979">
      <w:pPr>
        <w:spacing w:line="360" w:lineRule="auto"/>
        <w:rPr>
          <w:b/>
          <w:bCs/>
        </w:rPr>
      </w:pPr>
      <w:r>
        <w:rPr>
          <w:b/>
          <w:bCs/>
        </w:rPr>
        <w:t xml:space="preserve">Figure S1 </w:t>
      </w:r>
      <w:r>
        <w:t xml:space="preserve">Expression of CENPF is unregulated </w:t>
      </w:r>
      <w:r>
        <w:rPr>
          <w:rFonts w:hint="eastAsia"/>
        </w:rPr>
        <w:t>i</w:t>
      </w:r>
      <w:r>
        <w:t xml:space="preserve">n various tumors including HCC and is closely associated with the poor prognosis of HCC </w:t>
      </w:r>
      <w:r>
        <w:rPr>
          <w:rFonts w:hint="eastAsia"/>
        </w:rPr>
        <w:t>p</w:t>
      </w:r>
      <w:r>
        <w:t xml:space="preserve">atients </w:t>
      </w:r>
      <w:r>
        <w:rPr>
          <w:rFonts w:hint="eastAsia"/>
        </w:rPr>
        <w:t>based</w:t>
      </w:r>
      <w:r>
        <w:t xml:space="preserve"> </w:t>
      </w:r>
      <w:r>
        <w:rPr>
          <w:rFonts w:hint="eastAsia"/>
        </w:rPr>
        <w:t>on</w:t>
      </w:r>
      <w:r>
        <w:t xml:space="preserve"> </w:t>
      </w:r>
      <w:r>
        <w:rPr>
          <w:rFonts w:hint="eastAsia"/>
        </w:rPr>
        <w:t>data</w:t>
      </w:r>
      <w:r>
        <w:t xml:space="preserve"> </w:t>
      </w:r>
      <w:r>
        <w:rPr>
          <w:rFonts w:hint="eastAsia"/>
        </w:rPr>
        <w:t>from</w:t>
      </w:r>
      <w:r>
        <w:t xml:space="preserve"> a </w:t>
      </w:r>
      <w:r>
        <w:rPr>
          <w:rFonts w:hint="eastAsia"/>
        </w:rPr>
        <w:t>public</w:t>
      </w:r>
      <w:r>
        <w:t xml:space="preserve"> </w:t>
      </w:r>
      <w:r>
        <w:rPr>
          <w:rFonts w:hint="eastAsia"/>
        </w:rPr>
        <w:t>database</w:t>
      </w:r>
      <w:r>
        <w:t>. (</w:t>
      </w:r>
      <w:r>
        <w:rPr>
          <w:b/>
          <w:bCs/>
        </w:rPr>
        <w:t>A</w:t>
      </w:r>
      <w:r>
        <w:t xml:space="preserve">) The UALCAN dataset indicated that CENPF was upregulated in pan-cancers </w:t>
      </w:r>
      <w:r>
        <w:rPr>
          <w:rFonts w:hint="eastAsia"/>
        </w:rPr>
        <w:t>c</w:t>
      </w:r>
      <w:r>
        <w:t xml:space="preserve">ompared with corresponding normal tissues, except </w:t>
      </w: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t</w:t>
      </w:r>
      <w:r>
        <w:t>hymoma.</w:t>
      </w:r>
      <w:r>
        <w:rPr>
          <w:color w:val="C00000"/>
        </w:rPr>
        <w:t xml:space="preserve"> </w:t>
      </w:r>
      <w:r>
        <w:rPr>
          <w:color w:val="auto"/>
        </w:rPr>
        <w:t>The red colored rectangular box highlighted the expression of CENPF in HCC and normal samples.</w:t>
      </w:r>
      <w:r>
        <w:t xml:space="preserve"> (</w:t>
      </w:r>
      <w:r>
        <w:rPr>
          <w:b/>
          <w:bCs/>
        </w:rPr>
        <w:t>B</w:t>
      </w:r>
      <w:r>
        <w:t>)</w:t>
      </w:r>
      <w:r>
        <w:rPr>
          <w:b/>
          <w:bCs/>
        </w:rPr>
        <w:t xml:space="preserve"> </w:t>
      </w:r>
      <w:r>
        <w:t xml:space="preserve">CENPF expression in HCC and normal </w:t>
      </w:r>
      <w:r>
        <w:rPr>
          <w:rFonts w:hint="eastAsia"/>
        </w:rPr>
        <w:t>liver</w:t>
      </w:r>
      <w:r>
        <w:t xml:space="preserve"> tissues were obtained from GEPIA database.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b/>
          <w:bCs/>
        </w:rPr>
        <w:t xml:space="preserve">C </w:t>
      </w:r>
      <w:r>
        <w:rPr>
          <w:rFonts w:cs="Times New Roman"/>
        </w:rPr>
        <w:t>and</w:t>
      </w:r>
      <w:r>
        <w:rPr>
          <w:rFonts w:cs="Times New Roman"/>
          <w:b/>
          <w:bCs/>
        </w:rPr>
        <w:t xml:space="preserve"> D</w:t>
      </w:r>
      <w:r>
        <w:rPr>
          <w:rFonts w:cs="Times New Roman"/>
        </w:rPr>
        <w:t xml:space="preserve">) </w:t>
      </w:r>
      <w:r>
        <w:t>Survival analysis of CENPF in HCC patients based on two online databases, Kaplan</w:t>
      </w:r>
      <w:r>
        <w:rPr>
          <w:rFonts w:cs="Times New Roman"/>
        </w:rPr>
        <w:t>–</w:t>
      </w:r>
      <w:r>
        <w:t>Meier Plotter and GEPIA</w:t>
      </w:r>
      <w:r>
        <w:rPr>
          <w:color w:val="auto"/>
        </w:rPr>
        <w:t>. (*p &lt; 0.05).</w:t>
      </w:r>
    </w:p>
    <w:p w14:paraId="101AECDB">
      <w:pPr>
        <w:spacing w:line="360" w:lineRule="auto"/>
        <w:rPr>
          <w:rFonts w:cs="Times New Roman"/>
          <w:b/>
          <w:bCs/>
          <w:szCs w:val="20"/>
        </w:rPr>
      </w:pPr>
    </w:p>
    <w:p w14:paraId="73FD57CF">
      <w:pPr>
        <w:spacing w:line="360" w:lineRule="auto"/>
        <w:rPr>
          <w:rFonts w:cs="Times New Roman"/>
          <w:b/>
          <w:bCs/>
          <w:szCs w:val="20"/>
        </w:rPr>
      </w:pPr>
    </w:p>
    <w:p w14:paraId="591EA0A0">
      <w:pPr>
        <w:spacing w:line="360" w:lineRule="auto"/>
        <w:rPr>
          <w:rFonts w:cs="Times New Roman"/>
          <w:b/>
          <w:bCs/>
          <w:szCs w:val="20"/>
        </w:rPr>
      </w:pPr>
    </w:p>
    <w:p w14:paraId="070500DB">
      <w:pPr>
        <w:spacing w:line="360" w:lineRule="auto"/>
        <w:rPr>
          <w:rFonts w:cs="Times New Roman"/>
          <w:b/>
          <w:bCs/>
          <w:szCs w:val="20"/>
        </w:rPr>
      </w:pPr>
    </w:p>
    <w:p w14:paraId="001B12C5">
      <w:pPr>
        <w:spacing w:line="360" w:lineRule="auto"/>
        <w:rPr>
          <w:rFonts w:cs="Times New Roman"/>
          <w:b/>
          <w:bCs/>
          <w:szCs w:val="20"/>
        </w:rPr>
      </w:pPr>
    </w:p>
    <w:p w14:paraId="3C695A0D">
      <w:pPr>
        <w:spacing w:line="360" w:lineRule="auto"/>
        <w:rPr>
          <w:rFonts w:cs="Times New Roman"/>
          <w:b/>
          <w:bCs/>
          <w:szCs w:val="20"/>
        </w:rPr>
      </w:pPr>
    </w:p>
    <w:p w14:paraId="7CE5F823">
      <w:pPr>
        <w:spacing w:line="360" w:lineRule="auto"/>
        <w:rPr>
          <w:rFonts w:cs="Times New Roman"/>
          <w:b/>
          <w:bCs/>
          <w:szCs w:val="20"/>
        </w:rPr>
      </w:pPr>
    </w:p>
    <w:p w14:paraId="072AC16E">
      <w:pPr>
        <w:spacing w:line="360" w:lineRule="auto"/>
        <w:rPr>
          <w:rFonts w:cs="Times New Roman"/>
          <w:b/>
          <w:bCs/>
          <w:szCs w:val="20"/>
        </w:rPr>
      </w:pPr>
    </w:p>
    <w:p w14:paraId="7C4CB900">
      <w:pPr>
        <w:spacing w:line="360" w:lineRule="auto"/>
        <w:rPr>
          <w:rFonts w:cs="Times New Roman"/>
          <w:b/>
          <w:bCs/>
          <w:szCs w:val="20"/>
        </w:rPr>
      </w:pPr>
    </w:p>
    <w:p w14:paraId="1E5857D1">
      <w:pPr>
        <w:spacing w:line="360" w:lineRule="auto"/>
        <w:rPr>
          <w:rFonts w:cs="Times New Roman"/>
          <w:b/>
          <w:bCs/>
          <w:szCs w:val="20"/>
        </w:rPr>
      </w:pPr>
    </w:p>
    <w:p w14:paraId="7C014C73">
      <w:pPr>
        <w:spacing w:line="360" w:lineRule="auto"/>
        <w:rPr>
          <w:rFonts w:cs="Times New Roman"/>
          <w:b/>
          <w:bCs/>
          <w:szCs w:val="20"/>
        </w:rPr>
      </w:pPr>
    </w:p>
    <w:p w14:paraId="799A5822">
      <w:pPr>
        <w:spacing w:line="360" w:lineRule="auto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drawing>
          <wp:inline distT="0" distB="0" distL="0" distR="0">
            <wp:extent cx="5270500" cy="256286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24C75">
      <w:pPr>
        <w:spacing w:line="360" w:lineRule="auto"/>
        <w:rPr>
          <w:rFonts w:cs="Times New Roman"/>
          <w:b/>
          <w:bCs/>
          <w:color w:val="auto"/>
          <w:szCs w:val="20"/>
        </w:rPr>
      </w:pPr>
      <w:r>
        <w:rPr>
          <w:rFonts w:cs="Times New Roman"/>
          <w:b/>
          <w:bCs/>
          <w:color w:val="auto"/>
          <w:szCs w:val="20"/>
        </w:rPr>
        <w:t>F</w:t>
      </w:r>
      <w:r>
        <w:rPr>
          <w:rFonts w:hint="eastAsia" w:cs="Times New Roman"/>
          <w:b/>
          <w:bCs/>
          <w:color w:val="auto"/>
          <w:szCs w:val="20"/>
        </w:rPr>
        <w:t>igure</w:t>
      </w:r>
      <w:r>
        <w:rPr>
          <w:rFonts w:cs="Times New Roman"/>
          <w:b/>
          <w:bCs/>
          <w:color w:val="auto"/>
          <w:szCs w:val="20"/>
        </w:rPr>
        <w:t xml:space="preserve"> S2 </w:t>
      </w:r>
      <w:r>
        <w:rPr>
          <w:rFonts w:cs="Times New Roman"/>
          <w:color w:val="auto"/>
          <w:szCs w:val="20"/>
        </w:rPr>
        <w:t xml:space="preserve">The </w:t>
      </w:r>
      <w:r>
        <w:rPr>
          <w:rFonts w:hint="eastAsia" w:cs="Times New Roman"/>
          <w:color w:val="auto"/>
          <w:szCs w:val="20"/>
        </w:rPr>
        <w:t>performance</w:t>
      </w:r>
      <w:r>
        <w:rPr>
          <w:rFonts w:cs="Times New Roman"/>
          <w:color w:val="auto"/>
          <w:szCs w:val="20"/>
        </w:rPr>
        <w:t xml:space="preserve"> of the</w:t>
      </w:r>
      <w:r>
        <w:rPr>
          <w:color w:val="auto"/>
        </w:rPr>
        <w:t xml:space="preserve"> CENPF-positive rate </w:t>
      </w:r>
      <w:r>
        <w:rPr>
          <w:rFonts w:hint="eastAsia"/>
          <w:color w:val="auto"/>
        </w:rPr>
        <w:t>measured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by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i</w:t>
      </w:r>
      <w:r>
        <w:rPr>
          <w:color w:val="auto"/>
        </w:rPr>
        <w:t xml:space="preserve">mmunohistochemistry </w:t>
      </w:r>
      <w:r>
        <w:rPr>
          <w:rFonts w:hint="eastAsia"/>
          <w:color w:val="auto"/>
        </w:rPr>
        <w:t>analysis</w:t>
      </w:r>
      <w:r>
        <w:rPr>
          <w:color w:val="auto"/>
        </w:rPr>
        <w:t xml:space="preserve"> for differentiating poorly differentiated HCC from well-to-moderately differentiated cases. (</w:t>
      </w:r>
      <w:r>
        <w:rPr>
          <w:b/>
          <w:bCs/>
          <w:color w:val="auto"/>
        </w:rPr>
        <w:t>A</w:t>
      </w:r>
      <w:r>
        <w:rPr>
          <w:color w:val="auto"/>
        </w:rPr>
        <w:t>)</w:t>
      </w:r>
      <w:r>
        <w:rPr>
          <w:rFonts w:cs="Times New Roman"/>
          <w:color w:val="auto"/>
          <w:szCs w:val="20"/>
        </w:rPr>
        <w:t xml:space="preserve"> Receiver operating characteristic curve analysis and the corresponding information (</w:t>
      </w:r>
      <w:r>
        <w:rPr>
          <w:rFonts w:cs="Times New Roman"/>
          <w:b/>
          <w:bCs/>
          <w:color w:val="auto"/>
          <w:szCs w:val="20"/>
        </w:rPr>
        <w:t>B</w:t>
      </w:r>
      <w:r>
        <w:rPr>
          <w:rFonts w:cs="Times New Roman"/>
          <w:color w:val="auto"/>
          <w:szCs w:val="20"/>
        </w:rPr>
        <w:t>).</w:t>
      </w:r>
    </w:p>
    <w:p w14:paraId="2984174B">
      <w:pPr>
        <w:spacing w:line="360" w:lineRule="auto"/>
        <w:rPr>
          <w:rFonts w:cs="Times New Roman"/>
          <w:b/>
          <w:bCs/>
          <w:color w:val="auto"/>
          <w:szCs w:val="20"/>
        </w:rPr>
      </w:pPr>
    </w:p>
    <w:p w14:paraId="4D3F95B2">
      <w:pPr>
        <w:spacing w:line="360" w:lineRule="auto"/>
        <w:rPr>
          <w:rFonts w:cs="Times New Roman"/>
          <w:b/>
          <w:bCs/>
          <w:szCs w:val="20"/>
        </w:rPr>
      </w:pPr>
    </w:p>
    <w:p w14:paraId="1A1BC83A">
      <w:pPr>
        <w:spacing w:line="360" w:lineRule="auto"/>
        <w:rPr>
          <w:rFonts w:cs="Times New Roman"/>
          <w:b/>
          <w:bCs/>
          <w:szCs w:val="20"/>
        </w:rPr>
      </w:pPr>
    </w:p>
    <w:p w14:paraId="11FF22CE">
      <w:pPr>
        <w:spacing w:line="360" w:lineRule="auto"/>
        <w:rPr>
          <w:rFonts w:cs="Times New Roman"/>
          <w:b/>
          <w:bCs/>
          <w:szCs w:val="20"/>
        </w:rPr>
      </w:pPr>
    </w:p>
    <w:p w14:paraId="5065C3CE">
      <w:pPr>
        <w:spacing w:line="360" w:lineRule="auto"/>
        <w:rPr>
          <w:rFonts w:cs="Times New Roman"/>
          <w:b/>
          <w:bCs/>
          <w:szCs w:val="20"/>
        </w:rPr>
      </w:pPr>
    </w:p>
    <w:p w14:paraId="38F8A632">
      <w:pPr>
        <w:spacing w:line="360" w:lineRule="auto"/>
        <w:rPr>
          <w:rFonts w:cs="Times New Roman"/>
          <w:b/>
          <w:bCs/>
          <w:szCs w:val="20"/>
        </w:rPr>
      </w:pPr>
    </w:p>
    <w:p w14:paraId="1E4F05C7">
      <w:pPr>
        <w:spacing w:line="360" w:lineRule="auto"/>
        <w:rPr>
          <w:rFonts w:cs="Times New Roman"/>
          <w:b/>
          <w:bCs/>
          <w:szCs w:val="20"/>
        </w:rPr>
      </w:pPr>
    </w:p>
    <w:p w14:paraId="2B88E207">
      <w:pPr>
        <w:spacing w:line="360" w:lineRule="auto"/>
        <w:rPr>
          <w:rFonts w:cs="Times New Roman"/>
          <w:b/>
          <w:bCs/>
          <w:szCs w:val="20"/>
        </w:rPr>
      </w:pPr>
    </w:p>
    <w:p w14:paraId="5774E5BE">
      <w:pPr>
        <w:spacing w:line="360" w:lineRule="auto"/>
        <w:rPr>
          <w:rFonts w:cs="Times New Roman"/>
          <w:b/>
          <w:bCs/>
          <w:szCs w:val="20"/>
        </w:rPr>
      </w:pPr>
    </w:p>
    <w:p w14:paraId="6FD37455">
      <w:pPr>
        <w:spacing w:line="360" w:lineRule="auto"/>
        <w:rPr>
          <w:rFonts w:cs="Times New Roman"/>
          <w:b/>
          <w:bCs/>
          <w:szCs w:val="20"/>
        </w:rPr>
      </w:pPr>
    </w:p>
    <w:p w14:paraId="5AACD7B8">
      <w:pPr>
        <w:spacing w:line="360" w:lineRule="auto"/>
        <w:rPr>
          <w:rFonts w:cs="Times New Roman"/>
          <w:b/>
          <w:bCs/>
          <w:szCs w:val="20"/>
        </w:rPr>
      </w:pPr>
    </w:p>
    <w:p w14:paraId="65FE8628">
      <w:pPr>
        <w:spacing w:line="360" w:lineRule="auto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drawing>
          <wp:inline distT="0" distB="0" distL="0" distR="0">
            <wp:extent cx="5270500" cy="3388360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9A00">
      <w:pPr>
        <w:spacing w:line="360" w:lineRule="auto"/>
        <w:rPr>
          <w:rFonts w:cs="Times New Roman"/>
          <w:b/>
          <w:bCs/>
          <w:szCs w:val="20"/>
        </w:rPr>
      </w:pPr>
    </w:p>
    <w:p w14:paraId="6FF88FD1">
      <w:pPr>
        <w:spacing w:line="360" w:lineRule="auto"/>
        <w:rPr>
          <w:color w:val="auto"/>
        </w:rPr>
      </w:pPr>
      <w:r>
        <w:rPr>
          <w:b/>
          <w:bCs/>
        </w:rPr>
        <w:t xml:space="preserve">Figure S3 </w:t>
      </w:r>
      <w:r>
        <w:rPr>
          <w:i/>
          <w:iCs/>
        </w:rPr>
        <w:t>CENPF</w:t>
      </w:r>
      <w:r>
        <w:t xml:space="preserve"> is frequently amplified in a variety of cancer</w:t>
      </w:r>
      <w:r>
        <w:rPr>
          <w:rFonts w:hint="eastAsia"/>
        </w:rPr>
        <w:t>s</w:t>
      </w:r>
      <w:r>
        <w:t xml:space="preserve"> </w:t>
      </w:r>
      <w:r>
        <w:rPr>
          <w:rFonts w:hint="eastAsia"/>
        </w:rPr>
        <w:t>based</w:t>
      </w:r>
      <w:r>
        <w:t xml:space="preserve"> </w:t>
      </w:r>
      <w:r>
        <w:rPr>
          <w:rFonts w:hint="eastAsia"/>
        </w:rPr>
        <w:t>on</w:t>
      </w:r>
      <w:r>
        <w:t xml:space="preserve"> TCGA dataset</w:t>
      </w:r>
      <w:r>
        <w:rPr>
          <w:rFonts w:hint="eastAsia"/>
        </w:rPr>
        <w:t xml:space="preserve"> analyzed</w:t>
      </w:r>
      <w:r>
        <w:t xml:space="preserve"> </w:t>
      </w:r>
      <w:r>
        <w:rPr>
          <w:rFonts w:hint="eastAsia"/>
        </w:rPr>
        <w:t>by</w:t>
      </w:r>
      <w:r>
        <w:t xml:space="preserve"> </w:t>
      </w:r>
      <w:r>
        <w:rPr>
          <w:rFonts w:hint="eastAsia"/>
        </w:rPr>
        <w:t xml:space="preserve">the </w:t>
      </w:r>
      <w:r>
        <w:t xml:space="preserve">cBioPortal </w:t>
      </w:r>
      <w:r>
        <w:rPr>
          <w:rFonts w:hint="eastAsia"/>
        </w:rPr>
        <w:t>web</w:t>
      </w:r>
      <w:r>
        <w:t xml:space="preserve"> </w:t>
      </w:r>
      <w:r>
        <w:rPr>
          <w:rFonts w:hint="eastAsia"/>
        </w:rPr>
        <w:t>tool</w:t>
      </w:r>
      <w:r>
        <w:t>.</w:t>
      </w:r>
      <w:bookmarkStart w:id="0" w:name="_GoBack"/>
      <w:r>
        <w:rPr>
          <w:color w:val="auto"/>
        </w:rPr>
        <w:t xml:space="preserve"> (</w:t>
      </w:r>
      <w:r>
        <w:rPr>
          <w:b/>
          <w:bCs/>
          <w:color w:val="auto"/>
        </w:rPr>
        <w:t>A</w:t>
      </w:r>
      <w:r>
        <w:rPr>
          <w:color w:val="auto"/>
        </w:rPr>
        <w:t xml:space="preserve">) CENPF gene alteration frequency in pan-cancers. The red colored rectangular box and red colored line bar indicated the </w:t>
      </w:r>
      <w:r>
        <w:rPr>
          <w:i/>
          <w:iCs/>
          <w:color w:val="auto"/>
        </w:rPr>
        <w:t>CENPF</w:t>
      </w:r>
      <w:r>
        <w:rPr>
          <w:color w:val="auto"/>
        </w:rPr>
        <w:t xml:space="preserve"> gene alteration frequency in HCC. (</w:t>
      </w:r>
      <w:r>
        <w:rPr>
          <w:b/>
          <w:bCs/>
          <w:color w:val="auto"/>
        </w:rPr>
        <w:t>B</w:t>
      </w:r>
      <w:r>
        <w:rPr>
          <w:color w:val="auto"/>
        </w:rPr>
        <w:t xml:space="preserve">) The TCGA dataset indicated that the most frequent alteration of </w:t>
      </w:r>
      <w:r>
        <w:rPr>
          <w:i/>
          <w:iCs/>
          <w:color w:val="auto"/>
        </w:rPr>
        <w:t>CENPF</w:t>
      </w:r>
      <w:r>
        <w:rPr>
          <w:color w:val="auto"/>
        </w:rPr>
        <w:t xml:space="preserve"> was amplification rather than mutation in HCC.</w:t>
      </w:r>
    </w:p>
    <w:p w14:paraId="2DB22895">
      <w:pPr>
        <w:spacing w:line="360" w:lineRule="auto"/>
        <w:rPr>
          <w:rFonts w:cs="Times New Roman"/>
          <w:b/>
          <w:bCs/>
          <w:color w:val="auto"/>
          <w:szCs w:val="20"/>
        </w:rPr>
      </w:pPr>
    </w:p>
    <w:bookmarkEnd w:id="0"/>
    <w:p w14:paraId="26CBA616">
      <w:pPr>
        <w:spacing w:line="360" w:lineRule="auto"/>
        <w:rPr>
          <w:rFonts w:cs="Times New Roman"/>
          <w:b/>
          <w:bCs/>
          <w:szCs w:val="20"/>
        </w:rPr>
      </w:pPr>
    </w:p>
    <w:p w14:paraId="6DAF582E">
      <w:pPr>
        <w:spacing w:line="360" w:lineRule="auto"/>
        <w:rPr>
          <w:b/>
          <w:bCs/>
          <w:szCs w:val="20"/>
        </w:rPr>
      </w:pPr>
    </w:p>
    <w:p w14:paraId="7AD6D3C5">
      <w:pPr>
        <w:spacing w:line="360" w:lineRule="auto"/>
        <w:rPr>
          <w:b/>
          <w:bCs/>
          <w:szCs w:val="20"/>
        </w:rPr>
      </w:pPr>
    </w:p>
    <w:p w14:paraId="1E871E89">
      <w:pPr>
        <w:spacing w:line="360" w:lineRule="auto"/>
        <w:rPr>
          <w:b/>
          <w:bCs/>
          <w:szCs w:val="20"/>
        </w:rPr>
      </w:pPr>
    </w:p>
    <w:p w14:paraId="40AB2BE3">
      <w:pPr>
        <w:spacing w:line="360" w:lineRule="auto"/>
        <w:rPr>
          <w:b/>
          <w:bCs/>
        </w:rPr>
      </w:pPr>
    </w:p>
    <w:p w14:paraId="01BF6D33">
      <w:pPr>
        <w:spacing w:line="360" w:lineRule="auto"/>
      </w:pPr>
    </w:p>
    <w:p w14:paraId="27CCE6D1">
      <w:pPr>
        <w:spacing w:line="360" w:lineRule="auto"/>
      </w:pPr>
    </w:p>
    <w:p w14:paraId="7ABF969F">
      <w:pPr>
        <w:spacing w:line="360" w:lineRule="auto"/>
      </w:pPr>
    </w:p>
    <w:p w14:paraId="385E9431">
      <w:pPr>
        <w:spacing w:line="360" w:lineRule="auto"/>
      </w:pPr>
    </w:p>
    <w:p w14:paraId="345387FB">
      <w:pPr>
        <w:spacing w:line="360" w:lineRule="auto"/>
      </w:pPr>
    </w:p>
    <w:p w14:paraId="77EDA038">
      <w:pPr>
        <w:spacing w:line="360" w:lineRule="auto"/>
      </w:pPr>
    </w:p>
    <w:p w14:paraId="722888F7">
      <w:pPr>
        <w:spacing w:line="360" w:lineRule="auto"/>
      </w:pPr>
      <w:r>
        <w:drawing>
          <wp:inline distT="0" distB="0" distL="0" distR="0">
            <wp:extent cx="5270500" cy="116522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B590E">
      <w:pPr>
        <w:spacing w:line="360" w:lineRule="auto"/>
      </w:pPr>
    </w:p>
    <w:p w14:paraId="6C342229">
      <w:pPr>
        <w:spacing w:line="360" w:lineRule="auto"/>
      </w:pPr>
      <w:r>
        <w:rPr>
          <w:b/>
          <w:bCs/>
        </w:rPr>
        <w:t xml:space="preserve">Figure S4 </w:t>
      </w:r>
      <w:r>
        <w:t xml:space="preserve">Cell </w:t>
      </w:r>
      <w:r>
        <w:rPr>
          <w:rFonts w:hint="eastAsia"/>
        </w:rPr>
        <w:t>migration</w:t>
      </w:r>
      <w:r>
        <w:t xml:space="preserve"> and </w:t>
      </w:r>
      <w:r>
        <w:rPr>
          <w:rFonts w:hint="eastAsia"/>
        </w:rPr>
        <w:t>invasion</w:t>
      </w:r>
      <w:r>
        <w:t xml:space="preserve"> analysis of CENPF-</w:t>
      </w:r>
      <w:r>
        <w:rPr>
          <w:rFonts w:hint="eastAsia"/>
        </w:rPr>
        <w:t>downregulated</w:t>
      </w:r>
      <w:r>
        <w:t xml:space="preserve"> HCC cell lines.</w:t>
      </w:r>
      <w:r>
        <w:rPr>
          <w:rFonts w:hint="eastAsia"/>
          <w:b/>
          <w:bCs/>
        </w:rPr>
        <w:t xml:space="preserve"> </w:t>
      </w:r>
      <w:r>
        <w:t>(</w:t>
      </w:r>
      <w:r>
        <w:rPr>
          <w:b/>
          <w:bCs/>
        </w:rPr>
        <w:t xml:space="preserve">A </w:t>
      </w:r>
      <w:r>
        <w:t xml:space="preserve">and </w:t>
      </w:r>
      <w:r>
        <w:rPr>
          <w:b/>
          <w:bCs/>
        </w:rPr>
        <w:t>B</w:t>
      </w:r>
      <w:r>
        <w:t>) T</w:t>
      </w:r>
      <w:r>
        <w:rPr>
          <w:rFonts w:hint="eastAsia"/>
        </w:rPr>
        <w:t>he</w:t>
      </w:r>
      <w:r>
        <w:t xml:space="preserve"> </w:t>
      </w:r>
      <w:r>
        <w:rPr>
          <w:rFonts w:hint="eastAsia"/>
        </w:rPr>
        <w:t>cell</w:t>
      </w:r>
      <w:r>
        <w:t xml:space="preserve"> </w:t>
      </w:r>
      <w:r>
        <w:rPr>
          <w:rFonts w:hint="eastAsia"/>
        </w:rPr>
        <w:t>migration</w:t>
      </w:r>
      <w:r>
        <w:t xml:space="preserve"> </w:t>
      </w:r>
      <w:r>
        <w:rPr>
          <w:rFonts w:hint="eastAsia"/>
        </w:rPr>
        <w:t>and</w:t>
      </w:r>
      <w:r>
        <w:t xml:space="preserve"> </w:t>
      </w:r>
      <w:r>
        <w:rPr>
          <w:rFonts w:hint="eastAsia"/>
        </w:rPr>
        <w:t>invasion</w:t>
      </w:r>
      <w:r>
        <w:t xml:space="preserve"> of </w:t>
      </w:r>
      <w:r>
        <w:rPr>
          <w:i/>
          <w:iCs/>
        </w:rPr>
        <w:t>CENPF</w:t>
      </w:r>
      <w:r>
        <w:t>-silenced Huh-7 an</w:t>
      </w:r>
      <w:r>
        <w:rPr>
          <w:rFonts w:hint="eastAsia"/>
        </w:rPr>
        <w:t>d</w:t>
      </w:r>
      <w:r>
        <w:t xml:space="preserve"> H</w:t>
      </w:r>
      <w:r>
        <w:rPr>
          <w:rFonts w:hint="eastAsia"/>
        </w:rPr>
        <w:t>ep</w:t>
      </w:r>
      <w:r>
        <w:t>3B cells were analyzed by wound healing and Transwell assays, respectively.</w:t>
      </w:r>
    </w:p>
    <w:p w14:paraId="270F61F4">
      <w:pPr>
        <w:spacing w:line="360" w:lineRule="auto"/>
      </w:pPr>
    </w:p>
    <w:p w14:paraId="142D8637">
      <w:pPr>
        <w:spacing w:line="360" w:lineRule="auto"/>
      </w:pPr>
    </w:p>
    <w:p w14:paraId="3182A4C7">
      <w:pPr>
        <w:spacing w:line="360" w:lineRule="auto"/>
      </w:pPr>
    </w:p>
    <w:p w14:paraId="7BF833FE">
      <w:pPr>
        <w:spacing w:line="360" w:lineRule="auto"/>
      </w:pPr>
    </w:p>
    <w:p w14:paraId="7BEF7EF9">
      <w:pPr>
        <w:spacing w:line="360" w:lineRule="auto"/>
      </w:pPr>
    </w:p>
    <w:p w14:paraId="2DE6FF48">
      <w:pPr>
        <w:spacing w:line="360" w:lineRule="auto"/>
      </w:pPr>
    </w:p>
    <w:p w14:paraId="11DC4B7E">
      <w:pPr>
        <w:spacing w:line="360" w:lineRule="auto"/>
      </w:pPr>
    </w:p>
    <w:p w14:paraId="4B48EE8C">
      <w:pPr>
        <w:spacing w:line="360" w:lineRule="auto"/>
      </w:pPr>
    </w:p>
    <w:p w14:paraId="47F45F87">
      <w:pPr>
        <w:spacing w:line="360" w:lineRule="auto"/>
      </w:pPr>
    </w:p>
    <w:p w14:paraId="0501A2C0">
      <w:pPr>
        <w:spacing w:line="360" w:lineRule="auto"/>
      </w:pPr>
    </w:p>
    <w:p w14:paraId="2ACD5806">
      <w:pPr>
        <w:spacing w:line="360" w:lineRule="auto"/>
      </w:pPr>
    </w:p>
    <w:p w14:paraId="22B6A178">
      <w:pPr>
        <w:spacing w:line="360" w:lineRule="auto"/>
      </w:pPr>
    </w:p>
    <w:p w14:paraId="535D306A">
      <w:pPr>
        <w:spacing w:line="360" w:lineRule="auto"/>
      </w:pPr>
    </w:p>
    <w:p w14:paraId="391738B6">
      <w:pPr>
        <w:spacing w:line="360" w:lineRule="auto"/>
      </w:pPr>
    </w:p>
    <w:p w14:paraId="4AE76EAA">
      <w:pPr>
        <w:spacing w:line="360" w:lineRule="auto"/>
      </w:pPr>
    </w:p>
    <w:p w14:paraId="2B8D53B7">
      <w:pPr>
        <w:spacing w:line="360" w:lineRule="auto"/>
      </w:pPr>
    </w:p>
    <w:p w14:paraId="67D152CB">
      <w:pPr>
        <w:spacing w:line="360" w:lineRule="auto"/>
        <w:jc w:val="center"/>
      </w:pPr>
      <w:r>
        <w:drawing>
          <wp:inline distT="0" distB="0" distL="0" distR="0">
            <wp:extent cx="3022600" cy="1905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223E">
      <w:pPr>
        <w:spacing w:line="360" w:lineRule="auto"/>
        <w:jc w:val="center"/>
      </w:pPr>
    </w:p>
    <w:p w14:paraId="23C87EF7">
      <w:pPr>
        <w:spacing w:line="360" w:lineRule="auto"/>
      </w:pPr>
      <w:r>
        <w:rPr>
          <w:b/>
          <w:bCs/>
        </w:rPr>
        <w:t xml:space="preserve">Figure S5 </w:t>
      </w:r>
      <w:r>
        <w:t xml:space="preserve">Significantly enriched hallmark collections analyzed by GSEA based on the RNA-seq </w:t>
      </w:r>
      <w:r>
        <w:rPr>
          <w:rFonts w:hint="eastAsia"/>
        </w:rPr>
        <w:t>dat</w:t>
      </w:r>
      <w:r>
        <w:t>a of Huh-7</w:t>
      </w:r>
      <w:r>
        <w:rPr>
          <w:rFonts w:hint="eastAsia"/>
        </w:rPr>
        <w:t xml:space="preserve"> </w:t>
      </w:r>
      <w:r>
        <w:t>cell models that continuously overexpress CENPF.</w:t>
      </w:r>
    </w:p>
    <w:p w14:paraId="5DBB866C">
      <w:pPr>
        <w:spacing w:line="360" w:lineRule="auto"/>
      </w:pPr>
    </w:p>
    <w:p w14:paraId="7E20BC04">
      <w:pPr>
        <w:spacing w:line="360" w:lineRule="auto"/>
      </w:pPr>
    </w:p>
    <w:p w14:paraId="48D9DD0A">
      <w:pPr>
        <w:spacing w:line="360" w:lineRule="auto"/>
      </w:pPr>
    </w:p>
    <w:p w14:paraId="69019E93">
      <w:pPr>
        <w:spacing w:line="360" w:lineRule="auto"/>
      </w:pPr>
    </w:p>
    <w:p w14:paraId="7E2D545A">
      <w:pPr>
        <w:spacing w:line="360" w:lineRule="auto"/>
      </w:pPr>
    </w:p>
    <w:p w14:paraId="2C09F091">
      <w:pPr>
        <w:spacing w:line="360" w:lineRule="auto"/>
      </w:pPr>
    </w:p>
    <w:p w14:paraId="145EA57F">
      <w:pPr>
        <w:spacing w:line="360" w:lineRule="auto"/>
      </w:pPr>
    </w:p>
    <w:p w14:paraId="0DFFC32B">
      <w:pPr>
        <w:spacing w:line="360" w:lineRule="auto"/>
      </w:pPr>
    </w:p>
    <w:p w14:paraId="27EF0DC8">
      <w:pPr>
        <w:spacing w:line="360" w:lineRule="auto"/>
      </w:pPr>
    </w:p>
    <w:p w14:paraId="18F07E3C">
      <w:pPr>
        <w:spacing w:line="360" w:lineRule="auto"/>
      </w:pPr>
    </w:p>
    <w:p w14:paraId="5D278FB3">
      <w:pPr>
        <w:spacing w:line="360" w:lineRule="auto"/>
      </w:pPr>
    </w:p>
    <w:p w14:paraId="51C09FF1">
      <w:pPr>
        <w:spacing w:line="360" w:lineRule="auto"/>
      </w:pPr>
    </w:p>
    <w:p w14:paraId="65C4B930">
      <w:pPr>
        <w:spacing w:line="360" w:lineRule="auto"/>
      </w:pPr>
    </w:p>
    <w:p w14:paraId="47016212">
      <w:pPr>
        <w:spacing w:line="360" w:lineRule="auto"/>
      </w:pPr>
    </w:p>
    <w:p w14:paraId="1B1C1B24">
      <w:pPr>
        <w:spacing w:line="360" w:lineRule="auto"/>
      </w:pPr>
    </w:p>
    <w:p w14:paraId="2049FC50">
      <w:pPr>
        <w:spacing w:line="360" w:lineRule="auto"/>
      </w:pPr>
    </w:p>
    <w:p w14:paraId="5161406F">
      <w:pPr>
        <w:spacing w:line="360" w:lineRule="auto"/>
      </w:pPr>
    </w:p>
    <w:p w14:paraId="1AF1C515">
      <w:pPr>
        <w:spacing w:line="360" w:lineRule="auto"/>
      </w:pPr>
    </w:p>
    <w:p w14:paraId="4822798A">
      <w:pPr>
        <w:spacing w:line="360" w:lineRule="auto"/>
      </w:pPr>
    </w:p>
    <w:p w14:paraId="6D9D84D6">
      <w:pPr>
        <w:spacing w:line="360" w:lineRule="auto"/>
      </w:pPr>
    </w:p>
    <w:p w14:paraId="4EFE008D">
      <w:pPr>
        <w:spacing w:line="360" w:lineRule="auto"/>
        <w:rPr>
          <w:rFonts w:cs="Times New Roman"/>
        </w:rPr>
      </w:pPr>
      <w:r>
        <w:rPr>
          <w:b/>
          <w:bCs/>
        </w:rPr>
        <w:t xml:space="preserve">Table S1 </w:t>
      </w:r>
      <w:r>
        <w:t xml:space="preserve">Demographic and clinicopathological parameters of HCC patients </w:t>
      </w:r>
      <w:r>
        <w:rPr>
          <w:rFonts w:cs="Times New Roman"/>
        </w:rPr>
        <w:t>enrolled in the study</w:t>
      </w:r>
    </w:p>
    <w:tbl>
      <w:tblPr>
        <w:tblStyle w:val="2"/>
        <w:tblpPr w:leftFromText="180" w:rightFromText="180" w:vertAnchor="text" w:horzAnchor="margin" w:tblpXSpec="center" w:tblpY="63"/>
        <w:tblW w:w="5978" w:type="dxa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2009"/>
        <w:gridCol w:w="2009"/>
      </w:tblGrid>
      <w:tr w14:paraId="5F6B506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167EFFA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Cs w:val="20"/>
              </w:rPr>
              <w:t>﻿</w:t>
            </w:r>
            <w:r>
              <w:rPr>
                <w:rFonts w:eastAsia="等线" w:cs="Times New Roman"/>
                <w:color w:val="000000"/>
                <w:kern w:val="0"/>
                <w:szCs w:val="20"/>
              </w:rPr>
              <w:t>Clinical parameter</w:t>
            </w:r>
          </w:p>
        </w:tc>
        <w:tc>
          <w:tcPr>
            <w:tcW w:w="200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B6DF9A1">
            <w:pPr>
              <w:spacing w:line="360" w:lineRule="auto"/>
              <w:jc w:val="center"/>
              <w:rPr>
                <w:rFonts w:eastAsia="等线" w:cs="Times New Roman"/>
                <w:kern w:val="0"/>
                <w:sz w:val="21"/>
                <w:szCs w:val="22"/>
              </w:rPr>
            </w:pPr>
            <w:r>
              <w:rPr>
                <w:rFonts w:hint="eastAsia" w:eastAsia="等线" w:cs="Times New Roman"/>
                <w:kern w:val="0"/>
                <w:szCs w:val="20"/>
              </w:rPr>
              <w:t>F</w:t>
            </w:r>
            <w:r>
              <w:rPr>
                <w:rFonts w:eastAsia="等线" w:cs="Times New Roman"/>
                <w:kern w:val="0"/>
                <w:szCs w:val="20"/>
              </w:rPr>
              <w:t>FPE tissues</w:t>
            </w:r>
            <w:r>
              <w:rPr>
                <w:rFonts w:hint="eastAsia" w:eastAsia="等线" w:cs="Times New Roman"/>
                <w:kern w:val="0"/>
                <w:szCs w:val="20"/>
              </w:rPr>
              <w:t xml:space="preserve"> (%)</w:t>
            </w:r>
          </w:p>
        </w:tc>
        <w:tc>
          <w:tcPr>
            <w:tcW w:w="2009" w:type="dxa"/>
            <w:tcBorders>
              <w:bottom w:val="single" w:color="auto" w:sz="12" w:space="0"/>
            </w:tcBorders>
          </w:tcPr>
          <w:p w14:paraId="150E449F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hint="eastAsia" w:eastAsia="等线" w:cs="Times New Roman"/>
                <w:kern w:val="0"/>
                <w:szCs w:val="20"/>
              </w:rPr>
              <w:t>F</w:t>
            </w:r>
            <w:r>
              <w:rPr>
                <w:rFonts w:eastAsia="等线" w:cs="Times New Roman"/>
                <w:kern w:val="0"/>
                <w:szCs w:val="20"/>
              </w:rPr>
              <w:t>rozen tissues</w:t>
            </w:r>
            <w:r>
              <w:rPr>
                <w:rFonts w:hint="eastAsia" w:eastAsia="等线" w:cs="Times New Roman"/>
                <w:kern w:val="0"/>
                <w:szCs w:val="20"/>
              </w:rPr>
              <w:t xml:space="preserve"> (%)</w:t>
            </w:r>
          </w:p>
        </w:tc>
      </w:tr>
      <w:tr w14:paraId="7176154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32F8704C">
            <w:pPr>
              <w:widowControl/>
              <w:spacing w:line="360" w:lineRule="auto"/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hint="eastAsia" w:eastAsia="等线" w:cs="Times New Roman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  <w:t>ase number</w:t>
            </w:r>
          </w:p>
        </w:tc>
        <w:tc>
          <w:tcPr>
            <w:tcW w:w="2009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7FF8F2EA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100</w:t>
            </w:r>
          </w:p>
        </w:tc>
        <w:tc>
          <w:tcPr>
            <w:tcW w:w="2009" w:type="dxa"/>
            <w:tcBorders>
              <w:top w:val="single" w:color="auto" w:sz="12" w:space="0"/>
              <w:bottom w:val="nil"/>
            </w:tcBorders>
          </w:tcPr>
          <w:p w14:paraId="0C8BFD03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hint="eastAsia" w:eastAsia="等线" w:cs="Times New Roman"/>
                <w:kern w:val="0"/>
                <w:szCs w:val="20"/>
              </w:rPr>
              <w:t>5</w:t>
            </w:r>
            <w:r>
              <w:rPr>
                <w:rFonts w:eastAsia="等线" w:cs="Times New Roman"/>
                <w:kern w:val="0"/>
                <w:szCs w:val="20"/>
              </w:rPr>
              <w:t>8</w:t>
            </w:r>
          </w:p>
        </w:tc>
      </w:tr>
      <w:tr w14:paraId="68E71EE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1A7585">
            <w:pPr>
              <w:widowControl/>
              <w:spacing w:line="360" w:lineRule="auto"/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  <w:t>Gender</w:t>
            </w:r>
          </w:p>
        </w:tc>
        <w:tc>
          <w:tcPr>
            <w:tcW w:w="20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1B4290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14:paraId="64D56095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</w:p>
        </w:tc>
      </w:tr>
      <w:tr w14:paraId="10939F9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0599578B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66C017E1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19</w:t>
            </w:r>
            <w:r>
              <w:rPr>
                <w:rFonts w:hint="eastAsia" w:eastAsia="等线" w:cs="Times New Roman"/>
                <w:kern w:val="0"/>
                <w:szCs w:val="20"/>
              </w:rPr>
              <w:t xml:space="preserve"> (19%)</w:t>
            </w:r>
          </w:p>
        </w:tc>
        <w:tc>
          <w:tcPr>
            <w:tcW w:w="2009" w:type="dxa"/>
          </w:tcPr>
          <w:p w14:paraId="72610F44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10 (</w:t>
            </w:r>
            <w:r>
              <w:rPr>
                <w:rFonts w:hint="eastAsia" w:eastAsia="等线" w:cs="Times New Roman"/>
                <w:kern w:val="0"/>
                <w:szCs w:val="20"/>
              </w:rPr>
              <w:t>1</w:t>
            </w:r>
            <w:r>
              <w:rPr>
                <w:rFonts w:eastAsia="等线" w:cs="Times New Roman"/>
                <w:kern w:val="0"/>
                <w:szCs w:val="20"/>
              </w:rPr>
              <w:t>7.24)</w:t>
            </w:r>
          </w:p>
        </w:tc>
      </w:tr>
      <w:tr w14:paraId="43AAFBE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0A5D1488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2FE9683E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81</w:t>
            </w:r>
            <w:r>
              <w:rPr>
                <w:rFonts w:hint="eastAsia" w:eastAsia="等线" w:cs="Times New Roman"/>
                <w:kern w:val="0"/>
                <w:szCs w:val="20"/>
              </w:rPr>
              <w:t xml:space="preserve"> (81%)</w:t>
            </w:r>
          </w:p>
        </w:tc>
        <w:tc>
          <w:tcPr>
            <w:tcW w:w="2009" w:type="dxa"/>
          </w:tcPr>
          <w:p w14:paraId="2850ED43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48 (</w:t>
            </w:r>
            <w:r>
              <w:rPr>
                <w:rFonts w:hint="eastAsia" w:eastAsia="等线" w:cs="Times New Roman"/>
                <w:kern w:val="0"/>
                <w:szCs w:val="20"/>
              </w:rPr>
              <w:t>8</w:t>
            </w:r>
            <w:r>
              <w:rPr>
                <w:rFonts w:eastAsia="等线" w:cs="Times New Roman"/>
                <w:kern w:val="0"/>
                <w:szCs w:val="20"/>
              </w:rPr>
              <w:t>2.76)</w:t>
            </w:r>
          </w:p>
        </w:tc>
      </w:tr>
      <w:tr w14:paraId="46DC35F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118EC196">
            <w:pPr>
              <w:widowControl/>
              <w:spacing w:line="360" w:lineRule="auto"/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  <w:t>Age(years)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2CA543DA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2009" w:type="dxa"/>
          </w:tcPr>
          <w:p w14:paraId="5B28CA0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</w:p>
        </w:tc>
      </w:tr>
      <w:tr w14:paraId="3B058BC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090FAF2F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Cs w:val="20"/>
              </w:rPr>
              <w:t>﻿</w:t>
            </w:r>
            <w:r>
              <w:rPr>
                <w:rFonts w:eastAsia="等线" w:cs="Times New Roman"/>
                <w:color w:val="000000"/>
                <w:kern w:val="0"/>
                <w:szCs w:val="20"/>
              </w:rPr>
              <w:t>&lt;50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39C05F1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18</w:t>
            </w:r>
            <w:r>
              <w:rPr>
                <w:rFonts w:hint="eastAsia" w:eastAsia="等线" w:cs="Times New Roman"/>
                <w:kern w:val="0"/>
                <w:szCs w:val="20"/>
              </w:rPr>
              <w:t xml:space="preserve"> (18%)</w:t>
            </w:r>
          </w:p>
        </w:tc>
        <w:tc>
          <w:tcPr>
            <w:tcW w:w="2009" w:type="dxa"/>
          </w:tcPr>
          <w:p w14:paraId="240DA87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12 (</w:t>
            </w:r>
            <w:r>
              <w:rPr>
                <w:rFonts w:hint="eastAsia" w:eastAsia="等线" w:cs="Times New Roman"/>
                <w:kern w:val="0"/>
                <w:szCs w:val="20"/>
              </w:rPr>
              <w:t>2</w:t>
            </w:r>
            <w:r>
              <w:rPr>
                <w:rFonts w:eastAsia="等线" w:cs="Times New Roman"/>
                <w:kern w:val="0"/>
                <w:szCs w:val="20"/>
              </w:rPr>
              <w:t>0.69)</w:t>
            </w:r>
          </w:p>
        </w:tc>
      </w:tr>
      <w:tr w14:paraId="51CA6AF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5ED0B00E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Cs w:val="20"/>
              </w:rPr>
              <w:t>﻿</w:t>
            </w:r>
            <w:r>
              <w:rPr>
                <w:rFonts w:ascii="Arial" w:hAnsi="Arial" w:eastAsia="等线" w:cs="Arial"/>
                <w:color w:val="000000"/>
                <w:kern w:val="0"/>
                <w:szCs w:val="20"/>
              </w:rPr>
              <w:t>≥</w:t>
            </w:r>
            <w:r>
              <w:rPr>
                <w:rFonts w:eastAsia="等线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06FEE39A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82</w:t>
            </w:r>
            <w:r>
              <w:rPr>
                <w:rFonts w:hint="eastAsia" w:eastAsia="等线" w:cs="Times New Roman"/>
                <w:kern w:val="0"/>
                <w:szCs w:val="20"/>
              </w:rPr>
              <w:t xml:space="preserve"> (82%)</w:t>
            </w:r>
          </w:p>
        </w:tc>
        <w:tc>
          <w:tcPr>
            <w:tcW w:w="2009" w:type="dxa"/>
          </w:tcPr>
          <w:p w14:paraId="7B6E4E9A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46 (</w:t>
            </w:r>
            <w:r>
              <w:rPr>
                <w:rFonts w:hint="eastAsia" w:eastAsia="等线" w:cs="Times New Roman"/>
                <w:kern w:val="0"/>
                <w:szCs w:val="20"/>
              </w:rPr>
              <w:t>7</w:t>
            </w:r>
            <w:r>
              <w:rPr>
                <w:rFonts w:eastAsia="等线" w:cs="Times New Roman"/>
                <w:kern w:val="0"/>
                <w:szCs w:val="20"/>
              </w:rPr>
              <w:t>9.31)</w:t>
            </w:r>
          </w:p>
        </w:tc>
      </w:tr>
      <w:tr w14:paraId="0E8C233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5D76A434">
            <w:pPr>
              <w:widowControl/>
              <w:spacing w:line="360" w:lineRule="auto"/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  <w:t>HBV infection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2B863F40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2009" w:type="dxa"/>
          </w:tcPr>
          <w:p w14:paraId="5835445A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</w:p>
        </w:tc>
      </w:tr>
      <w:tr w14:paraId="4B3ACFF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312EB0E5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Positive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67450D77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66</w:t>
            </w:r>
            <w:r>
              <w:rPr>
                <w:rFonts w:hint="eastAsia" w:eastAsia="等线" w:cs="Times New Roman"/>
                <w:kern w:val="0"/>
                <w:szCs w:val="20"/>
              </w:rPr>
              <w:t xml:space="preserve"> (66%)</w:t>
            </w:r>
          </w:p>
        </w:tc>
        <w:tc>
          <w:tcPr>
            <w:tcW w:w="2009" w:type="dxa"/>
          </w:tcPr>
          <w:p w14:paraId="5F228AFC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39 (</w:t>
            </w:r>
            <w:r>
              <w:rPr>
                <w:rFonts w:hint="eastAsia" w:eastAsia="等线" w:cs="Times New Roman"/>
                <w:kern w:val="0"/>
                <w:szCs w:val="20"/>
              </w:rPr>
              <w:t>6</w:t>
            </w:r>
            <w:r>
              <w:rPr>
                <w:rFonts w:eastAsia="等线" w:cs="Times New Roman"/>
                <w:kern w:val="0"/>
                <w:szCs w:val="20"/>
              </w:rPr>
              <w:t>7.24)</w:t>
            </w:r>
          </w:p>
        </w:tc>
      </w:tr>
      <w:tr w14:paraId="4D05501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2A484E0F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Negative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32E75271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34</w:t>
            </w:r>
            <w:r>
              <w:rPr>
                <w:rFonts w:hint="eastAsia" w:eastAsia="等线" w:cs="Times New Roman"/>
                <w:kern w:val="0"/>
                <w:szCs w:val="20"/>
              </w:rPr>
              <w:t xml:space="preserve"> (34%)</w:t>
            </w:r>
          </w:p>
        </w:tc>
        <w:tc>
          <w:tcPr>
            <w:tcW w:w="2009" w:type="dxa"/>
          </w:tcPr>
          <w:p w14:paraId="6F528D58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19 (</w:t>
            </w:r>
            <w:r>
              <w:rPr>
                <w:rFonts w:hint="eastAsia" w:eastAsia="等线" w:cs="Times New Roman"/>
                <w:kern w:val="0"/>
                <w:szCs w:val="20"/>
              </w:rPr>
              <w:t>3</w:t>
            </w:r>
            <w:r>
              <w:rPr>
                <w:rFonts w:eastAsia="等线" w:cs="Times New Roman"/>
                <w:kern w:val="0"/>
                <w:szCs w:val="20"/>
              </w:rPr>
              <w:t>2.76)</w:t>
            </w:r>
          </w:p>
        </w:tc>
      </w:tr>
      <w:tr w14:paraId="5E160B0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5FDD99FB">
            <w:pPr>
              <w:widowControl/>
              <w:spacing w:line="360" w:lineRule="auto"/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  <w:t>Stage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53690B0C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2009" w:type="dxa"/>
          </w:tcPr>
          <w:p w14:paraId="7FD9B587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</w:p>
        </w:tc>
      </w:tr>
      <w:tr w14:paraId="71EA52D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0EB11516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I+II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3A8299C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 xml:space="preserve">65 </w:t>
            </w:r>
            <w:r>
              <w:rPr>
                <w:rFonts w:hint="eastAsia" w:eastAsia="等线" w:cs="Times New Roman"/>
                <w:kern w:val="0"/>
                <w:szCs w:val="20"/>
              </w:rPr>
              <w:t>(65%)</w:t>
            </w:r>
          </w:p>
        </w:tc>
        <w:tc>
          <w:tcPr>
            <w:tcW w:w="2009" w:type="dxa"/>
          </w:tcPr>
          <w:p w14:paraId="3F5318C7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31 (</w:t>
            </w:r>
            <w:r>
              <w:rPr>
                <w:rFonts w:hint="eastAsia" w:eastAsia="等线" w:cs="Times New Roman"/>
                <w:kern w:val="0"/>
                <w:szCs w:val="20"/>
              </w:rPr>
              <w:t>5</w:t>
            </w:r>
            <w:r>
              <w:rPr>
                <w:rFonts w:eastAsia="等线" w:cs="Times New Roman"/>
                <w:kern w:val="0"/>
                <w:szCs w:val="20"/>
              </w:rPr>
              <w:t>3.45)</w:t>
            </w:r>
          </w:p>
        </w:tc>
      </w:tr>
      <w:tr w14:paraId="275DD01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45783BE6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III+IV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309EB8E7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 xml:space="preserve">35 </w:t>
            </w:r>
            <w:r>
              <w:rPr>
                <w:rFonts w:hint="eastAsia" w:eastAsia="等线" w:cs="Times New Roman"/>
                <w:kern w:val="0"/>
                <w:szCs w:val="20"/>
              </w:rPr>
              <w:t>(35%)</w:t>
            </w:r>
          </w:p>
        </w:tc>
        <w:tc>
          <w:tcPr>
            <w:tcW w:w="2009" w:type="dxa"/>
          </w:tcPr>
          <w:p w14:paraId="5428414C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27 (</w:t>
            </w:r>
            <w:r>
              <w:rPr>
                <w:rFonts w:hint="eastAsia" w:eastAsia="等线" w:cs="Times New Roman"/>
                <w:kern w:val="0"/>
                <w:szCs w:val="20"/>
              </w:rPr>
              <w:t>4</w:t>
            </w:r>
            <w:r>
              <w:rPr>
                <w:rFonts w:eastAsia="等线" w:cs="Times New Roman"/>
                <w:kern w:val="0"/>
                <w:szCs w:val="20"/>
              </w:rPr>
              <w:t>6.55)</w:t>
            </w:r>
          </w:p>
        </w:tc>
      </w:tr>
      <w:tr w14:paraId="4403D2A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5505914C">
            <w:pPr>
              <w:widowControl/>
              <w:spacing w:line="360" w:lineRule="auto"/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Cs w:val="20"/>
              </w:rPr>
              <w:t>﻿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Cs w:val="20"/>
              </w:rPr>
              <w:t>Differentiation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51A3E341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2009" w:type="dxa"/>
          </w:tcPr>
          <w:p w14:paraId="17521BDE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</w:p>
        </w:tc>
      </w:tr>
      <w:tr w14:paraId="1D494EA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61B59461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Well or moderate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0E0A382A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70</w:t>
            </w:r>
            <w:r>
              <w:rPr>
                <w:rFonts w:hint="eastAsia" w:eastAsia="等线" w:cs="Times New Roman"/>
                <w:kern w:val="0"/>
                <w:szCs w:val="20"/>
              </w:rPr>
              <w:t xml:space="preserve"> (70%)</w:t>
            </w:r>
          </w:p>
        </w:tc>
        <w:tc>
          <w:tcPr>
            <w:tcW w:w="2009" w:type="dxa"/>
          </w:tcPr>
          <w:p w14:paraId="39195E74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52 (</w:t>
            </w:r>
            <w:r>
              <w:rPr>
                <w:rFonts w:hint="eastAsia" w:eastAsia="等线" w:cs="Times New Roman"/>
                <w:kern w:val="0"/>
                <w:szCs w:val="20"/>
              </w:rPr>
              <w:t>8</w:t>
            </w:r>
            <w:r>
              <w:rPr>
                <w:rFonts w:eastAsia="等线" w:cs="Times New Roman"/>
                <w:kern w:val="0"/>
                <w:szCs w:val="20"/>
              </w:rPr>
              <w:t>9.66)</w:t>
            </w:r>
          </w:p>
        </w:tc>
      </w:tr>
      <w:tr w14:paraId="26703C6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960" w:type="dxa"/>
            <w:shd w:val="clear" w:color="auto" w:fill="auto"/>
            <w:noWrap/>
            <w:vAlign w:val="center"/>
          </w:tcPr>
          <w:p w14:paraId="205B0D39">
            <w:pPr>
              <w:widowControl/>
              <w:spacing w:line="360" w:lineRule="auto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Poor</w:t>
            </w:r>
          </w:p>
        </w:tc>
        <w:tc>
          <w:tcPr>
            <w:tcW w:w="2009" w:type="dxa"/>
            <w:shd w:val="clear" w:color="auto" w:fill="auto"/>
            <w:noWrap/>
            <w:vAlign w:val="center"/>
          </w:tcPr>
          <w:p w14:paraId="60171228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30</w:t>
            </w:r>
            <w:r>
              <w:rPr>
                <w:rFonts w:hint="eastAsia" w:eastAsia="等线" w:cs="Times New Roman"/>
                <w:kern w:val="0"/>
                <w:szCs w:val="20"/>
              </w:rPr>
              <w:t xml:space="preserve"> (30%)</w:t>
            </w:r>
          </w:p>
        </w:tc>
        <w:tc>
          <w:tcPr>
            <w:tcW w:w="2009" w:type="dxa"/>
          </w:tcPr>
          <w:p w14:paraId="70206930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Cs w:val="20"/>
              </w:rPr>
            </w:pPr>
            <w:r>
              <w:rPr>
                <w:rFonts w:eastAsia="等线" w:cs="Times New Roman"/>
                <w:kern w:val="0"/>
                <w:szCs w:val="20"/>
              </w:rPr>
              <w:t>6 (</w:t>
            </w:r>
            <w:r>
              <w:rPr>
                <w:rFonts w:hint="eastAsia" w:eastAsia="等线" w:cs="Times New Roman"/>
                <w:kern w:val="0"/>
                <w:szCs w:val="20"/>
              </w:rPr>
              <w:t>1</w:t>
            </w:r>
            <w:r>
              <w:rPr>
                <w:rFonts w:eastAsia="等线" w:cs="Times New Roman"/>
                <w:kern w:val="0"/>
                <w:szCs w:val="20"/>
              </w:rPr>
              <w:t>0.34)</w:t>
            </w:r>
          </w:p>
        </w:tc>
      </w:tr>
    </w:tbl>
    <w:p w14:paraId="3ACA9097">
      <w:pPr>
        <w:spacing w:line="360" w:lineRule="auto"/>
        <w:rPr>
          <w:rFonts w:cs="Times New Roman"/>
        </w:rPr>
      </w:pPr>
    </w:p>
    <w:p w14:paraId="0819C1C8">
      <w:pPr>
        <w:spacing w:line="360" w:lineRule="auto"/>
      </w:pPr>
    </w:p>
    <w:p w14:paraId="5F2BCFB9">
      <w:pPr>
        <w:spacing w:line="360" w:lineRule="auto"/>
        <w:rPr>
          <w:b/>
          <w:bCs/>
          <w:sz w:val="24"/>
        </w:rPr>
      </w:pPr>
    </w:p>
    <w:p w14:paraId="2ECCE3A5">
      <w:pPr>
        <w:spacing w:line="360" w:lineRule="auto"/>
        <w:rPr>
          <w:b/>
          <w:bCs/>
          <w:sz w:val="24"/>
        </w:rPr>
      </w:pPr>
    </w:p>
    <w:p w14:paraId="0545F8F4">
      <w:pPr>
        <w:spacing w:line="360" w:lineRule="auto"/>
      </w:pPr>
    </w:p>
    <w:p w14:paraId="686C4B1B">
      <w:pPr>
        <w:spacing w:line="360" w:lineRule="auto"/>
      </w:pPr>
    </w:p>
    <w:p w14:paraId="1D8A39EE">
      <w:pPr>
        <w:spacing w:line="360" w:lineRule="auto"/>
      </w:pPr>
    </w:p>
    <w:p w14:paraId="5ADD213F">
      <w:pPr>
        <w:spacing w:line="360" w:lineRule="auto"/>
      </w:pPr>
    </w:p>
    <w:p w14:paraId="70515A28">
      <w:pPr>
        <w:spacing w:line="360" w:lineRule="auto"/>
      </w:pPr>
    </w:p>
    <w:p w14:paraId="7BFC9C6D">
      <w:pPr>
        <w:spacing w:line="360" w:lineRule="auto"/>
      </w:pPr>
    </w:p>
    <w:p w14:paraId="2509F105">
      <w:pPr>
        <w:spacing w:line="360" w:lineRule="auto"/>
      </w:pPr>
    </w:p>
    <w:p w14:paraId="09700431">
      <w:pPr>
        <w:spacing w:line="360" w:lineRule="auto"/>
      </w:pPr>
    </w:p>
    <w:p w14:paraId="295D8832">
      <w:pPr>
        <w:spacing w:line="360" w:lineRule="auto"/>
      </w:pPr>
    </w:p>
    <w:p w14:paraId="043EA914">
      <w:pPr>
        <w:spacing w:line="360" w:lineRule="auto"/>
      </w:pPr>
    </w:p>
    <w:p w14:paraId="72E91F9B">
      <w:pPr>
        <w:spacing w:line="360" w:lineRule="auto"/>
      </w:pPr>
    </w:p>
    <w:p w14:paraId="746E781D">
      <w:pPr>
        <w:spacing w:line="360" w:lineRule="auto"/>
      </w:pPr>
    </w:p>
    <w:p w14:paraId="4D02E5A6">
      <w:pPr>
        <w:spacing w:line="360" w:lineRule="auto"/>
      </w:pPr>
    </w:p>
    <w:p w14:paraId="0330E78D">
      <w:pPr>
        <w:spacing w:line="360" w:lineRule="auto"/>
      </w:pPr>
    </w:p>
    <w:p w14:paraId="062FC253">
      <w:pPr>
        <w:spacing w:line="360" w:lineRule="auto"/>
      </w:pPr>
    </w:p>
    <w:p w14:paraId="713EA32C">
      <w:pPr>
        <w:spacing w:line="360" w:lineRule="auto"/>
      </w:pPr>
    </w:p>
    <w:p w14:paraId="0B06C896">
      <w:pPr>
        <w:spacing w:line="360" w:lineRule="auto"/>
      </w:pPr>
    </w:p>
    <w:p w14:paraId="1E49E58E">
      <w:pPr>
        <w:spacing w:line="360" w:lineRule="auto"/>
      </w:pPr>
    </w:p>
    <w:p w14:paraId="13F841DE">
      <w:pPr>
        <w:spacing w:line="360" w:lineRule="auto"/>
      </w:pPr>
    </w:p>
    <w:p w14:paraId="3603ADDA">
      <w:pPr>
        <w:spacing w:line="360" w:lineRule="auto"/>
      </w:pPr>
    </w:p>
    <w:p w14:paraId="4631539F">
      <w:pPr>
        <w:spacing w:line="360" w:lineRule="auto"/>
      </w:pPr>
    </w:p>
    <w:p w14:paraId="6D61C2EA">
      <w:pPr>
        <w:spacing w:line="360" w:lineRule="auto"/>
      </w:pPr>
    </w:p>
    <w:p w14:paraId="5A7F8823">
      <w:pPr>
        <w:spacing w:line="360" w:lineRule="auto"/>
      </w:pPr>
    </w:p>
    <w:p w14:paraId="69968DBD">
      <w:pPr>
        <w:spacing w:line="360" w:lineRule="auto"/>
      </w:pPr>
    </w:p>
    <w:tbl>
      <w:tblPr>
        <w:tblStyle w:val="2"/>
        <w:tblpPr w:leftFromText="180" w:rightFromText="180" w:vertAnchor="page" w:horzAnchor="page" w:tblpX="1391" w:tblpY="2376"/>
        <w:tblW w:w="9342" w:type="dxa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269"/>
        <w:gridCol w:w="3238"/>
      </w:tblGrid>
      <w:tr w14:paraId="1940759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FC8827F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326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A431F1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Forward </w:t>
            </w:r>
          </w:p>
        </w:tc>
        <w:tc>
          <w:tcPr>
            <w:tcW w:w="323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C0DD20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</w:tr>
      <w:tr w14:paraId="75656A2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835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58EB3FF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shRNA (CENPF)</w:t>
            </w:r>
          </w:p>
        </w:tc>
        <w:tc>
          <w:tcPr>
            <w:tcW w:w="3269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5403114C">
            <w:pPr>
              <w:widowControl/>
              <w:spacing w:line="360" w:lineRule="auto"/>
              <w:jc w:val="left"/>
              <w:rPr>
                <w:rFonts w:eastAsia="等线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kern w:val="0"/>
                <w:sz w:val="18"/>
                <w:szCs w:val="18"/>
              </w:rPr>
              <w:t>GCGAGTCAGATCAAGGAGAAT</w:t>
            </w:r>
          </w:p>
        </w:tc>
        <w:tc>
          <w:tcPr>
            <w:tcW w:w="323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14BB6D8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ATTCTCCTTGATCTGACTCGC</w:t>
            </w:r>
          </w:p>
        </w:tc>
      </w:tr>
      <w:tr w14:paraId="3321806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A5FDA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sgRNA (CENPF)</w:t>
            </w:r>
          </w:p>
        </w:tc>
        <w:tc>
          <w:tcPr>
            <w:tcW w:w="326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02004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CACCGCGCAGGCACCTCCAGTAGA</w:t>
            </w:r>
          </w:p>
        </w:tc>
        <w:tc>
          <w:tcPr>
            <w:tcW w:w="323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D2B97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AAACTCTACTGGAGGTGCCTGCGC</w:t>
            </w:r>
          </w:p>
        </w:tc>
      </w:tr>
      <w:tr w14:paraId="4D63D6A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shd w:val="clear" w:color="auto" w:fill="auto"/>
            <w:noWrap/>
            <w:vAlign w:val="center"/>
          </w:tcPr>
          <w:p w14:paraId="2748443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Real-time PCR primer (CENPF)</w:t>
            </w:r>
          </w:p>
        </w:tc>
        <w:tc>
          <w:tcPr>
            <w:tcW w:w="3269" w:type="dxa"/>
            <w:shd w:val="clear" w:color="auto" w:fill="auto"/>
            <w:noWrap/>
            <w:vAlign w:val="center"/>
          </w:tcPr>
          <w:p w14:paraId="1A6DC66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GACCAGGCGTCAACCAAGTA</w:t>
            </w:r>
          </w:p>
        </w:tc>
        <w:tc>
          <w:tcPr>
            <w:tcW w:w="3238" w:type="dxa"/>
            <w:shd w:val="clear" w:color="auto" w:fill="auto"/>
            <w:noWrap/>
            <w:vAlign w:val="center"/>
          </w:tcPr>
          <w:p w14:paraId="0062124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ACGGGAGAGCTCCTCTTGAA</w:t>
            </w:r>
          </w:p>
        </w:tc>
      </w:tr>
      <w:tr w14:paraId="4939EFA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shd w:val="clear" w:color="auto" w:fill="auto"/>
            <w:noWrap/>
            <w:vAlign w:val="center"/>
          </w:tcPr>
          <w:p w14:paraId="0A2DB81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Real-time PCR primer (ACTB)</w:t>
            </w:r>
          </w:p>
        </w:tc>
        <w:tc>
          <w:tcPr>
            <w:tcW w:w="3269" w:type="dxa"/>
            <w:shd w:val="clear" w:color="auto" w:fill="auto"/>
            <w:noWrap/>
            <w:vAlign w:val="center"/>
          </w:tcPr>
          <w:p w14:paraId="16FCAEF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GGATTCCTATGTGGGCGACGA</w:t>
            </w:r>
          </w:p>
        </w:tc>
        <w:tc>
          <w:tcPr>
            <w:tcW w:w="3238" w:type="dxa"/>
            <w:shd w:val="clear" w:color="auto" w:fill="auto"/>
            <w:noWrap/>
            <w:vAlign w:val="center"/>
          </w:tcPr>
          <w:p w14:paraId="76D0F45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GCGTACAGGGATAGCACAGC</w:t>
            </w:r>
          </w:p>
        </w:tc>
      </w:tr>
      <w:tr w14:paraId="5B3F9F6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shd w:val="clear" w:color="auto" w:fill="auto"/>
            <w:noWrap/>
            <w:vAlign w:val="center"/>
          </w:tcPr>
          <w:p w14:paraId="4EAB382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Real-time PCR primer (CCND1）</w:t>
            </w:r>
          </w:p>
        </w:tc>
        <w:tc>
          <w:tcPr>
            <w:tcW w:w="3269" w:type="dxa"/>
            <w:shd w:val="clear" w:color="auto" w:fill="auto"/>
            <w:noWrap/>
            <w:vAlign w:val="center"/>
          </w:tcPr>
          <w:p w14:paraId="1996E8C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GACCCCGCACGATTTCATTG</w:t>
            </w:r>
          </w:p>
        </w:tc>
        <w:tc>
          <w:tcPr>
            <w:tcW w:w="3238" w:type="dxa"/>
            <w:shd w:val="clear" w:color="auto" w:fill="auto"/>
            <w:noWrap/>
            <w:vAlign w:val="center"/>
          </w:tcPr>
          <w:p w14:paraId="4D6C9FE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AATGAACTTCACATCTGTGGCA</w:t>
            </w:r>
          </w:p>
        </w:tc>
      </w:tr>
      <w:tr w14:paraId="3EA12DA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shd w:val="clear" w:color="auto" w:fill="auto"/>
            <w:noWrap/>
            <w:vAlign w:val="center"/>
          </w:tcPr>
          <w:p w14:paraId="32D2687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Real-time PCR primer (CDK4)</w:t>
            </w:r>
          </w:p>
        </w:tc>
        <w:tc>
          <w:tcPr>
            <w:tcW w:w="3269" w:type="dxa"/>
            <w:shd w:val="clear" w:color="auto" w:fill="auto"/>
            <w:noWrap/>
            <w:vAlign w:val="center"/>
          </w:tcPr>
          <w:p w14:paraId="4CFE6C5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TGCGGCCTGTGTCTATGGTC</w:t>
            </w:r>
          </w:p>
        </w:tc>
        <w:tc>
          <w:tcPr>
            <w:tcW w:w="3238" w:type="dxa"/>
            <w:shd w:val="clear" w:color="auto" w:fill="auto"/>
            <w:noWrap/>
            <w:vAlign w:val="center"/>
          </w:tcPr>
          <w:p w14:paraId="578FB1B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TCTCAGATCAAGGGAGACCCTCA</w:t>
            </w:r>
          </w:p>
        </w:tc>
      </w:tr>
      <w:tr w14:paraId="652DF2E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shd w:val="clear" w:color="auto" w:fill="auto"/>
            <w:noWrap/>
            <w:vAlign w:val="center"/>
          </w:tcPr>
          <w:p w14:paraId="4860D1F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Real-time PCR primer (CDK6)</w:t>
            </w:r>
          </w:p>
        </w:tc>
        <w:tc>
          <w:tcPr>
            <w:tcW w:w="3269" w:type="dxa"/>
            <w:shd w:val="clear" w:color="auto" w:fill="auto"/>
            <w:noWrap/>
            <w:vAlign w:val="center"/>
          </w:tcPr>
          <w:p w14:paraId="456374A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TGTCTGTTCGTGACACTGTGC</w:t>
            </w:r>
          </w:p>
        </w:tc>
        <w:tc>
          <w:tcPr>
            <w:tcW w:w="3238" w:type="dxa"/>
            <w:shd w:val="clear" w:color="auto" w:fill="auto"/>
            <w:noWrap/>
            <w:vAlign w:val="center"/>
          </w:tcPr>
          <w:p w14:paraId="137E090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ATGCCGCTCTCCACCAT</w:t>
            </w:r>
          </w:p>
        </w:tc>
      </w:tr>
      <w:tr w14:paraId="27097F5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shd w:val="clear" w:color="auto" w:fill="auto"/>
            <w:noWrap/>
            <w:vAlign w:val="center"/>
          </w:tcPr>
          <w:p w14:paraId="2ECCE7E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Real-time PCR primer (CDKN1A)</w:t>
            </w:r>
          </w:p>
        </w:tc>
        <w:tc>
          <w:tcPr>
            <w:tcW w:w="3269" w:type="dxa"/>
            <w:shd w:val="clear" w:color="auto" w:fill="auto"/>
            <w:noWrap/>
            <w:vAlign w:val="center"/>
          </w:tcPr>
          <w:p w14:paraId="05E879A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GTCCACTGGGCCGAAGAG</w:t>
            </w:r>
          </w:p>
        </w:tc>
        <w:tc>
          <w:tcPr>
            <w:tcW w:w="3238" w:type="dxa"/>
            <w:shd w:val="clear" w:color="auto" w:fill="auto"/>
            <w:noWrap/>
            <w:vAlign w:val="center"/>
          </w:tcPr>
          <w:p w14:paraId="428FF07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TGCGTTCACAGGTGTTTCTG</w:t>
            </w:r>
          </w:p>
        </w:tc>
      </w:tr>
      <w:tr w14:paraId="0D7A2CA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shd w:val="clear" w:color="auto" w:fill="auto"/>
            <w:noWrap/>
            <w:vAlign w:val="center"/>
          </w:tcPr>
          <w:p w14:paraId="3267129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Real-time PCR primer (CDKNIB)</w:t>
            </w:r>
          </w:p>
        </w:tc>
        <w:tc>
          <w:tcPr>
            <w:tcW w:w="3269" w:type="dxa"/>
            <w:shd w:val="clear" w:color="auto" w:fill="auto"/>
            <w:noWrap/>
            <w:vAlign w:val="center"/>
          </w:tcPr>
          <w:p w14:paraId="3740C02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TTCATCAAGCAGTGATGTATCTGA</w:t>
            </w:r>
          </w:p>
        </w:tc>
        <w:tc>
          <w:tcPr>
            <w:tcW w:w="3238" w:type="dxa"/>
            <w:shd w:val="clear" w:color="auto" w:fill="auto"/>
            <w:noWrap/>
            <w:vAlign w:val="center"/>
          </w:tcPr>
          <w:p w14:paraId="4A17C8A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AAGAAGCCTGGCCTCAGAAG</w:t>
            </w:r>
          </w:p>
        </w:tc>
      </w:tr>
      <w:tr w14:paraId="424C504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shd w:val="clear" w:color="auto" w:fill="auto"/>
            <w:noWrap/>
            <w:vAlign w:val="center"/>
          </w:tcPr>
          <w:p w14:paraId="2310B98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Real-time PCR primer (CCNB1)</w:t>
            </w:r>
          </w:p>
        </w:tc>
        <w:tc>
          <w:tcPr>
            <w:tcW w:w="3269" w:type="dxa"/>
            <w:shd w:val="clear" w:color="auto" w:fill="auto"/>
            <w:noWrap/>
            <w:vAlign w:val="center"/>
          </w:tcPr>
          <w:p w14:paraId="53AAFB6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CGCCTGAGCCTATTTTGGTTG</w:t>
            </w:r>
          </w:p>
        </w:tc>
        <w:tc>
          <w:tcPr>
            <w:tcW w:w="3238" w:type="dxa"/>
            <w:shd w:val="clear" w:color="auto" w:fill="auto"/>
            <w:noWrap/>
            <w:vAlign w:val="center"/>
          </w:tcPr>
          <w:p w14:paraId="617AE26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AGTGACTTCCCGACCCAGTA</w:t>
            </w:r>
          </w:p>
        </w:tc>
      </w:tr>
      <w:tr w14:paraId="28EC0D3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shd w:val="clear" w:color="auto" w:fill="auto"/>
            <w:noWrap/>
            <w:vAlign w:val="center"/>
          </w:tcPr>
          <w:p w14:paraId="04B16D5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Real-time PCR primer (CDK1)</w:t>
            </w:r>
          </w:p>
        </w:tc>
        <w:tc>
          <w:tcPr>
            <w:tcW w:w="3269" w:type="dxa"/>
            <w:shd w:val="clear" w:color="auto" w:fill="auto"/>
            <w:noWrap/>
            <w:vAlign w:val="center"/>
          </w:tcPr>
          <w:p w14:paraId="25BD8F5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GCTGGCTCTTGGAAATTGAGC</w:t>
            </w:r>
          </w:p>
        </w:tc>
        <w:tc>
          <w:tcPr>
            <w:tcW w:w="3238" w:type="dxa"/>
            <w:shd w:val="clear" w:color="auto" w:fill="auto"/>
            <w:noWrap/>
            <w:vAlign w:val="center"/>
          </w:tcPr>
          <w:p w14:paraId="7431789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GGGTATGGTAGATCCCGGCTTA</w:t>
            </w:r>
          </w:p>
        </w:tc>
      </w:tr>
      <w:tr w14:paraId="06907D7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35" w:type="dxa"/>
            <w:shd w:val="clear" w:color="auto" w:fill="auto"/>
            <w:noWrap/>
            <w:vAlign w:val="center"/>
          </w:tcPr>
          <w:p w14:paraId="02C431E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Real-time PCR primer (MYC)</w:t>
            </w:r>
          </w:p>
        </w:tc>
        <w:tc>
          <w:tcPr>
            <w:tcW w:w="3269" w:type="dxa"/>
            <w:shd w:val="clear" w:color="auto" w:fill="auto"/>
            <w:noWrap/>
            <w:vAlign w:val="center"/>
          </w:tcPr>
          <w:p w14:paraId="3BBC325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TGGAAAACCAGCCTCCCG</w:t>
            </w:r>
          </w:p>
        </w:tc>
        <w:tc>
          <w:tcPr>
            <w:tcW w:w="3238" w:type="dxa"/>
            <w:shd w:val="clear" w:color="auto" w:fill="auto"/>
            <w:noWrap/>
            <w:vAlign w:val="center"/>
          </w:tcPr>
          <w:p w14:paraId="3DE49E0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TTCTCCTCCTCGTCGCAGTA</w:t>
            </w:r>
          </w:p>
        </w:tc>
      </w:tr>
    </w:tbl>
    <w:p w14:paraId="702B0EA8">
      <w:pPr>
        <w:spacing w:line="360" w:lineRule="auto"/>
        <w:rPr>
          <w:b/>
          <w:bCs/>
        </w:rPr>
      </w:pPr>
      <w:r>
        <w:rPr>
          <w:b/>
          <w:bCs/>
        </w:rPr>
        <w:t xml:space="preserve">Table S2 </w:t>
      </w:r>
      <w:r>
        <w:t>Sequences of sgRNA, shRNA, and primers</w:t>
      </w:r>
    </w:p>
    <w:p w14:paraId="3EDE329A">
      <w:pPr>
        <w:spacing w:line="360" w:lineRule="auto"/>
        <w:jc w:val="left"/>
        <w:rPr>
          <w:rFonts w:cs="Times New Roman"/>
          <w:b/>
          <w:bCs/>
        </w:rPr>
      </w:pPr>
    </w:p>
    <w:p w14:paraId="6D480340">
      <w:pPr>
        <w:spacing w:line="360" w:lineRule="auto"/>
        <w:jc w:val="left"/>
        <w:rPr>
          <w:rFonts w:cs="Times New Roman"/>
          <w:b/>
          <w:bCs/>
        </w:rPr>
      </w:pPr>
    </w:p>
    <w:p w14:paraId="7EB1AF20">
      <w:pPr>
        <w:spacing w:line="360" w:lineRule="auto"/>
        <w:jc w:val="left"/>
        <w:rPr>
          <w:rFonts w:cs="Times New Roman"/>
          <w:b/>
          <w:bCs/>
        </w:rPr>
      </w:pPr>
    </w:p>
    <w:p w14:paraId="019848A7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4A27E30B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773DF58F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1F026F14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3B6C1D1F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3DA5F359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227562F1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0C618794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149AEBF2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165A58B7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230A27FE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57AD0800">
      <w:pPr>
        <w:spacing w:line="360" w:lineRule="auto"/>
      </w:pPr>
    </w:p>
    <w:p w14:paraId="2418C1D7">
      <w:pPr>
        <w:spacing w:line="360" w:lineRule="auto"/>
      </w:pPr>
      <w:r>
        <w:rPr>
          <w:b/>
          <w:bCs/>
        </w:rPr>
        <w:t xml:space="preserve">Table S3 </w:t>
      </w:r>
      <w:r>
        <w:t xml:space="preserve">GSEA analysis of hallmark collection based on RNA-seq data of </w:t>
      </w:r>
      <w:r>
        <w:rPr>
          <w:i/>
          <w:iCs/>
        </w:rPr>
        <w:t>CENPF</w:t>
      </w:r>
      <w:r>
        <w:t>-silenced Huh-7 cells</w:t>
      </w:r>
    </w:p>
    <w:tbl>
      <w:tblPr>
        <w:tblStyle w:val="2"/>
        <w:tblW w:w="8240" w:type="dxa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0"/>
        <w:gridCol w:w="1100"/>
        <w:gridCol w:w="1100"/>
        <w:gridCol w:w="1100"/>
        <w:gridCol w:w="1100"/>
        <w:gridCol w:w="1100"/>
      </w:tblGrid>
      <w:tr w14:paraId="4E496D0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4D126C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hallmark gene sets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6C979A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setSize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A4DFCC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ES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CE8103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NES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DC34D0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p-value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86FA63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q-values</w:t>
            </w:r>
          </w:p>
        </w:tc>
      </w:tr>
      <w:tr w14:paraId="1C39AEE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74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71E914A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MYC Targets V1</w:t>
            </w:r>
          </w:p>
        </w:tc>
        <w:tc>
          <w:tcPr>
            <w:tcW w:w="11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15C9A2A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200</w:t>
            </w:r>
          </w:p>
        </w:tc>
        <w:tc>
          <w:tcPr>
            <w:tcW w:w="11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7371E12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-0.78</w:t>
            </w:r>
          </w:p>
        </w:tc>
        <w:tc>
          <w:tcPr>
            <w:tcW w:w="11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72D81C2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-2.85</w:t>
            </w:r>
          </w:p>
        </w:tc>
        <w:tc>
          <w:tcPr>
            <w:tcW w:w="11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67BD66A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1.00E-10</w:t>
            </w:r>
          </w:p>
        </w:tc>
        <w:tc>
          <w:tcPr>
            <w:tcW w:w="11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6818D89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6.11E-10</w:t>
            </w:r>
          </w:p>
        </w:tc>
      </w:tr>
      <w:tr w14:paraId="107DC48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F6FD6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MYC Targets V2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632D9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58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D8819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-0.85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EFB32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-2.52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B8B55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1.00E-10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1179E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6.11E-10</w:t>
            </w:r>
          </w:p>
        </w:tc>
      </w:tr>
      <w:tr w14:paraId="6DB992E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43E9E27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E2F Targets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A28EA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47942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0C77C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-2.45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5B3F8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1.00E-10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A0967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6.11E-10</w:t>
            </w:r>
          </w:p>
        </w:tc>
      </w:tr>
      <w:tr w14:paraId="1F2AD98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03454D7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G2M Checkpoint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B95B7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F7D06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0227C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-2.38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BBDD0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1.00E-10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1AF4B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6.11E-10</w:t>
            </w:r>
          </w:p>
        </w:tc>
      </w:tr>
      <w:tr w14:paraId="4506F71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49E845E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MTORC1 Signaling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CE35F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F8FB0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C4161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-2.09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90274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1.00E-10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3FAE1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6.11E-10</w:t>
            </w:r>
          </w:p>
        </w:tc>
      </w:tr>
      <w:tr w14:paraId="082C09A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3741C01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Oxidative Phosphorylation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72F59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4392E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671F2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-2.08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22EB5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1.54E-10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AB501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7.84E-10</w:t>
            </w:r>
          </w:p>
        </w:tc>
      </w:tr>
      <w:tr w14:paraId="338CCA4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1C7A0A5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Unfolded Protein Response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EC06A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C6D92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8498E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-1.9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EA046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5.92E-06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B77EE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2.01E-05</w:t>
            </w:r>
          </w:p>
        </w:tc>
      </w:tr>
      <w:tr w14:paraId="087C035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3B37BAD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DNA Repair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0694E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8C405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8DD15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-1.81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A551E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7.85E-06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4497A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2.40E-05</w:t>
            </w:r>
          </w:p>
        </w:tc>
      </w:tr>
      <w:tr w14:paraId="47C2E7A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1898261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Adipogenesis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FA679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651C3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F9513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-1.48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AC700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2.68E-03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52DBB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5.45E-03</w:t>
            </w:r>
          </w:p>
        </w:tc>
      </w:tr>
      <w:tr w14:paraId="689A5B0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1B3D96A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KRAS signaling DN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CA871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ACB30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5CE63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F7A6B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1.26E-02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C2935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1.92E-02</w:t>
            </w:r>
          </w:p>
        </w:tc>
      </w:tr>
      <w:tr w14:paraId="09062D5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04A3C64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KRAS signaling DN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FA99B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E7C7F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F00BD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02927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8.94E-03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B9BFF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1.52E-02</w:t>
            </w:r>
          </w:p>
        </w:tc>
      </w:tr>
      <w:tr w14:paraId="4F3FE6C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4D05341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Coagulation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AC7B5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04DE2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CA2E7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6577F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7.79E-03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B7ABA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1.40E-02</w:t>
            </w:r>
          </w:p>
        </w:tc>
      </w:tr>
      <w:tr w14:paraId="55AE3A5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6184347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Myogenesis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DE3FA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3BE16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41EA3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C2ADE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4.27E-03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97193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8.14E-03</w:t>
            </w:r>
          </w:p>
        </w:tc>
      </w:tr>
      <w:tr w14:paraId="1747174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1801687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Hypoxia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11419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190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0D5B8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7DFE1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88EE4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1.09E-03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28F4E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2.56E-03</w:t>
            </w:r>
          </w:p>
        </w:tc>
      </w:tr>
      <w:tr w14:paraId="459359B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1D55F4B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Inflammatory Response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98C64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FA559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B1B77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D7A8D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1.61E-03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74454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3.51E-03</w:t>
            </w:r>
          </w:p>
        </w:tc>
      </w:tr>
      <w:tr w14:paraId="23EA6C4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40E4900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IL6-JAK-STAT3 signaling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7717C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D79A4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45D0E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6D3D6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9.54E-03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DAB8A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1.53E-02</w:t>
            </w:r>
          </w:p>
        </w:tc>
      </w:tr>
      <w:tr w14:paraId="0E6E315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7349C86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TNF-α Signaling via NF-κB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9ABA2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E3C7E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79A8A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47517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3.35E-04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0C999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9.31E-04</w:t>
            </w:r>
          </w:p>
        </w:tc>
      </w:tr>
      <w:tr w14:paraId="1673CDB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3468BD5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Apical Surface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3566F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BAC9F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E3258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24991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1.07E-03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1205C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2.56E-03</w:t>
            </w:r>
          </w:p>
        </w:tc>
      </w:tr>
      <w:tr w14:paraId="40C3A23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73A821C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IFN-γ Response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24948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62D29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35B2A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12F18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5.60E-07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C7B6F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2.14E-06</w:t>
            </w:r>
          </w:p>
        </w:tc>
      </w:tr>
      <w:tr w14:paraId="18C4E31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40" w:type="dxa"/>
            <w:shd w:val="clear" w:color="auto" w:fill="auto"/>
            <w:noWrap/>
            <w:vAlign w:val="center"/>
          </w:tcPr>
          <w:p w14:paraId="2C32C21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IFN-α Response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4CC95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D4F86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4A738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3F531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1.85E-10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63912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8.06E-10</w:t>
            </w:r>
          </w:p>
        </w:tc>
      </w:tr>
    </w:tbl>
    <w:p w14:paraId="54495D65">
      <w:pPr>
        <w:spacing w:line="360" w:lineRule="auto"/>
      </w:pPr>
    </w:p>
    <w:p w14:paraId="1D90DCB0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596EFC1D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11CADCE0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2E8825EA">
      <w:pPr>
        <w:spacing w:line="360" w:lineRule="auto"/>
        <w:jc w:val="left"/>
        <w:rPr>
          <w:rFonts w:eastAsia="等线" w:cs="Times New Roman"/>
          <w:b/>
          <w:bCs/>
          <w:color w:val="000000"/>
          <w:kern w:val="0"/>
          <w:szCs w:val="20"/>
        </w:rPr>
      </w:pPr>
    </w:p>
    <w:p w14:paraId="38233FC0">
      <w:pPr>
        <w:spacing w:line="360" w:lineRule="auto"/>
      </w:pPr>
    </w:p>
    <w:p w14:paraId="6E8D5E82">
      <w:pPr>
        <w:spacing w:line="360" w:lineRule="auto"/>
      </w:pPr>
    </w:p>
    <w:p w14:paraId="3B517600">
      <w:pPr>
        <w:spacing w:line="360" w:lineRule="auto"/>
        <w:rPr>
          <w:b/>
          <w:bCs/>
        </w:rPr>
      </w:pPr>
      <w:r>
        <w:rPr>
          <w:b/>
          <w:bCs/>
        </w:rPr>
        <w:t xml:space="preserve">Table S4 </w:t>
      </w:r>
      <w:r>
        <w:t>GSEA analysis of hallmark collection based on the RNA-seq data of CENPF-overexpressed HCCLM3 cells</w:t>
      </w:r>
    </w:p>
    <w:tbl>
      <w:tblPr>
        <w:tblStyle w:val="2"/>
        <w:tblW w:w="8680" w:type="dxa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1100"/>
        <w:gridCol w:w="1100"/>
        <w:gridCol w:w="1100"/>
        <w:gridCol w:w="1100"/>
        <w:gridCol w:w="1100"/>
      </w:tblGrid>
      <w:tr w14:paraId="172301B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F28C24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hallmark gene sets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19B112C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setSize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92B1E7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ES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63D56F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NES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A3ED68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p-value</w:t>
            </w:r>
          </w:p>
        </w:tc>
        <w:tc>
          <w:tcPr>
            <w:tcW w:w="11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17B85F0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q-values</w:t>
            </w:r>
          </w:p>
        </w:tc>
      </w:tr>
      <w:tr w14:paraId="58C4511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35057F5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UV Response DN</w:t>
            </w:r>
          </w:p>
        </w:tc>
        <w:tc>
          <w:tcPr>
            <w:tcW w:w="11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2EF3908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136</w:t>
            </w:r>
          </w:p>
        </w:tc>
        <w:tc>
          <w:tcPr>
            <w:tcW w:w="11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50FCC6B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-0.62</w:t>
            </w:r>
          </w:p>
        </w:tc>
        <w:tc>
          <w:tcPr>
            <w:tcW w:w="11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0C611AE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-2.01</w:t>
            </w:r>
          </w:p>
        </w:tc>
        <w:tc>
          <w:tcPr>
            <w:tcW w:w="11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0450D18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1.50E-09</w:t>
            </w:r>
          </w:p>
        </w:tc>
        <w:tc>
          <w:tcPr>
            <w:tcW w:w="1100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2B82ECD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2.53E-08</w:t>
            </w:r>
          </w:p>
        </w:tc>
      </w:tr>
      <w:tr w14:paraId="7FCD118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E68A60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Mitotic Spindle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B6CC0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197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BE5F9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-0.53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C661A6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-1.76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0F55F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3.70E-07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615380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4.16E-06</w:t>
            </w:r>
          </w:p>
        </w:tc>
      </w:tr>
      <w:tr w14:paraId="1625C86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7925E1B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Androgen response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5252B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3B6FA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3800B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-1.73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8111A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7.39E-05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8FEA8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3.55E-04</w:t>
            </w:r>
          </w:p>
        </w:tc>
      </w:tr>
      <w:tr w14:paraId="66987A6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428566F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TGF Beta Signaling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CAF16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9B218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622B9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-1.6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2ED06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5.68E-03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FE51E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1.27E-02</w:t>
            </w:r>
          </w:p>
        </w:tc>
      </w:tr>
      <w:tr w14:paraId="43757D5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029DDB3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Protein secretion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EF1C6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2266D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CFACB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-1.57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215F9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2.86E-03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5BFFE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6.87E-03</w:t>
            </w:r>
          </w:p>
        </w:tc>
      </w:tr>
      <w:tr w14:paraId="5076EC6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0D572C0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G2M Checkpoint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41012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D7061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12A6E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-1.49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98FAD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7.76E-04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DC535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2.38E-03</w:t>
            </w:r>
          </w:p>
        </w:tc>
      </w:tr>
      <w:tr w14:paraId="33264E5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7D59030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Hypoxia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D6709F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AB637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-0.4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12E48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-1.34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D6004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1.52E-02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D4CF6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3.21E-02</w:t>
            </w:r>
          </w:p>
        </w:tc>
      </w:tr>
      <w:tr w14:paraId="780DC94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5F98D70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Xenobiotic Metabolism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7DAC1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40B17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E4453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414BC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1.14E-03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047BC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3.20E-03</w:t>
            </w:r>
          </w:p>
        </w:tc>
      </w:tr>
      <w:tr w14:paraId="592B1A2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43EF7AE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Adipogenesis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4B3FD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DD1D5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BB13E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F67BF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4.35E-04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FDF19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1.46E-03</w:t>
            </w:r>
          </w:p>
        </w:tc>
      </w:tr>
      <w:tr w14:paraId="7C83D6D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65974FC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MYC Targets V2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DBE6D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34DC9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FF762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63B1B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2.37E-03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A4CE1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6.13E-03</w:t>
            </w:r>
          </w:p>
        </w:tc>
      </w:tr>
      <w:tr w14:paraId="550F227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68D6122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UV Response UP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84565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F1031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10B89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87336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3.99E-04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CBE4A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1.46E-03</w:t>
            </w:r>
          </w:p>
        </w:tc>
      </w:tr>
      <w:tr w14:paraId="499976D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40AA4CF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Fatty acid metabolism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57140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A8B6F4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7F50A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4628B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1.05E-04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945BF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4.44E-04</w:t>
            </w:r>
          </w:p>
        </w:tc>
      </w:tr>
      <w:tr w14:paraId="3775E6A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1F6FE01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MYC Targets V1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F53DC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4FF08E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CC5BB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E6628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9.07E-06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5F9F79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7.64E-05</w:t>
            </w:r>
          </w:p>
        </w:tc>
      </w:tr>
      <w:tr w14:paraId="4B12E2F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411EA4F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DNA Repair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AC04E1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440176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F8B78C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A6721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1.92E-05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73BC7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1.29E-04</w:t>
            </w:r>
          </w:p>
        </w:tc>
      </w:tr>
      <w:tr w14:paraId="796C0D4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2E9A42F3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Reactive Oxygen Species Pathway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072B9B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20D685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D24D8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F45FF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4.02E-05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12C067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2.26E-04</w:t>
            </w:r>
          </w:p>
        </w:tc>
      </w:tr>
      <w:tr w14:paraId="2EF6C7B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80" w:type="dxa"/>
            <w:shd w:val="clear" w:color="auto" w:fill="auto"/>
            <w:noWrap/>
            <w:vAlign w:val="center"/>
          </w:tcPr>
          <w:p w14:paraId="414733A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Oxidation Phosphorylation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95E1CA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03E4D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0.66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6ED982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2.37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9B1C0D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1.00E-10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901808">
            <w:pPr>
              <w:widowControl/>
              <w:spacing w:line="360" w:lineRule="auto"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Cs w:val="20"/>
              </w:rPr>
              <w:t>3.37E-09</w:t>
            </w:r>
          </w:p>
        </w:tc>
      </w:tr>
    </w:tbl>
    <w:p w14:paraId="4C599FE3">
      <w:pPr>
        <w:spacing w:line="360" w:lineRule="auto"/>
      </w:pPr>
    </w:p>
    <w:p w14:paraId="25579578">
      <w:pPr>
        <w:spacing w:line="360" w:lineRule="auto"/>
      </w:pPr>
    </w:p>
    <w:p w14:paraId="2C0DD371">
      <w:pPr>
        <w:spacing w:line="360" w:lineRule="auto"/>
      </w:pPr>
    </w:p>
    <w:p w14:paraId="29756E65">
      <w:pPr>
        <w:spacing w:line="360" w:lineRule="auto"/>
      </w:pPr>
    </w:p>
    <w:p w14:paraId="1918D217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方正书宋简体">
    <w:altName w:val="宋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黄坚1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x90r9979fa0reas0dp5dw2fps50e9zv5w0&quot;&gt;My EndNote Library&lt;record-ids&gt;&lt;item&gt;248&lt;/item&gt;&lt;item&gt;292&lt;/item&gt;&lt;item&gt;385&lt;/item&gt;&lt;/record-ids&gt;&lt;/item&gt;&lt;/Libraries&gt;"/>
  </w:docVars>
  <w:rsids>
    <w:rsidRoot w:val="003A5E82"/>
    <w:rsid w:val="0000366F"/>
    <w:rsid w:val="00022FC2"/>
    <w:rsid w:val="00030079"/>
    <w:rsid w:val="00030A8C"/>
    <w:rsid w:val="000318C0"/>
    <w:rsid w:val="000330CA"/>
    <w:rsid w:val="00043ED8"/>
    <w:rsid w:val="0004544C"/>
    <w:rsid w:val="00050E39"/>
    <w:rsid w:val="00053DE2"/>
    <w:rsid w:val="000559E5"/>
    <w:rsid w:val="00061D39"/>
    <w:rsid w:val="000669F8"/>
    <w:rsid w:val="000705F6"/>
    <w:rsid w:val="0007178A"/>
    <w:rsid w:val="00082E44"/>
    <w:rsid w:val="0008422E"/>
    <w:rsid w:val="00085573"/>
    <w:rsid w:val="0008781F"/>
    <w:rsid w:val="00093C52"/>
    <w:rsid w:val="00094BF6"/>
    <w:rsid w:val="000A05FE"/>
    <w:rsid w:val="000A3793"/>
    <w:rsid w:val="000A6888"/>
    <w:rsid w:val="000B15A4"/>
    <w:rsid w:val="000B254C"/>
    <w:rsid w:val="000C382E"/>
    <w:rsid w:val="000C4CE3"/>
    <w:rsid w:val="000C5EE3"/>
    <w:rsid w:val="000C615F"/>
    <w:rsid w:val="000D67A3"/>
    <w:rsid w:val="000E421D"/>
    <w:rsid w:val="000F5F50"/>
    <w:rsid w:val="00105D4F"/>
    <w:rsid w:val="00106F80"/>
    <w:rsid w:val="00110972"/>
    <w:rsid w:val="00111DB5"/>
    <w:rsid w:val="001208C7"/>
    <w:rsid w:val="001218F0"/>
    <w:rsid w:val="00140CA6"/>
    <w:rsid w:val="00150B08"/>
    <w:rsid w:val="00152226"/>
    <w:rsid w:val="00153E36"/>
    <w:rsid w:val="00166739"/>
    <w:rsid w:val="00171596"/>
    <w:rsid w:val="001812A9"/>
    <w:rsid w:val="00192C15"/>
    <w:rsid w:val="00194C95"/>
    <w:rsid w:val="001B43A1"/>
    <w:rsid w:val="001B6082"/>
    <w:rsid w:val="001C114C"/>
    <w:rsid w:val="001C401A"/>
    <w:rsid w:val="001C75EE"/>
    <w:rsid w:val="001D22E0"/>
    <w:rsid w:val="001D7D33"/>
    <w:rsid w:val="001E2805"/>
    <w:rsid w:val="001F383E"/>
    <w:rsid w:val="001F5B17"/>
    <w:rsid w:val="00210FBC"/>
    <w:rsid w:val="002203EC"/>
    <w:rsid w:val="002276E2"/>
    <w:rsid w:val="0023214C"/>
    <w:rsid w:val="00245395"/>
    <w:rsid w:val="00247E9C"/>
    <w:rsid w:val="002538F3"/>
    <w:rsid w:val="00253CDF"/>
    <w:rsid w:val="00262719"/>
    <w:rsid w:val="00280D97"/>
    <w:rsid w:val="002865C4"/>
    <w:rsid w:val="002907EB"/>
    <w:rsid w:val="00291D52"/>
    <w:rsid w:val="002963E6"/>
    <w:rsid w:val="00297F2D"/>
    <w:rsid w:val="002A6F00"/>
    <w:rsid w:val="002B4EC3"/>
    <w:rsid w:val="002B6FA2"/>
    <w:rsid w:val="002B709D"/>
    <w:rsid w:val="002C5BAC"/>
    <w:rsid w:val="002D7BCC"/>
    <w:rsid w:val="002F0296"/>
    <w:rsid w:val="002F0AD8"/>
    <w:rsid w:val="002F7C7F"/>
    <w:rsid w:val="003023DB"/>
    <w:rsid w:val="003236E1"/>
    <w:rsid w:val="0033373B"/>
    <w:rsid w:val="00334312"/>
    <w:rsid w:val="003440F7"/>
    <w:rsid w:val="00356157"/>
    <w:rsid w:val="003672AC"/>
    <w:rsid w:val="00370F88"/>
    <w:rsid w:val="003944B6"/>
    <w:rsid w:val="003A2FA1"/>
    <w:rsid w:val="003A5E82"/>
    <w:rsid w:val="003D36F4"/>
    <w:rsid w:val="003D4A2D"/>
    <w:rsid w:val="003D657D"/>
    <w:rsid w:val="003E3BBE"/>
    <w:rsid w:val="003E7FA3"/>
    <w:rsid w:val="003F1389"/>
    <w:rsid w:val="003F4FD0"/>
    <w:rsid w:val="003F50A6"/>
    <w:rsid w:val="003F7167"/>
    <w:rsid w:val="00401A36"/>
    <w:rsid w:val="00406999"/>
    <w:rsid w:val="00406EEA"/>
    <w:rsid w:val="00407FF6"/>
    <w:rsid w:val="00421A19"/>
    <w:rsid w:val="00421E56"/>
    <w:rsid w:val="00423253"/>
    <w:rsid w:val="0042651F"/>
    <w:rsid w:val="00432172"/>
    <w:rsid w:val="00440E79"/>
    <w:rsid w:val="00463571"/>
    <w:rsid w:val="0046570F"/>
    <w:rsid w:val="00465F21"/>
    <w:rsid w:val="00472A71"/>
    <w:rsid w:val="00482925"/>
    <w:rsid w:val="00486ECB"/>
    <w:rsid w:val="00496061"/>
    <w:rsid w:val="004968F1"/>
    <w:rsid w:val="004A113C"/>
    <w:rsid w:val="004B4854"/>
    <w:rsid w:val="004D57D8"/>
    <w:rsid w:val="004E039F"/>
    <w:rsid w:val="00503D8F"/>
    <w:rsid w:val="00504597"/>
    <w:rsid w:val="00504E31"/>
    <w:rsid w:val="00517154"/>
    <w:rsid w:val="00532B7F"/>
    <w:rsid w:val="00534EE1"/>
    <w:rsid w:val="0054735A"/>
    <w:rsid w:val="005505E6"/>
    <w:rsid w:val="00550B2D"/>
    <w:rsid w:val="00556196"/>
    <w:rsid w:val="00565996"/>
    <w:rsid w:val="005672E3"/>
    <w:rsid w:val="00567986"/>
    <w:rsid w:val="005812AC"/>
    <w:rsid w:val="0058702E"/>
    <w:rsid w:val="005924E9"/>
    <w:rsid w:val="005A2EEE"/>
    <w:rsid w:val="005A4626"/>
    <w:rsid w:val="005D253D"/>
    <w:rsid w:val="005E4AF6"/>
    <w:rsid w:val="005F42FD"/>
    <w:rsid w:val="0062222C"/>
    <w:rsid w:val="00622E94"/>
    <w:rsid w:val="00651320"/>
    <w:rsid w:val="0065353E"/>
    <w:rsid w:val="006559F7"/>
    <w:rsid w:val="00662023"/>
    <w:rsid w:val="00665C3E"/>
    <w:rsid w:val="00667F29"/>
    <w:rsid w:val="00670810"/>
    <w:rsid w:val="0067136F"/>
    <w:rsid w:val="00690DA2"/>
    <w:rsid w:val="006B511A"/>
    <w:rsid w:val="006C22AD"/>
    <w:rsid w:val="006C26AF"/>
    <w:rsid w:val="006C5987"/>
    <w:rsid w:val="006D6828"/>
    <w:rsid w:val="006E2A1B"/>
    <w:rsid w:val="006F3E95"/>
    <w:rsid w:val="0070388D"/>
    <w:rsid w:val="00721013"/>
    <w:rsid w:val="00734464"/>
    <w:rsid w:val="00741F70"/>
    <w:rsid w:val="00757F43"/>
    <w:rsid w:val="00762BD0"/>
    <w:rsid w:val="00766257"/>
    <w:rsid w:val="00792BB5"/>
    <w:rsid w:val="0079443C"/>
    <w:rsid w:val="007A0CA2"/>
    <w:rsid w:val="007A2717"/>
    <w:rsid w:val="007B4B6B"/>
    <w:rsid w:val="007C6D92"/>
    <w:rsid w:val="007D102A"/>
    <w:rsid w:val="007D4CD8"/>
    <w:rsid w:val="007E622B"/>
    <w:rsid w:val="007F3AF9"/>
    <w:rsid w:val="007F6950"/>
    <w:rsid w:val="008023DC"/>
    <w:rsid w:val="0082661A"/>
    <w:rsid w:val="008277E9"/>
    <w:rsid w:val="00834A83"/>
    <w:rsid w:val="008558DE"/>
    <w:rsid w:val="00860BB4"/>
    <w:rsid w:val="00872BE0"/>
    <w:rsid w:val="00890FD4"/>
    <w:rsid w:val="0089410F"/>
    <w:rsid w:val="008B08DC"/>
    <w:rsid w:val="008C3285"/>
    <w:rsid w:val="008C5270"/>
    <w:rsid w:val="008C7455"/>
    <w:rsid w:val="008E09CD"/>
    <w:rsid w:val="008E3120"/>
    <w:rsid w:val="008E559C"/>
    <w:rsid w:val="008E7038"/>
    <w:rsid w:val="008F7DCE"/>
    <w:rsid w:val="0091001A"/>
    <w:rsid w:val="00915EE9"/>
    <w:rsid w:val="00916D25"/>
    <w:rsid w:val="009239E2"/>
    <w:rsid w:val="0092645D"/>
    <w:rsid w:val="00930B8C"/>
    <w:rsid w:val="00933A65"/>
    <w:rsid w:val="00943F94"/>
    <w:rsid w:val="00947CED"/>
    <w:rsid w:val="00952129"/>
    <w:rsid w:val="0095565E"/>
    <w:rsid w:val="00977630"/>
    <w:rsid w:val="00981BA6"/>
    <w:rsid w:val="00983DB9"/>
    <w:rsid w:val="0099129D"/>
    <w:rsid w:val="00991927"/>
    <w:rsid w:val="00993B90"/>
    <w:rsid w:val="009953E0"/>
    <w:rsid w:val="009A21C0"/>
    <w:rsid w:val="009C44BF"/>
    <w:rsid w:val="009C671E"/>
    <w:rsid w:val="009C6C61"/>
    <w:rsid w:val="009D7401"/>
    <w:rsid w:val="00A00818"/>
    <w:rsid w:val="00A00B52"/>
    <w:rsid w:val="00A05249"/>
    <w:rsid w:val="00A10241"/>
    <w:rsid w:val="00A17F7A"/>
    <w:rsid w:val="00A22ED6"/>
    <w:rsid w:val="00A26536"/>
    <w:rsid w:val="00A26CC4"/>
    <w:rsid w:val="00A31B1F"/>
    <w:rsid w:val="00A4034F"/>
    <w:rsid w:val="00A52125"/>
    <w:rsid w:val="00A54050"/>
    <w:rsid w:val="00A675DD"/>
    <w:rsid w:val="00A759CB"/>
    <w:rsid w:val="00A77C7F"/>
    <w:rsid w:val="00A86DE9"/>
    <w:rsid w:val="00A93978"/>
    <w:rsid w:val="00AC10F2"/>
    <w:rsid w:val="00AC3C58"/>
    <w:rsid w:val="00AC7E3A"/>
    <w:rsid w:val="00AC7E54"/>
    <w:rsid w:val="00AE627C"/>
    <w:rsid w:val="00AF238A"/>
    <w:rsid w:val="00AF539C"/>
    <w:rsid w:val="00B010E9"/>
    <w:rsid w:val="00B0160E"/>
    <w:rsid w:val="00B0648E"/>
    <w:rsid w:val="00B24095"/>
    <w:rsid w:val="00B30892"/>
    <w:rsid w:val="00B4346A"/>
    <w:rsid w:val="00B449AD"/>
    <w:rsid w:val="00B534CC"/>
    <w:rsid w:val="00B57B07"/>
    <w:rsid w:val="00B61F0B"/>
    <w:rsid w:val="00B63DF3"/>
    <w:rsid w:val="00B81A9F"/>
    <w:rsid w:val="00B835AB"/>
    <w:rsid w:val="00B84E3E"/>
    <w:rsid w:val="00B92456"/>
    <w:rsid w:val="00B93F1F"/>
    <w:rsid w:val="00B93FA2"/>
    <w:rsid w:val="00BA2380"/>
    <w:rsid w:val="00BA5A63"/>
    <w:rsid w:val="00BB32C5"/>
    <w:rsid w:val="00BB3622"/>
    <w:rsid w:val="00BE0E87"/>
    <w:rsid w:val="00BE2E6D"/>
    <w:rsid w:val="00C01442"/>
    <w:rsid w:val="00C06DA6"/>
    <w:rsid w:val="00C1630F"/>
    <w:rsid w:val="00C22C42"/>
    <w:rsid w:val="00C3350C"/>
    <w:rsid w:val="00C51B58"/>
    <w:rsid w:val="00C56212"/>
    <w:rsid w:val="00C63FA2"/>
    <w:rsid w:val="00C717ED"/>
    <w:rsid w:val="00C810BC"/>
    <w:rsid w:val="00C850E3"/>
    <w:rsid w:val="00C87087"/>
    <w:rsid w:val="00C960A4"/>
    <w:rsid w:val="00CA20E4"/>
    <w:rsid w:val="00CA3FA3"/>
    <w:rsid w:val="00CA4423"/>
    <w:rsid w:val="00CB7FB6"/>
    <w:rsid w:val="00CD76EF"/>
    <w:rsid w:val="00CE0DE6"/>
    <w:rsid w:val="00CE343A"/>
    <w:rsid w:val="00CE5263"/>
    <w:rsid w:val="00CE5615"/>
    <w:rsid w:val="00CE6059"/>
    <w:rsid w:val="00D10605"/>
    <w:rsid w:val="00D178AD"/>
    <w:rsid w:val="00D2361A"/>
    <w:rsid w:val="00D32D59"/>
    <w:rsid w:val="00D5491A"/>
    <w:rsid w:val="00D7361A"/>
    <w:rsid w:val="00D824DD"/>
    <w:rsid w:val="00D934F5"/>
    <w:rsid w:val="00D96942"/>
    <w:rsid w:val="00DA5292"/>
    <w:rsid w:val="00DC2D3D"/>
    <w:rsid w:val="00DC7120"/>
    <w:rsid w:val="00DD72F3"/>
    <w:rsid w:val="00DE1C7B"/>
    <w:rsid w:val="00DE1DFE"/>
    <w:rsid w:val="00DE30E9"/>
    <w:rsid w:val="00DF1601"/>
    <w:rsid w:val="00DF4CE4"/>
    <w:rsid w:val="00DF654B"/>
    <w:rsid w:val="00E05255"/>
    <w:rsid w:val="00E072D5"/>
    <w:rsid w:val="00E12A70"/>
    <w:rsid w:val="00E2637C"/>
    <w:rsid w:val="00E345DB"/>
    <w:rsid w:val="00E34EC3"/>
    <w:rsid w:val="00E50A4F"/>
    <w:rsid w:val="00E523D7"/>
    <w:rsid w:val="00E55BF9"/>
    <w:rsid w:val="00E641AD"/>
    <w:rsid w:val="00E70A9F"/>
    <w:rsid w:val="00E7601A"/>
    <w:rsid w:val="00E84F95"/>
    <w:rsid w:val="00E9199E"/>
    <w:rsid w:val="00E94528"/>
    <w:rsid w:val="00EA6486"/>
    <w:rsid w:val="00EB4651"/>
    <w:rsid w:val="00EB6B5B"/>
    <w:rsid w:val="00EC444A"/>
    <w:rsid w:val="00EC6C79"/>
    <w:rsid w:val="00ED051A"/>
    <w:rsid w:val="00EE52C9"/>
    <w:rsid w:val="00EE6004"/>
    <w:rsid w:val="00EE6A0D"/>
    <w:rsid w:val="00EF1032"/>
    <w:rsid w:val="00EF22BC"/>
    <w:rsid w:val="00F1138F"/>
    <w:rsid w:val="00F16CBE"/>
    <w:rsid w:val="00F35D21"/>
    <w:rsid w:val="00F374AE"/>
    <w:rsid w:val="00F40EA3"/>
    <w:rsid w:val="00F41B9A"/>
    <w:rsid w:val="00F47F23"/>
    <w:rsid w:val="00F62015"/>
    <w:rsid w:val="00F626F5"/>
    <w:rsid w:val="00F668CE"/>
    <w:rsid w:val="00F706AC"/>
    <w:rsid w:val="00F74037"/>
    <w:rsid w:val="00F76CC9"/>
    <w:rsid w:val="00F93930"/>
    <w:rsid w:val="00FD54E3"/>
    <w:rsid w:val="00FD5F3C"/>
    <w:rsid w:val="00FF0944"/>
    <w:rsid w:val="00FF3D12"/>
    <w:rsid w:val="00FF7BC8"/>
    <w:rsid w:val="55CB7039"/>
    <w:rsid w:val="5CB74D3C"/>
    <w:rsid w:val="DFA7F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 (正文 CS 字体)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 (正文 CS 字体)"/>
      <w:kern w:val="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EndNote Bibliography Title"/>
    <w:basedOn w:val="1"/>
    <w:link w:val="6"/>
    <w:qFormat/>
    <w:uiPriority w:val="0"/>
    <w:pPr>
      <w:jc w:val="center"/>
    </w:pPr>
    <w:rPr>
      <w:rFonts w:cs="Times New Roman"/>
    </w:rPr>
  </w:style>
  <w:style w:type="character" w:customStyle="1" w:styleId="6">
    <w:name w:val="EndNote Bibliography Title 字符"/>
    <w:basedOn w:val="3"/>
    <w:link w:val="5"/>
    <w:qFormat/>
    <w:uiPriority w:val="0"/>
    <w:rPr>
      <w:rFonts w:cs="Times New Roman"/>
    </w:rPr>
  </w:style>
  <w:style w:type="paragraph" w:customStyle="1" w:styleId="7">
    <w:name w:val="EndNote Bibliography"/>
    <w:basedOn w:val="1"/>
    <w:link w:val="8"/>
    <w:qFormat/>
    <w:uiPriority w:val="0"/>
    <w:rPr>
      <w:rFonts w:cs="Times New Roman"/>
    </w:rPr>
  </w:style>
  <w:style w:type="character" w:customStyle="1" w:styleId="8">
    <w:name w:val="EndNote Bibliography 字符"/>
    <w:basedOn w:val="3"/>
    <w:link w:val="7"/>
    <w:qFormat/>
    <w:uiPriority w:val="0"/>
    <w:rPr>
      <w:rFonts w:cs="Times New Roman"/>
    </w:rPr>
  </w:style>
  <w:style w:type="character" w:customStyle="1" w:styleId="9">
    <w:name w:val="未处理的提及1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j英文关键词"/>
    <w:basedOn w:val="1"/>
    <w:link w:val="12"/>
    <w:qFormat/>
    <w:uiPriority w:val="0"/>
    <w:pPr>
      <w:snapToGrid w:val="0"/>
      <w:spacing w:before="120" w:after="200" w:line="264" w:lineRule="auto"/>
    </w:pPr>
    <w:rPr>
      <w:rFonts w:eastAsia="方正书宋简体" w:cs="Times New Roman"/>
      <w:snapToGrid w:val="0"/>
      <w:spacing w:val="2"/>
      <w:sz w:val="22"/>
      <w:szCs w:val="19"/>
      <w:lang w:val="zh-CN"/>
    </w:rPr>
  </w:style>
  <w:style w:type="character" w:customStyle="1" w:styleId="12">
    <w:name w:val="j英文关键词 字符"/>
    <w:link w:val="11"/>
    <w:qFormat/>
    <w:uiPriority w:val="0"/>
    <w:rPr>
      <w:rFonts w:eastAsia="方正书宋简体" w:cs="Times New Roman"/>
      <w:snapToGrid w:val="0"/>
      <w:spacing w:val="2"/>
      <w:sz w:val="22"/>
      <w:szCs w:val="19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614</Words>
  <Characters>3832</Characters>
  <Lines>38</Lines>
  <Paragraphs>10</Paragraphs>
  <TotalTime>23</TotalTime>
  <ScaleCrop>false</ScaleCrop>
  <LinksUpToDate>false</LinksUpToDate>
  <CharactersWithSpaces>4220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2024-01-07T21:05:00Z</dcterms:created>
  <dc:creator>saipingqi@163.com</dc:creator>
  <cp:lastModifiedBy>thought思</cp:lastModifiedBy>
  <dcterms:modified xsi:type="dcterms:W3CDTF">2026-02-18T10:32:51Z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E65F71AD396EC55826B8ED6837428EF4</vt:lpwstr>
  </property>
  <property fmtid="{D5CDD505-2E9C-101B-9397-08002B2CF9AE}" pid="4" name="KSOTemplateDocerSaveRecord">
    <vt:lpwstr>eyJoZGlkIjoiMmIzOWFlYzViMDIyM2I5ZTAwOTU0MzUyNDliNTUyZTAiLCJ1c2VySWQiOiI0MDIwNDQ4MzYifQ==</vt:lpwstr>
  </property>
</Properties>
</file>