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5CDCA">
      <w:pPr>
        <w:rPr>
          <w:rFonts w:hint="default" w:ascii="Arial" w:hAnsi="Arial" w:cs="Arial"/>
          <w:b/>
          <w:bCs/>
          <w:sz w:val="20"/>
          <w:szCs w:val="20"/>
        </w:rPr>
      </w:pPr>
    </w:p>
    <w:p w14:paraId="52A38221">
      <w:pPr>
        <w:jc w:val="center"/>
        <w:rPr>
          <w:rFonts w:hint="default" w:ascii="Arial" w:hAnsi="Arial" w:cs="Arial"/>
          <w:b/>
          <w:bCs/>
          <w:sz w:val="40"/>
          <w:szCs w:val="40"/>
        </w:rPr>
      </w:pPr>
      <w:r>
        <w:rPr>
          <w:rFonts w:hint="default" w:ascii="Arial" w:hAnsi="Arial" w:eastAsia="宋体" w:cs="Arial"/>
          <w:b/>
          <w:bCs/>
          <w:sz w:val="40"/>
          <w:szCs w:val="40"/>
        </w:rPr>
        <w:t>Supplementary Material</w:t>
      </w:r>
    </w:p>
    <w:p w14:paraId="2F1E0D47">
      <w:pPr>
        <w:rPr>
          <w:rFonts w:hint="default" w:ascii="Arial" w:hAnsi="Arial" w:cs="Arial"/>
          <w:b/>
          <w:bCs/>
          <w:sz w:val="20"/>
          <w:szCs w:val="20"/>
        </w:rPr>
      </w:pPr>
    </w:p>
    <w:p w14:paraId="275FD70F">
      <w:pPr>
        <w:rPr>
          <w:rFonts w:hint="default" w:ascii="Arial" w:hAnsi="Arial" w:cs="Arial"/>
          <w:b/>
          <w:bCs/>
          <w:sz w:val="20"/>
          <w:szCs w:val="20"/>
        </w:rPr>
      </w:pPr>
    </w:p>
    <w:p w14:paraId="5E640F31">
      <w:pPr>
        <w:rPr>
          <w:rFonts w:hint="default" w:ascii="Arial" w:hAnsi="Arial" w:cs="Arial"/>
          <w:b/>
          <w:bCs/>
          <w:sz w:val="20"/>
          <w:szCs w:val="20"/>
        </w:rPr>
      </w:pPr>
    </w:p>
    <w:p w14:paraId="45298638">
      <w:pPr>
        <w:jc w:val="both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74310" cy="4144010"/>
            <wp:effectExtent l="0" t="0" r="2540" b="8890"/>
            <wp:docPr id="1" name="图片 1" descr="Supplementary Figure 1.Centrality indices of the symptom network in ACS patients post–P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.Centrality indices of the symptom network in ACS patients post–PC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CD07D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Supplementary Figure 1.Centrality indices of the symptom network in ACS patients post–PCI</w:t>
      </w:r>
    </w:p>
    <w:p w14:paraId="102EE616">
      <w:pPr>
        <w:rPr>
          <w:rFonts w:hint="default" w:ascii="Arial" w:hAnsi="Arial" w:cs="Arial"/>
          <w:b/>
          <w:bCs/>
          <w:sz w:val="20"/>
          <w:szCs w:val="20"/>
        </w:rPr>
      </w:pPr>
    </w:p>
    <w:p w14:paraId="3032BFC5">
      <w:pPr>
        <w:rPr>
          <w:rFonts w:hint="default" w:ascii="Arial" w:hAnsi="Arial" w:cs="Arial"/>
          <w:b/>
          <w:bCs/>
          <w:sz w:val="20"/>
          <w:szCs w:val="20"/>
        </w:rPr>
      </w:pPr>
    </w:p>
    <w:p w14:paraId="75F39CFF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74310" cy="3390900"/>
            <wp:effectExtent l="0" t="0" r="2540" b="0"/>
            <wp:docPr id="6" name="图片 6" descr="Supplementary Figure 2.bootstrap_edge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2.bootstrap_edge_C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1B24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Supplementary Figure 2: Bootstrap confidence intervals for edge weights in the symptom network.</w:t>
      </w:r>
    </w:p>
    <w:p w14:paraId="069FA1D7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</w:p>
    <w:p w14:paraId="3AB2AB34">
      <w:pPr>
        <w:rPr>
          <w:rFonts w:hint="default" w:ascii="Arial" w:hAnsi="Arial" w:cs="Arial"/>
          <w:b/>
          <w:bCs/>
          <w:sz w:val="20"/>
          <w:szCs w:val="20"/>
        </w:rPr>
      </w:pPr>
    </w:p>
    <w:p w14:paraId="021EAD6A">
      <w:pPr>
        <w:rPr>
          <w:rFonts w:hint="default" w:ascii="Arial" w:hAnsi="Arial" w:cs="Arial"/>
          <w:b/>
          <w:bCs/>
          <w:sz w:val="20"/>
          <w:szCs w:val="20"/>
        </w:rPr>
      </w:pPr>
    </w:p>
    <w:p w14:paraId="07C642BF">
      <w:pPr>
        <w:jc w:val="center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74310" cy="4395470"/>
            <wp:effectExtent l="0" t="0" r="2540" b="5080"/>
            <wp:docPr id="7" name="图片 7" descr="Supplementary Figure 3.bootstrap_strength_dif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3.bootstrap_strength_differenc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9BE57">
      <w:pPr>
        <w:jc w:val="center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</w:p>
    <w:p w14:paraId="7EC400CD">
      <w:pPr>
        <w:jc w:val="center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t>Supplementary Figure 3: Bootstrap difference test for node strength centrality.</w:t>
      </w:r>
    </w:p>
    <w:p w14:paraId="76BC5551">
      <w:pPr>
        <w:jc w:val="center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</w:p>
    <w:p w14:paraId="07D0D417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73040" cy="3796665"/>
            <wp:effectExtent l="0" t="0" r="3810" b="3810"/>
            <wp:docPr id="8" name="图片 8" descr="Supplementary Figure 4.case_dropping_s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4.case_dropping_stabili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72FF5">
      <w:pPr>
        <w:rPr>
          <w:rFonts w:hint="default" w:ascii="Arial" w:hAnsi="Arial" w:cs="Arial"/>
          <w:b/>
          <w:bCs/>
          <w:sz w:val="20"/>
          <w:szCs w:val="20"/>
        </w:rPr>
      </w:pPr>
    </w:p>
    <w:p w14:paraId="70C74286">
      <w:pPr>
        <w:rPr>
          <w:rFonts w:hint="default" w:ascii="Arial" w:hAnsi="Arial" w:cs="Arial"/>
          <w:b/>
          <w:bCs/>
          <w:sz w:val="20"/>
          <w:szCs w:val="20"/>
        </w:rPr>
      </w:pPr>
    </w:p>
    <w:p w14:paraId="6D16DA7C">
      <w:pPr>
        <w:jc w:val="center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t>Supplementary Figure 4: Case-dropping bootstrap analysis for network stability.</w:t>
      </w:r>
    </w:p>
    <w:p w14:paraId="25C8EAA2">
      <w:pPr>
        <w:jc w:val="both"/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</w:pPr>
    </w:p>
    <w:p w14:paraId="0A63588D">
      <w:pPr>
        <w:rPr>
          <w:rFonts w:hint="default" w:ascii="Arial" w:hAnsi="Arial" w:cs="Arial"/>
          <w:b/>
          <w:bCs/>
          <w:sz w:val="20"/>
          <w:szCs w:val="20"/>
        </w:rPr>
      </w:pPr>
    </w:p>
    <w:p w14:paraId="5A160809">
      <w:pPr>
        <w:rPr>
          <w:rFonts w:hint="default" w:ascii="Arial" w:hAnsi="Arial" w:cs="Arial"/>
          <w:b/>
          <w:bCs/>
          <w:sz w:val="20"/>
          <w:szCs w:val="20"/>
        </w:rPr>
      </w:pPr>
    </w:p>
    <w:p w14:paraId="471C8D6F">
      <w:pPr>
        <w:rPr>
          <w:rFonts w:hint="default" w:ascii="Arial" w:hAnsi="Arial" w:cs="Arial"/>
          <w:b/>
          <w:bCs/>
          <w:sz w:val="20"/>
          <w:szCs w:val="20"/>
        </w:rPr>
      </w:pPr>
    </w:p>
    <w:p w14:paraId="6333C956">
      <w:pPr>
        <w:rPr>
          <w:rFonts w:hint="default" w:ascii="Arial" w:hAnsi="Arial" w:cs="Arial"/>
          <w:b/>
          <w:bCs/>
          <w:sz w:val="20"/>
          <w:szCs w:val="20"/>
        </w:rPr>
      </w:pPr>
    </w:p>
    <w:p w14:paraId="7F2BEB5F">
      <w:pPr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5266690" cy="4114800"/>
            <wp:effectExtent l="0" t="0" r="635" b="0"/>
            <wp:docPr id="9" name="图片 9" descr="Supplementary Figure 5.edge_weight_differ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5.edge_weight_differen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60DB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</w:p>
    <w:p w14:paraId="2DA2B12A"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Supplementary Figure 5: Edge-weight difference test in the symptom network.</w:t>
      </w:r>
    </w:p>
    <w:p w14:paraId="133BF250">
      <w:pPr>
        <w:rPr>
          <w:rFonts w:hint="default" w:ascii="Arial" w:hAnsi="Arial" w:cs="Arial"/>
          <w:b/>
          <w:bCs/>
          <w:sz w:val="20"/>
          <w:szCs w:val="20"/>
        </w:rPr>
      </w:pPr>
    </w:p>
    <w:p w14:paraId="154E5EA7">
      <w:pPr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Supplementary Table 1: Partial correlations (edge weights) among post-PCI symptoms in ACS patients.</w:t>
      </w:r>
    </w:p>
    <w:tbl>
      <w:tblPr>
        <w:tblStyle w:val="15"/>
        <w:tblW w:w="9639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4"/>
        <w:gridCol w:w="756"/>
        <w:gridCol w:w="851"/>
        <w:gridCol w:w="708"/>
        <w:gridCol w:w="993"/>
        <w:gridCol w:w="992"/>
        <w:gridCol w:w="709"/>
        <w:gridCol w:w="850"/>
        <w:gridCol w:w="709"/>
        <w:gridCol w:w="1417"/>
      </w:tblGrid>
      <w:tr w14:paraId="6A9F04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  <w:jc w:val="center"/>
        </w:trPr>
        <w:tc>
          <w:tcPr>
            <w:tcW w:w="160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71C041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 xml:space="preserve">Symptom </w:t>
            </w:r>
          </w:p>
        </w:tc>
        <w:tc>
          <w:tcPr>
            <w:tcW w:w="72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8D5A63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Chest pain</w:t>
            </w:r>
          </w:p>
        </w:tc>
        <w:tc>
          <w:tcPr>
            <w:tcW w:w="8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7559CB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Shortness of breath</w:t>
            </w:r>
          </w:p>
        </w:tc>
        <w:tc>
          <w:tcPr>
            <w:tcW w:w="6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A69D61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Fatigue</w:t>
            </w:r>
          </w:p>
        </w:tc>
        <w:tc>
          <w:tcPr>
            <w:tcW w:w="96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946563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Depression</w:t>
            </w:r>
          </w:p>
        </w:tc>
        <w:tc>
          <w:tcPr>
            <w:tcW w:w="96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66687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Sleep disturbance</w:t>
            </w:r>
          </w:p>
        </w:tc>
        <w:tc>
          <w:tcPr>
            <w:tcW w:w="67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C2EAC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Access-site pain</w:t>
            </w:r>
          </w:p>
        </w:tc>
        <w:tc>
          <w:tcPr>
            <w:tcW w:w="82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1B4F79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Chest tightness</w:t>
            </w:r>
          </w:p>
        </w:tc>
        <w:tc>
          <w:tcPr>
            <w:tcW w:w="67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68BDB0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Anxiety</w:t>
            </w:r>
          </w:p>
        </w:tc>
        <w:tc>
          <w:tcPr>
            <w:tcW w:w="137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E5FC1E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Poor appetite</w:t>
            </w:r>
          </w:p>
        </w:tc>
      </w:tr>
      <w:tr w14:paraId="2B200D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7178A78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Chest pain</w:t>
            </w:r>
          </w:p>
        </w:tc>
        <w:tc>
          <w:tcPr>
            <w:tcW w:w="726" w:type="dxa"/>
            <w:vAlign w:val="center"/>
          </w:tcPr>
          <w:p w14:paraId="3CBFC42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14:paraId="23D4EB6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3A57A31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3" w:type="dxa"/>
            <w:vAlign w:val="center"/>
          </w:tcPr>
          <w:p w14:paraId="4F18669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0.011</w:t>
            </w:r>
          </w:p>
        </w:tc>
        <w:tc>
          <w:tcPr>
            <w:tcW w:w="962" w:type="dxa"/>
            <w:vAlign w:val="center"/>
          </w:tcPr>
          <w:p w14:paraId="7623D83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0.044</w:t>
            </w:r>
          </w:p>
        </w:tc>
        <w:tc>
          <w:tcPr>
            <w:tcW w:w="679" w:type="dxa"/>
            <w:vAlign w:val="center"/>
          </w:tcPr>
          <w:p w14:paraId="582B76E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167D2E3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0.283</w:t>
            </w:r>
          </w:p>
        </w:tc>
        <w:tc>
          <w:tcPr>
            <w:tcW w:w="679" w:type="dxa"/>
            <w:vAlign w:val="center"/>
          </w:tcPr>
          <w:p w14:paraId="5B62096E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0.028</w:t>
            </w:r>
          </w:p>
        </w:tc>
        <w:tc>
          <w:tcPr>
            <w:tcW w:w="1372" w:type="dxa"/>
            <w:vAlign w:val="center"/>
          </w:tcPr>
          <w:p w14:paraId="5B10B5E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0.029</w:t>
            </w:r>
          </w:p>
        </w:tc>
      </w:tr>
      <w:tr w14:paraId="37FE69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07AC2D4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Shortness of breath</w:t>
            </w:r>
          </w:p>
        </w:tc>
        <w:tc>
          <w:tcPr>
            <w:tcW w:w="726" w:type="dxa"/>
            <w:vAlign w:val="center"/>
          </w:tcPr>
          <w:p w14:paraId="7350D30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14:paraId="7EBBB6A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025A6D00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0.287</w:t>
            </w:r>
          </w:p>
        </w:tc>
        <w:tc>
          <w:tcPr>
            <w:tcW w:w="963" w:type="dxa"/>
            <w:vAlign w:val="center"/>
          </w:tcPr>
          <w:p w14:paraId="62144E1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2" w:type="dxa"/>
            <w:vAlign w:val="center"/>
          </w:tcPr>
          <w:p w14:paraId="4005F32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3F4DDB4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28E166BE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0.166</w:t>
            </w:r>
          </w:p>
        </w:tc>
        <w:tc>
          <w:tcPr>
            <w:tcW w:w="679" w:type="dxa"/>
            <w:vAlign w:val="center"/>
          </w:tcPr>
          <w:p w14:paraId="6A2F52D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vAlign w:val="center"/>
          </w:tcPr>
          <w:p w14:paraId="348A4824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0.037</w:t>
            </w:r>
          </w:p>
        </w:tc>
      </w:tr>
      <w:tr w14:paraId="46286B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362F3200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Fatigue</w:t>
            </w:r>
          </w:p>
        </w:tc>
        <w:tc>
          <w:tcPr>
            <w:tcW w:w="726" w:type="dxa"/>
            <w:vAlign w:val="center"/>
          </w:tcPr>
          <w:p w14:paraId="4B9DFC1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14:paraId="06DE0E1A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0.287</w:t>
            </w:r>
          </w:p>
        </w:tc>
        <w:tc>
          <w:tcPr>
            <w:tcW w:w="678" w:type="dxa"/>
            <w:vAlign w:val="center"/>
          </w:tcPr>
          <w:p w14:paraId="0FCFB0F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3" w:type="dxa"/>
            <w:vAlign w:val="center"/>
          </w:tcPr>
          <w:p w14:paraId="2DC401EA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0.102</w:t>
            </w:r>
          </w:p>
        </w:tc>
        <w:tc>
          <w:tcPr>
            <w:tcW w:w="962" w:type="dxa"/>
            <w:vAlign w:val="center"/>
          </w:tcPr>
          <w:p w14:paraId="538A4B3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0.119</w:t>
            </w:r>
          </w:p>
        </w:tc>
        <w:tc>
          <w:tcPr>
            <w:tcW w:w="679" w:type="dxa"/>
            <w:vAlign w:val="center"/>
          </w:tcPr>
          <w:p w14:paraId="7B747BAE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3EB9C855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7847441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0.237</w:t>
            </w:r>
          </w:p>
        </w:tc>
        <w:tc>
          <w:tcPr>
            <w:tcW w:w="1372" w:type="dxa"/>
            <w:vAlign w:val="center"/>
          </w:tcPr>
          <w:p w14:paraId="610CE134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0.022</w:t>
            </w:r>
          </w:p>
        </w:tc>
      </w:tr>
      <w:tr w14:paraId="74BB12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17B5838A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Depression</w:t>
            </w:r>
          </w:p>
        </w:tc>
        <w:tc>
          <w:tcPr>
            <w:tcW w:w="726" w:type="dxa"/>
            <w:vAlign w:val="center"/>
          </w:tcPr>
          <w:p w14:paraId="2983F144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0.011</w:t>
            </w:r>
          </w:p>
        </w:tc>
        <w:tc>
          <w:tcPr>
            <w:tcW w:w="821" w:type="dxa"/>
            <w:vAlign w:val="center"/>
          </w:tcPr>
          <w:p w14:paraId="45CB9705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2E6D621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0.102</w:t>
            </w:r>
          </w:p>
        </w:tc>
        <w:tc>
          <w:tcPr>
            <w:tcW w:w="963" w:type="dxa"/>
            <w:vAlign w:val="center"/>
          </w:tcPr>
          <w:p w14:paraId="355842C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2" w:type="dxa"/>
            <w:vAlign w:val="center"/>
          </w:tcPr>
          <w:p w14:paraId="160697E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0.24</w:t>
            </w:r>
          </w:p>
        </w:tc>
        <w:tc>
          <w:tcPr>
            <w:tcW w:w="679" w:type="dxa"/>
            <w:vAlign w:val="center"/>
          </w:tcPr>
          <w:p w14:paraId="15FE109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4ECF805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097B83BE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0.454</w:t>
            </w:r>
          </w:p>
        </w:tc>
        <w:tc>
          <w:tcPr>
            <w:tcW w:w="1372" w:type="dxa"/>
            <w:vAlign w:val="center"/>
          </w:tcPr>
          <w:p w14:paraId="6279C65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0.079</w:t>
            </w:r>
          </w:p>
        </w:tc>
      </w:tr>
      <w:tr w14:paraId="157BF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47B8443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Sleep disturbance</w:t>
            </w:r>
          </w:p>
        </w:tc>
        <w:tc>
          <w:tcPr>
            <w:tcW w:w="726" w:type="dxa"/>
            <w:vAlign w:val="center"/>
          </w:tcPr>
          <w:p w14:paraId="031DF4E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0.044</w:t>
            </w:r>
          </w:p>
        </w:tc>
        <w:tc>
          <w:tcPr>
            <w:tcW w:w="821" w:type="dxa"/>
            <w:vAlign w:val="center"/>
          </w:tcPr>
          <w:p w14:paraId="2F48421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021C4AD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0.119</w:t>
            </w:r>
          </w:p>
        </w:tc>
        <w:tc>
          <w:tcPr>
            <w:tcW w:w="963" w:type="dxa"/>
            <w:vAlign w:val="center"/>
          </w:tcPr>
          <w:p w14:paraId="12700CD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0.24</w:t>
            </w:r>
          </w:p>
        </w:tc>
        <w:tc>
          <w:tcPr>
            <w:tcW w:w="962" w:type="dxa"/>
            <w:vAlign w:val="center"/>
          </w:tcPr>
          <w:p w14:paraId="6FA8B1A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35B42A9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5BD28AF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0.041</w:t>
            </w:r>
          </w:p>
        </w:tc>
        <w:tc>
          <w:tcPr>
            <w:tcW w:w="679" w:type="dxa"/>
            <w:vAlign w:val="center"/>
          </w:tcPr>
          <w:p w14:paraId="3729203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vAlign w:val="center"/>
          </w:tcPr>
          <w:p w14:paraId="3FC5773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0.212</w:t>
            </w:r>
          </w:p>
        </w:tc>
      </w:tr>
      <w:tr w14:paraId="52703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4F5D5D0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Access-site pain</w:t>
            </w:r>
          </w:p>
        </w:tc>
        <w:tc>
          <w:tcPr>
            <w:tcW w:w="726" w:type="dxa"/>
            <w:vAlign w:val="center"/>
          </w:tcPr>
          <w:p w14:paraId="4BC5D3E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1" w:type="dxa"/>
            <w:vAlign w:val="center"/>
          </w:tcPr>
          <w:p w14:paraId="7F5FAF1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14CC111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3" w:type="dxa"/>
            <w:vAlign w:val="center"/>
          </w:tcPr>
          <w:p w14:paraId="73B7969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2" w:type="dxa"/>
            <w:vAlign w:val="center"/>
          </w:tcPr>
          <w:p w14:paraId="6519CBEA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29B0C9E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7E3F0426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528F2675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vAlign w:val="center"/>
          </w:tcPr>
          <w:p w14:paraId="58C32BB2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0.076</w:t>
            </w:r>
          </w:p>
        </w:tc>
      </w:tr>
      <w:tr w14:paraId="4F633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3660D4B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Chest tightness</w:t>
            </w:r>
          </w:p>
        </w:tc>
        <w:tc>
          <w:tcPr>
            <w:tcW w:w="726" w:type="dxa"/>
            <w:vAlign w:val="center"/>
          </w:tcPr>
          <w:p w14:paraId="3BCE80B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0.283</w:t>
            </w:r>
          </w:p>
        </w:tc>
        <w:tc>
          <w:tcPr>
            <w:tcW w:w="821" w:type="dxa"/>
            <w:vAlign w:val="center"/>
          </w:tcPr>
          <w:p w14:paraId="7C2E05A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0.166</w:t>
            </w:r>
          </w:p>
        </w:tc>
        <w:tc>
          <w:tcPr>
            <w:tcW w:w="678" w:type="dxa"/>
            <w:vAlign w:val="center"/>
          </w:tcPr>
          <w:p w14:paraId="0C9C224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3" w:type="dxa"/>
            <w:vAlign w:val="center"/>
          </w:tcPr>
          <w:p w14:paraId="5CDBB743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62" w:type="dxa"/>
            <w:vAlign w:val="center"/>
          </w:tcPr>
          <w:p w14:paraId="74126B64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0.041</w:t>
            </w:r>
          </w:p>
        </w:tc>
        <w:tc>
          <w:tcPr>
            <w:tcW w:w="679" w:type="dxa"/>
            <w:vAlign w:val="center"/>
          </w:tcPr>
          <w:p w14:paraId="01AEC44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28ADAA3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2968F86D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vAlign w:val="center"/>
          </w:tcPr>
          <w:p w14:paraId="3B0F274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0.046</w:t>
            </w:r>
          </w:p>
        </w:tc>
      </w:tr>
      <w:tr w14:paraId="7BF0B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vAlign w:val="center"/>
          </w:tcPr>
          <w:p w14:paraId="2D21E0B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Anxiety</w:t>
            </w:r>
          </w:p>
        </w:tc>
        <w:tc>
          <w:tcPr>
            <w:tcW w:w="726" w:type="dxa"/>
            <w:vAlign w:val="center"/>
          </w:tcPr>
          <w:p w14:paraId="07B6B9CE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0.028</w:t>
            </w:r>
          </w:p>
        </w:tc>
        <w:tc>
          <w:tcPr>
            <w:tcW w:w="821" w:type="dxa"/>
            <w:vAlign w:val="center"/>
          </w:tcPr>
          <w:p w14:paraId="0802C7D7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8" w:type="dxa"/>
            <w:vAlign w:val="center"/>
          </w:tcPr>
          <w:p w14:paraId="6DB938D4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0.237</w:t>
            </w:r>
          </w:p>
        </w:tc>
        <w:tc>
          <w:tcPr>
            <w:tcW w:w="963" w:type="dxa"/>
            <w:vAlign w:val="center"/>
          </w:tcPr>
          <w:p w14:paraId="75C5FFEB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0.454</w:t>
            </w:r>
          </w:p>
        </w:tc>
        <w:tc>
          <w:tcPr>
            <w:tcW w:w="962" w:type="dxa"/>
            <w:vAlign w:val="center"/>
          </w:tcPr>
          <w:p w14:paraId="47F7D195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09301AA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20" w:type="dxa"/>
            <w:vAlign w:val="center"/>
          </w:tcPr>
          <w:p w14:paraId="157BEE4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679" w:type="dxa"/>
            <w:vAlign w:val="center"/>
          </w:tcPr>
          <w:p w14:paraId="4E712A0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vAlign w:val="center"/>
          </w:tcPr>
          <w:p w14:paraId="666641A1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0.056</w:t>
            </w:r>
          </w:p>
        </w:tc>
      </w:tr>
      <w:tr w14:paraId="45EA7D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09" w:type="dxa"/>
            <w:tcBorders>
              <w:bottom w:val="single" w:color="auto" w:sz="12" w:space="0"/>
            </w:tcBorders>
            <w:vAlign w:val="center"/>
          </w:tcPr>
          <w:p w14:paraId="5DAA00F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Poor appetite</w:t>
            </w:r>
          </w:p>
        </w:tc>
        <w:tc>
          <w:tcPr>
            <w:tcW w:w="726" w:type="dxa"/>
            <w:tcBorders>
              <w:bottom w:val="single" w:color="auto" w:sz="12" w:space="0"/>
            </w:tcBorders>
            <w:vAlign w:val="center"/>
          </w:tcPr>
          <w:p w14:paraId="5DF429FF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0.029</w:t>
            </w:r>
          </w:p>
        </w:tc>
        <w:tc>
          <w:tcPr>
            <w:tcW w:w="821" w:type="dxa"/>
            <w:tcBorders>
              <w:bottom w:val="single" w:color="auto" w:sz="12" w:space="0"/>
            </w:tcBorders>
            <w:vAlign w:val="center"/>
          </w:tcPr>
          <w:p w14:paraId="7AFBF7C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0.037</w:t>
            </w:r>
          </w:p>
        </w:tc>
        <w:tc>
          <w:tcPr>
            <w:tcW w:w="678" w:type="dxa"/>
            <w:tcBorders>
              <w:bottom w:val="single" w:color="auto" w:sz="12" w:space="0"/>
            </w:tcBorders>
            <w:vAlign w:val="center"/>
          </w:tcPr>
          <w:p w14:paraId="2F5E36FC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0.022</w:t>
            </w:r>
          </w:p>
        </w:tc>
        <w:tc>
          <w:tcPr>
            <w:tcW w:w="963" w:type="dxa"/>
            <w:tcBorders>
              <w:bottom w:val="single" w:color="auto" w:sz="12" w:space="0"/>
            </w:tcBorders>
            <w:vAlign w:val="center"/>
          </w:tcPr>
          <w:p w14:paraId="4C702E59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0.079</w:t>
            </w:r>
          </w:p>
        </w:tc>
        <w:tc>
          <w:tcPr>
            <w:tcW w:w="962" w:type="dxa"/>
            <w:tcBorders>
              <w:bottom w:val="single" w:color="auto" w:sz="12" w:space="0"/>
            </w:tcBorders>
            <w:vAlign w:val="center"/>
          </w:tcPr>
          <w:p w14:paraId="06AEED25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0.212</w:t>
            </w:r>
          </w:p>
        </w:tc>
        <w:tc>
          <w:tcPr>
            <w:tcW w:w="679" w:type="dxa"/>
            <w:tcBorders>
              <w:bottom w:val="single" w:color="auto" w:sz="12" w:space="0"/>
            </w:tcBorders>
            <w:vAlign w:val="center"/>
          </w:tcPr>
          <w:p w14:paraId="7FCC4BA0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0.076</w:t>
            </w:r>
          </w:p>
        </w:tc>
        <w:tc>
          <w:tcPr>
            <w:tcW w:w="820" w:type="dxa"/>
            <w:tcBorders>
              <w:bottom w:val="single" w:color="auto" w:sz="12" w:space="0"/>
            </w:tcBorders>
            <w:vAlign w:val="center"/>
          </w:tcPr>
          <w:p w14:paraId="5B7E3940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0.046</w:t>
            </w:r>
          </w:p>
        </w:tc>
        <w:tc>
          <w:tcPr>
            <w:tcW w:w="679" w:type="dxa"/>
            <w:tcBorders>
              <w:bottom w:val="single" w:color="auto" w:sz="12" w:space="0"/>
            </w:tcBorders>
            <w:vAlign w:val="center"/>
          </w:tcPr>
          <w:p w14:paraId="14673D78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0.056</w:t>
            </w:r>
          </w:p>
        </w:tc>
        <w:tc>
          <w:tcPr>
            <w:tcW w:w="1372" w:type="dxa"/>
            <w:tcBorders>
              <w:bottom w:val="single" w:color="auto" w:sz="12" w:space="0"/>
            </w:tcBorders>
            <w:vAlign w:val="center"/>
          </w:tcPr>
          <w:p w14:paraId="57ADE9AD">
            <w:pP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0</w:t>
            </w:r>
          </w:p>
        </w:tc>
      </w:tr>
    </w:tbl>
    <w:p w14:paraId="4FE9B150">
      <w:pPr>
        <w:rPr>
          <w:rFonts w:hint="default" w:ascii="Arial" w:hAnsi="Arial" w:cs="Arial"/>
          <w:b w:val="0"/>
          <w:bCs w:val="0"/>
          <w:sz w:val="20"/>
          <w:szCs w:val="20"/>
        </w:rPr>
      </w:pPr>
      <w:r>
        <w:rPr>
          <w:rFonts w:hint="default" w:ascii="Arial" w:hAnsi="Arial" w:cs="Arial"/>
          <w:b w:val="0"/>
          <w:bCs w:val="0"/>
          <w:sz w:val="20"/>
          <w:szCs w:val="20"/>
        </w:rPr>
        <w:t>Note: Values represent partial correlation coefficients (edge weights) between symptoms. Higher absolute values indicate stronger associations.</w:t>
      </w:r>
    </w:p>
    <w:p w14:paraId="56D3572C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</w:p>
    <w:p w14:paraId="3D4FBEB7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  <w:bookmarkStart w:id="0" w:name="_GoBack"/>
      <w:bookmarkEnd w:id="0"/>
    </w:p>
    <w:p w14:paraId="17CADD1D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</w:p>
    <w:p w14:paraId="40C99B63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</w:p>
    <w:p w14:paraId="6FAEF3A2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</w:p>
    <w:p w14:paraId="7591F9D3">
      <w:pPr>
        <w:rPr>
          <w:rFonts w:hint="default" w:ascii="Arial" w:hAnsi="Arial" w:cs="Arial" w:eastAsiaTheme="minorEastAsia"/>
          <w:b/>
          <w:bCs/>
          <w:sz w:val="20"/>
          <w:szCs w:val="20"/>
          <w:lang w:val="en-US" w:eastAsia="zh-CN"/>
        </w:rPr>
      </w:pPr>
    </w:p>
    <w:p w14:paraId="011475F0">
      <w:pPr>
        <w:tabs>
          <w:tab w:val="left" w:pos="2567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mYmVhMGQ2YWQwOTc0ZDFkYmVkZTE0NzFkNThlYzIifQ=="/>
  </w:docVars>
  <w:rsids>
    <w:rsidRoot w:val="00C473B5"/>
    <w:rsid w:val="00063192"/>
    <w:rsid w:val="002A0651"/>
    <w:rsid w:val="0054418B"/>
    <w:rsid w:val="006063EA"/>
    <w:rsid w:val="006F6AE0"/>
    <w:rsid w:val="007627DD"/>
    <w:rsid w:val="00805DEE"/>
    <w:rsid w:val="0091645E"/>
    <w:rsid w:val="009B0A0E"/>
    <w:rsid w:val="00A636A5"/>
    <w:rsid w:val="00A81464"/>
    <w:rsid w:val="00B045CF"/>
    <w:rsid w:val="00BD5B46"/>
    <w:rsid w:val="00C03C2F"/>
    <w:rsid w:val="00C10E76"/>
    <w:rsid w:val="00C473B5"/>
    <w:rsid w:val="00C874F4"/>
    <w:rsid w:val="00E231CA"/>
    <w:rsid w:val="00E34BB5"/>
    <w:rsid w:val="00E42965"/>
    <w:rsid w:val="00E65C47"/>
    <w:rsid w:val="00EC442E"/>
    <w:rsid w:val="00FA26D4"/>
    <w:rsid w:val="00FF6278"/>
    <w:rsid w:val="01962A84"/>
    <w:rsid w:val="1C0B79A7"/>
    <w:rsid w:val="40DD25B3"/>
    <w:rsid w:val="41C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199</Words>
  <Characters>1064</Characters>
  <Lines>5</Lines>
  <Paragraphs>1</Paragraphs>
  <TotalTime>6</TotalTime>
  <ScaleCrop>false</ScaleCrop>
  <LinksUpToDate>false</LinksUpToDate>
  <CharactersWithSpaces>1156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2025-12-20T09:35:00Z</dcterms:created>
  <dc:creator>重医附二院</dc:creator>
  <cp:lastModifiedBy>螃蟹</cp:lastModifiedBy>
  <dcterms:modified xsi:type="dcterms:W3CDTF">2026-03-06T10:39:07Z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CB8BEA09234D4ACEB3AAE050040F3CF1_12</vt:lpwstr>
  </property>
</Properties>
</file>