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FCAE" w14:textId="689A7997" w:rsidR="00160245" w:rsidRDefault="00000000">
      <w:pPr>
        <w:jc w:val="center"/>
      </w:pPr>
      <w:r>
        <w:rPr>
          <w:b/>
          <w:sz w:val="28"/>
        </w:rPr>
        <w:t xml:space="preserve">CARE (CAse REport) Checklist </w:t>
      </w:r>
    </w:p>
    <w:p w14:paraId="77D2820A" w14:textId="77777777" w:rsidR="00160245" w:rsidRDefault="00000000">
      <w:r>
        <w:t>Manuscript title: Chronic Mycobacterium kansasii Pleural Infection Mimicking Metastatic Breast Cancer: A Seven-Year Diagnostic Odyssey and the Critical Role of Metagenomic Sequencing</w:t>
      </w:r>
    </w:p>
    <w:p w14:paraId="61D3A9E0" w14:textId="77777777" w:rsidR="00160245" w:rsidRDefault="00000000">
      <w:r>
        <w:t>Manuscript type: Case report</w:t>
      </w:r>
    </w:p>
    <w:p w14:paraId="1028D41D" w14:textId="77777777" w:rsidR="00160245" w:rsidRDefault="00000000">
      <w:r>
        <w:t>Journal: Current Medical Research and Opinion (planned submission)</w:t>
      </w:r>
    </w:p>
    <w:p w14:paraId="095E18EE" w14:textId="77777777" w:rsidR="00160245" w:rsidRDefault="00000000">
      <w:r>
        <w:t>Version date: 30 Aug 2025</w:t>
      </w:r>
    </w:p>
    <w:p w14:paraId="79EF255E" w14:textId="2F836EC9" w:rsidR="00160245" w:rsidRDefault="00000000">
      <w:r>
        <w:t>This checklist is completed in accordance with the CARE reporting guideline.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60245" w14:paraId="69C615A5" w14:textId="77777777">
        <w:tc>
          <w:tcPr>
            <w:tcW w:w="2880" w:type="dxa"/>
          </w:tcPr>
          <w:p w14:paraId="66798F37" w14:textId="77777777" w:rsidR="00160245" w:rsidRDefault="00000000">
            <w:r>
              <w:rPr>
                <w:b/>
              </w:rPr>
              <w:t>CARE Item</w:t>
            </w:r>
          </w:p>
        </w:tc>
        <w:tc>
          <w:tcPr>
            <w:tcW w:w="2880" w:type="dxa"/>
          </w:tcPr>
          <w:p w14:paraId="60782BC9" w14:textId="77777777" w:rsidR="00160245" w:rsidRDefault="00000000">
            <w:r>
              <w:rPr>
                <w:b/>
              </w:rPr>
              <w:t>Requirement (brief)</w:t>
            </w:r>
          </w:p>
        </w:tc>
        <w:tc>
          <w:tcPr>
            <w:tcW w:w="2880" w:type="dxa"/>
          </w:tcPr>
          <w:p w14:paraId="7D34B30E" w14:textId="77777777" w:rsidR="00160245" w:rsidRDefault="00000000">
            <w:r>
              <w:rPr>
                <w:b/>
              </w:rPr>
              <w:t>Where reported in manuscript</w:t>
            </w:r>
          </w:p>
        </w:tc>
      </w:tr>
      <w:tr w:rsidR="00160245" w14:paraId="26674AEB" w14:textId="77777777">
        <w:tc>
          <w:tcPr>
            <w:tcW w:w="2880" w:type="dxa"/>
          </w:tcPr>
          <w:p w14:paraId="6F395AFE" w14:textId="77777777" w:rsidR="00160245" w:rsidRDefault="00000000">
            <w:r>
              <w:t>Title</w:t>
            </w:r>
          </w:p>
        </w:tc>
        <w:tc>
          <w:tcPr>
            <w:tcW w:w="2880" w:type="dxa"/>
          </w:tcPr>
          <w:p w14:paraId="0664AC60" w14:textId="77777777" w:rsidR="00160245" w:rsidRDefault="00000000">
            <w:r>
              <w:t>Identifies the work as a case report; phenomenon of interest</w:t>
            </w:r>
          </w:p>
        </w:tc>
        <w:tc>
          <w:tcPr>
            <w:tcW w:w="2880" w:type="dxa"/>
          </w:tcPr>
          <w:p w14:paraId="5F359A24" w14:textId="77777777" w:rsidR="00160245" w:rsidRDefault="00000000">
            <w:r>
              <w:t>Title page</w:t>
            </w:r>
          </w:p>
        </w:tc>
      </w:tr>
      <w:tr w:rsidR="00160245" w14:paraId="1625B899" w14:textId="77777777">
        <w:tc>
          <w:tcPr>
            <w:tcW w:w="2880" w:type="dxa"/>
          </w:tcPr>
          <w:p w14:paraId="63B1EC2A" w14:textId="77777777" w:rsidR="00160245" w:rsidRDefault="00000000">
            <w:r>
              <w:t>Keywords</w:t>
            </w:r>
          </w:p>
        </w:tc>
        <w:tc>
          <w:tcPr>
            <w:tcW w:w="2880" w:type="dxa"/>
          </w:tcPr>
          <w:p w14:paraId="3BBDFC72" w14:textId="77777777" w:rsidR="00160245" w:rsidRDefault="00000000">
            <w:r>
              <w:t>2–8 key words (preferably MeSH)</w:t>
            </w:r>
          </w:p>
        </w:tc>
        <w:tc>
          <w:tcPr>
            <w:tcW w:w="2880" w:type="dxa"/>
          </w:tcPr>
          <w:p w14:paraId="028A7E8E" w14:textId="77777777" w:rsidR="00160245" w:rsidRDefault="00000000">
            <w:r>
              <w:t>Keywords (MeSH standardized)</w:t>
            </w:r>
          </w:p>
        </w:tc>
      </w:tr>
      <w:tr w:rsidR="00160245" w14:paraId="6146487F" w14:textId="77777777">
        <w:tc>
          <w:tcPr>
            <w:tcW w:w="2880" w:type="dxa"/>
          </w:tcPr>
          <w:p w14:paraId="4027831A" w14:textId="77777777" w:rsidR="00160245" w:rsidRDefault="00000000">
            <w:r>
              <w:t>Abstract</w:t>
            </w:r>
          </w:p>
        </w:tc>
        <w:tc>
          <w:tcPr>
            <w:tcW w:w="2880" w:type="dxa"/>
          </w:tcPr>
          <w:p w14:paraId="46DD4BCB" w14:textId="77777777" w:rsidR="00160245" w:rsidRDefault="00000000">
            <w:r>
              <w:t>Structured abstract: Introduction; Case report; Conclusion; ≤250 words</w:t>
            </w:r>
          </w:p>
        </w:tc>
        <w:tc>
          <w:tcPr>
            <w:tcW w:w="2880" w:type="dxa"/>
          </w:tcPr>
          <w:p w14:paraId="32B1924C" w14:textId="77777777" w:rsidR="00160245" w:rsidRDefault="00000000">
            <w:r>
              <w:t>Abstract (structured; ≤250 words)</w:t>
            </w:r>
          </w:p>
        </w:tc>
      </w:tr>
      <w:tr w:rsidR="00160245" w14:paraId="1E1FAFC1" w14:textId="77777777">
        <w:tc>
          <w:tcPr>
            <w:tcW w:w="2880" w:type="dxa"/>
          </w:tcPr>
          <w:p w14:paraId="605816A3" w14:textId="77777777" w:rsidR="00160245" w:rsidRDefault="00000000">
            <w:r>
              <w:t>Introduction</w:t>
            </w:r>
          </w:p>
        </w:tc>
        <w:tc>
          <w:tcPr>
            <w:tcW w:w="2880" w:type="dxa"/>
          </w:tcPr>
          <w:p w14:paraId="2E6957A3" w14:textId="77777777" w:rsidR="00160245" w:rsidRDefault="00000000">
            <w:r>
              <w:t>Brief background and rationale</w:t>
            </w:r>
          </w:p>
        </w:tc>
        <w:tc>
          <w:tcPr>
            <w:tcW w:w="2880" w:type="dxa"/>
          </w:tcPr>
          <w:p w14:paraId="1A53DBB0" w14:textId="77777777" w:rsidR="00160245" w:rsidRDefault="00000000">
            <w:r>
              <w:t>Introduction</w:t>
            </w:r>
          </w:p>
        </w:tc>
      </w:tr>
      <w:tr w:rsidR="00160245" w14:paraId="00964CEC" w14:textId="77777777">
        <w:tc>
          <w:tcPr>
            <w:tcW w:w="2880" w:type="dxa"/>
          </w:tcPr>
          <w:p w14:paraId="40A63729" w14:textId="77777777" w:rsidR="00160245" w:rsidRDefault="00000000">
            <w:r>
              <w:t>Patient information</w:t>
            </w:r>
          </w:p>
        </w:tc>
        <w:tc>
          <w:tcPr>
            <w:tcW w:w="2880" w:type="dxa"/>
          </w:tcPr>
          <w:p w14:paraId="439EF4A3" w14:textId="77777777" w:rsidR="00160245" w:rsidRDefault="00000000">
            <w:r>
              <w:t>De‑identified demographics; relevant medical history</w:t>
            </w:r>
          </w:p>
        </w:tc>
        <w:tc>
          <w:tcPr>
            <w:tcW w:w="2880" w:type="dxa"/>
          </w:tcPr>
          <w:p w14:paraId="441BFBC3" w14:textId="77777777" w:rsidR="00160245" w:rsidRDefault="00000000">
            <w:r>
              <w:t>Case report (first paragraphs)</w:t>
            </w:r>
          </w:p>
        </w:tc>
      </w:tr>
      <w:tr w:rsidR="00160245" w14:paraId="50245D36" w14:textId="77777777">
        <w:tc>
          <w:tcPr>
            <w:tcW w:w="2880" w:type="dxa"/>
          </w:tcPr>
          <w:p w14:paraId="2111AE7C" w14:textId="77777777" w:rsidR="00160245" w:rsidRDefault="00000000">
            <w:r>
              <w:t>Clinical findings</w:t>
            </w:r>
          </w:p>
        </w:tc>
        <w:tc>
          <w:tcPr>
            <w:tcW w:w="2880" w:type="dxa"/>
          </w:tcPr>
          <w:p w14:paraId="3E5FA018" w14:textId="77777777" w:rsidR="00160245" w:rsidRDefault="00000000">
            <w:r>
              <w:t>Pertinent clinical findings and exam results</w:t>
            </w:r>
          </w:p>
        </w:tc>
        <w:tc>
          <w:tcPr>
            <w:tcW w:w="2880" w:type="dxa"/>
          </w:tcPr>
          <w:p w14:paraId="758D7DE9" w14:textId="77777777" w:rsidR="00160245" w:rsidRDefault="00000000">
            <w:r>
              <w:t>Case report</w:t>
            </w:r>
          </w:p>
        </w:tc>
      </w:tr>
      <w:tr w:rsidR="00160245" w14:paraId="27E23AFC" w14:textId="77777777">
        <w:tc>
          <w:tcPr>
            <w:tcW w:w="2880" w:type="dxa"/>
          </w:tcPr>
          <w:p w14:paraId="1E18CD57" w14:textId="77777777" w:rsidR="00160245" w:rsidRDefault="00000000">
            <w:r>
              <w:t>Timeline</w:t>
            </w:r>
          </w:p>
        </w:tc>
        <w:tc>
          <w:tcPr>
            <w:tcW w:w="2880" w:type="dxa"/>
          </w:tcPr>
          <w:p w14:paraId="388A4B96" w14:textId="77777777" w:rsidR="00160245" w:rsidRDefault="00000000">
            <w:r>
              <w:t>Key dates and clinical course in sequence</w:t>
            </w:r>
          </w:p>
        </w:tc>
        <w:tc>
          <w:tcPr>
            <w:tcW w:w="2880" w:type="dxa"/>
          </w:tcPr>
          <w:p w14:paraId="2C829030" w14:textId="77777777" w:rsidR="00160245" w:rsidRDefault="00000000">
            <w:r>
              <w:t>Case report (1996–2024 narrative timeline)</w:t>
            </w:r>
          </w:p>
        </w:tc>
      </w:tr>
      <w:tr w:rsidR="00160245" w14:paraId="4E6FCCA0" w14:textId="77777777">
        <w:tc>
          <w:tcPr>
            <w:tcW w:w="2880" w:type="dxa"/>
          </w:tcPr>
          <w:p w14:paraId="2CFD9C35" w14:textId="77777777" w:rsidR="00160245" w:rsidRDefault="00000000">
            <w:r>
              <w:t>Diagnostic assessment</w:t>
            </w:r>
          </w:p>
        </w:tc>
        <w:tc>
          <w:tcPr>
            <w:tcW w:w="2880" w:type="dxa"/>
          </w:tcPr>
          <w:p w14:paraId="185E5BBF" w14:textId="77777777" w:rsidR="00160245" w:rsidRDefault="00000000">
            <w:r>
              <w:t>Diagnostic methods, challenges, reasoning; tests/imaging</w:t>
            </w:r>
          </w:p>
        </w:tc>
        <w:tc>
          <w:tcPr>
            <w:tcW w:w="2880" w:type="dxa"/>
          </w:tcPr>
          <w:p w14:paraId="76F27497" w14:textId="77777777" w:rsidR="00160245" w:rsidRDefault="00000000">
            <w:r>
              <w:t>Case report; Figures 1–2; Discussion</w:t>
            </w:r>
          </w:p>
        </w:tc>
      </w:tr>
      <w:tr w:rsidR="00160245" w14:paraId="50B23136" w14:textId="77777777">
        <w:tc>
          <w:tcPr>
            <w:tcW w:w="2880" w:type="dxa"/>
          </w:tcPr>
          <w:p w14:paraId="3209F50F" w14:textId="77777777" w:rsidR="00160245" w:rsidRDefault="00000000">
            <w:r>
              <w:t>Therapeutic interventions</w:t>
            </w:r>
          </w:p>
        </w:tc>
        <w:tc>
          <w:tcPr>
            <w:tcW w:w="2880" w:type="dxa"/>
          </w:tcPr>
          <w:p w14:paraId="430B1F9C" w14:textId="77777777" w:rsidR="00160245" w:rsidRDefault="00000000">
            <w:r>
              <w:t>Interventions, drugs/doses, duration, changes</w:t>
            </w:r>
          </w:p>
        </w:tc>
        <w:tc>
          <w:tcPr>
            <w:tcW w:w="2880" w:type="dxa"/>
          </w:tcPr>
          <w:p w14:paraId="1CC87160" w14:textId="77777777" w:rsidR="00160245" w:rsidRDefault="00000000">
            <w:r>
              <w:t>Case report (anti‑NTM regimens and adjustments)</w:t>
            </w:r>
          </w:p>
        </w:tc>
      </w:tr>
      <w:tr w:rsidR="00160245" w14:paraId="00780471" w14:textId="77777777">
        <w:tc>
          <w:tcPr>
            <w:tcW w:w="2880" w:type="dxa"/>
          </w:tcPr>
          <w:p w14:paraId="5F16CD71" w14:textId="77777777" w:rsidR="00160245" w:rsidRDefault="00000000">
            <w:r>
              <w:t>Follow‑up and outcomes</w:t>
            </w:r>
          </w:p>
        </w:tc>
        <w:tc>
          <w:tcPr>
            <w:tcW w:w="2880" w:type="dxa"/>
          </w:tcPr>
          <w:p w14:paraId="08D44650" w14:textId="77777777" w:rsidR="00160245" w:rsidRDefault="00000000">
            <w:r>
              <w:t>Clinical course, outcomes, adverse events</w:t>
            </w:r>
          </w:p>
        </w:tc>
        <w:tc>
          <w:tcPr>
            <w:tcW w:w="2880" w:type="dxa"/>
          </w:tcPr>
          <w:p w14:paraId="529A31DE" w14:textId="77777777" w:rsidR="00160245" w:rsidRDefault="00000000">
            <w:r>
              <w:t>Case report (VZV infection; cardiac events; death)</w:t>
            </w:r>
          </w:p>
        </w:tc>
      </w:tr>
      <w:tr w:rsidR="00160245" w14:paraId="490C3CCF" w14:textId="77777777">
        <w:tc>
          <w:tcPr>
            <w:tcW w:w="2880" w:type="dxa"/>
          </w:tcPr>
          <w:p w14:paraId="174F2105" w14:textId="77777777" w:rsidR="00160245" w:rsidRDefault="00000000">
            <w:r>
              <w:t>Discussion</w:t>
            </w:r>
          </w:p>
        </w:tc>
        <w:tc>
          <w:tcPr>
            <w:tcW w:w="2880" w:type="dxa"/>
          </w:tcPr>
          <w:p w14:paraId="51B2789C" w14:textId="77777777" w:rsidR="00160245" w:rsidRDefault="00000000">
            <w:r>
              <w:t>Strengths/limitations; literature context; rationale</w:t>
            </w:r>
          </w:p>
        </w:tc>
        <w:tc>
          <w:tcPr>
            <w:tcW w:w="2880" w:type="dxa"/>
          </w:tcPr>
          <w:p w14:paraId="46C9DC10" w14:textId="77777777" w:rsidR="00160245" w:rsidRDefault="00000000">
            <w:r>
              <w:t>Discussion; Table 1</w:t>
            </w:r>
          </w:p>
        </w:tc>
      </w:tr>
      <w:tr w:rsidR="00160245" w14:paraId="071A8A48" w14:textId="77777777">
        <w:tc>
          <w:tcPr>
            <w:tcW w:w="2880" w:type="dxa"/>
          </w:tcPr>
          <w:p w14:paraId="7585B9B9" w14:textId="77777777" w:rsidR="00160245" w:rsidRDefault="00000000">
            <w:r>
              <w:t>Patient perspective</w:t>
            </w:r>
          </w:p>
        </w:tc>
        <w:tc>
          <w:tcPr>
            <w:tcW w:w="2880" w:type="dxa"/>
          </w:tcPr>
          <w:p w14:paraId="2632D6F5" w14:textId="77777777" w:rsidR="00160245" w:rsidRDefault="00000000">
            <w:r>
              <w:t>Patient’s perspective or experience (if available)</w:t>
            </w:r>
          </w:p>
        </w:tc>
        <w:tc>
          <w:tcPr>
            <w:tcW w:w="2880" w:type="dxa"/>
          </w:tcPr>
          <w:p w14:paraId="076D4C73" w14:textId="77777777" w:rsidR="00160245" w:rsidRDefault="00000000">
            <w:r>
              <w:t>Not available (patient deceased prior to report)</w:t>
            </w:r>
          </w:p>
        </w:tc>
      </w:tr>
      <w:tr w:rsidR="00160245" w14:paraId="657C35F7" w14:textId="77777777">
        <w:tc>
          <w:tcPr>
            <w:tcW w:w="2880" w:type="dxa"/>
          </w:tcPr>
          <w:p w14:paraId="2037AFF8" w14:textId="77777777" w:rsidR="00160245" w:rsidRDefault="00000000">
            <w:r>
              <w:t>Informed consent</w:t>
            </w:r>
          </w:p>
        </w:tc>
        <w:tc>
          <w:tcPr>
            <w:tcW w:w="2880" w:type="dxa"/>
          </w:tcPr>
          <w:p w14:paraId="13667F55" w14:textId="77777777" w:rsidR="00160245" w:rsidRDefault="00000000">
            <w:r>
              <w:t xml:space="preserve">Consent for publication </w:t>
            </w:r>
            <w:r>
              <w:lastRenderedPageBreak/>
              <w:t>obtained</w:t>
            </w:r>
          </w:p>
        </w:tc>
        <w:tc>
          <w:tcPr>
            <w:tcW w:w="2880" w:type="dxa"/>
          </w:tcPr>
          <w:p w14:paraId="5E2FA93B" w14:textId="77777777" w:rsidR="00160245" w:rsidRDefault="00000000">
            <w:r>
              <w:lastRenderedPageBreak/>
              <w:t xml:space="preserve">Transparency declarations </w:t>
            </w:r>
            <w:r>
              <w:lastRenderedPageBreak/>
              <w:t>— Consent for publication</w:t>
            </w:r>
          </w:p>
        </w:tc>
      </w:tr>
      <w:tr w:rsidR="00160245" w14:paraId="571C84EE" w14:textId="77777777">
        <w:tc>
          <w:tcPr>
            <w:tcW w:w="2880" w:type="dxa"/>
          </w:tcPr>
          <w:p w14:paraId="692F3665" w14:textId="77777777" w:rsidR="00160245" w:rsidRDefault="00000000">
            <w:r>
              <w:lastRenderedPageBreak/>
              <w:t>Ethical statement</w:t>
            </w:r>
          </w:p>
        </w:tc>
        <w:tc>
          <w:tcPr>
            <w:tcW w:w="2880" w:type="dxa"/>
          </w:tcPr>
          <w:p w14:paraId="5346AF96" w14:textId="77777777" w:rsidR="00160245" w:rsidRDefault="00000000">
            <w:r>
              <w:t>IRB/ethics approval; compliance with standards</w:t>
            </w:r>
          </w:p>
        </w:tc>
        <w:tc>
          <w:tcPr>
            <w:tcW w:w="2880" w:type="dxa"/>
          </w:tcPr>
          <w:p w14:paraId="59CAE0BC" w14:textId="77777777" w:rsidR="00160245" w:rsidRDefault="00000000">
            <w:r>
              <w:t>Transparency declarations — Ethics approval; Declaration of Helsinki statement</w:t>
            </w:r>
          </w:p>
        </w:tc>
      </w:tr>
      <w:tr w:rsidR="00160245" w14:paraId="6DB58AED" w14:textId="77777777">
        <w:tc>
          <w:tcPr>
            <w:tcW w:w="2880" w:type="dxa"/>
          </w:tcPr>
          <w:p w14:paraId="7C24893B" w14:textId="77777777" w:rsidR="00160245" w:rsidRDefault="00000000">
            <w:r>
              <w:t>Diagnostic challenges</w:t>
            </w:r>
          </w:p>
        </w:tc>
        <w:tc>
          <w:tcPr>
            <w:tcW w:w="2880" w:type="dxa"/>
          </w:tcPr>
          <w:p w14:paraId="20B1966B" w14:textId="77777777" w:rsidR="00160245" w:rsidRDefault="00000000">
            <w:r>
              <w:t>Pitfalls and differential diagnoses</w:t>
            </w:r>
          </w:p>
        </w:tc>
        <w:tc>
          <w:tcPr>
            <w:tcW w:w="2880" w:type="dxa"/>
          </w:tcPr>
          <w:p w14:paraId="57E4559F" w14:textId="77777777" w:rsidR="00160245" w:rsidRDefault="00000000">
            <w:r>
              <w:t>Discussion (PET‑CT mimicry; pathology non‑diagnostic)</w:t>
            </w:r>
          </w:p>
        </w:tc>
      </w:tr>
      <w:tr w:rsidR="00160245" w14:paraId="77AAE13B" w14:textId="77777777">
        <w:tc>
          <w:tcPr>
            <w:tcW w:w="2880" w:type="dxa"/>
          </w:tcPr>
          <w:p w14:paraId="689FA1F4" w14:textId="77777777" w:rsidR="00160245" w:rsidRDefault="00000000">
            <w:r>
              <w:t>Take‑away lessons</w:t>
            </w:r>
          </w:p>
        </w:tc>
        <w:tc>
          <w:tcPr>
            <w:tcW w:w="2880" w:type="dxa"/>
          </w:tcPr>
          <w:p w14:paraId="4F14F138" w14:textId="77777777" w:rsidR="00160245" w:rsidRDefault="00000000">
            <w:r>
              <w:t>Main learning points and implications</w:t>
            </w:r>
          </w:p>
        </w:tc>
        <w:tc>
          <w:tcPr>
            <w:tcW w:w="2880" w:type="dxa"/>
          </w:tcPr>
          <w:p w14:paraId="7176DA8A" w14:textId="77777777" w:rsidR="00160245" w:rsidRDefault="00000000">
            <w:r>
              <w:t>Conclusions</w:t>
            </w:r>
          </w:p>
        </w:tc>
      </w:tr>
      <w:tr w:rsidR="00160245" w14:paraId="19F7C14E" w14:textId="77777777">
        <w:tc>
          <w:tcPr>
            <w:tcW w:w="2880" w:type="dxa"/>
          </w:tcPr>
          <w:p w14:paraId="718F936F" w14:textId="77777777" w:rsidR="00160245" w:rsidRDefault="00000000">
            <w:r>
              <w:t>Reporting guideline compliance</w:t>
            </w:r>
          </w:p>
        </w:tc>
        <w:tc>
          <w:tcPr>
            <w:tcW w:w="2880" w:type="dxa"/>
          </w:tcPr>
          <w:p w14:paraId="2C180508" w14:textId="77777777" w:rsidR="00160245" w:rsidRDefault="00000000">
            <w:r>
              <w:t>Statement of CARE compliance and checklist location</w:t>
            </w:r>
          </w:p>
        </w:tc>
        <w:tc>
          <w:tcPr>
            <w:tcW w:w="2880" w:type="dxa"/>
          </w:tcPr>
          <w:p w14:paraId="3085D98D" w14:textId="77777777" w:rsidR="00160245" w:rsidRDefault="00000000">
            <w:r>
              <w:t>Transparency declarations — Reporting guideline compliance</w:t>
            </w:r>
          </w:p>
        </w:tc>
      </w:tr>
    </w:tbl>
    <w:p w14:paraId="5DC33CF9" w14:textId="33797E9E" w:rsidR="00160245" w:rsidRPr="0007064B" w:rsidRDefault="00160245">
      <w:pPr>
        <w:rPr>
          <w:rFonts w:eastAsia="宋体" w:hint="eastAsia"/>
          <w:lang w:eastAsia="zh-CN"/>
        </w:rPr>
      </w:pPr>
    </w:p>
    <w:sectPr w:rsidR="00160245" w:rsidRPr="000706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DE417" w14:textId="77777777" w:rsidR="00620827" w:rsidRDefault="00620827" w:rsidP="0007064B">
      <w:pPr>
        <w:spacing w:after="0" w:line="240" w:lineRule="auto"/>
      </w:pPr>
      <w:r>
        <w:separator/>
      </w:r>
    </w:p>
  </w:endnote>
  <w:endnote w:type="continuationSeparator" w:id="0">
    <w:p w14:paraId="2DA6472D" w14:textId="77777777" w:rsidR="00620827" w:rsidRDefault="00620827" w:rsidP="00070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4D2FC" w14:textId="77777777" w:rsidR="00620827" w:rsidRDefault="00620827" w:rsidP="0007064B">
      <w:pPr>
        <w:spacing w:after="0" w:line="240" w:lineRule="auto"/>
      </w:pPr>
      <w:r>
        <w:separator/>
      </w:r>
    </w:p>
  </w:footnote>
  <w:footnote w:type="continuationSeparator" w:id="0">
    <w:p w14:paraId="79C9CCBE" w14:textId="77777777" w:rsidR="00620827" w:rsidRDefault="00620827" w:rsidP="00070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6967721">
    <w:abstractNumId w:val="8"/>
  </w:num>
  <w:num w:numId="2" w16cid:durableId="172190725">
    <w:abstractNumId w:val="6"/>
  </w:num>
  <w:num w:numId="3" w16cid:durableId="396364919">
    <w:abstractNumId w:val="5"/>
  </w:num>
  <w:num w:numId="4" w16cid:durableId="1409881689">
    <w:abstractNumId w:val="4"/>
  </w:num>
  <w:num w:numId="5" w16cid:durableId="539244526">
    <w:abstractNumId w:val="7"/>
  </w:num>
  <w:num w:numId="6" w16cid:durableId="1720203869">
    <w:abstractNumId w:val="3"/>
  </w:num>
  <w:num w:numId="7" w16cid:durableId="855000526">
    <w:abstractNumId w:val="2"/>
  </w:num>
  <w:num w:numId="8" w16cid:durableId="1873306172">
    <w:abstractNumId w:val="1"/>
  </w:num>
  <w:num w:numId="9" w16cid:durableId="200265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064B"/>
    <w:rsid w:val="0015074B"/>
    <w:rsid w:val="00160245"/>
    <w:rsid w:val="00234649"/>
    <w:rsid w:val="0029639D"/>
    <w:rsid w:val="00326F90"/>
    <w:rsid w:val="00620827"/>
    <w:rsid w:val="00AA1D8D"/>
    <w:rsid w:val="00B47730"/>
    <w:rsid w:val="00CB0664"/>
    <w:rsid w:val="00FA48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9D4FF9"/>
  <w14:defaultImageDpi w14:val="300"/>
  <w15:docId w15:val="{600131CA-BFA3-48A1-80D9-21EA46EF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 Chen</cp:lastModifiedBy>
  <cp:revision>2</cp:revision>
  <dcterms:created xsi:type="dcterms:W3CDTF">2013-12-23T23:15:00Z</dcterms:created>
  <dcterms:modified xsi:type="dcterms:W3CDTF">2025-08-30T05:21:00Z</dcterms:modified>
  <cp:category/>
</cp:coreProperties>
</file>