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66" w:rsidRDefault="006334B4" w:rsidP="006334B4">
      <w:pPr>
        <w:spacing w:line="480" w:lineRule="auto"/>
        <w:rPr>
          <w:rFonts w:asciiTheme="minorBidi" w:hAnsiTheme="minorBidi"/>
          <w:b/>
          <w:bCs/>
          <w:sz w:val="20"/>
          <w:szCs w:val="20"/>
        </w:rPr>
      </w:pPr>
      <w:r w:rsidRPr="006334B4">
        <w:rPr>
          <w:rFonts w:asciiTheme="minorBidi" w:hAnsiTheme="minorBidi"/>
          <w:b/>
          <w:bCs/>
          <w:sz w:val="20"/>
          <w:szCs w:val="20"/>
        </w:rPr>
        <w:t>Supplementary Table S1</w:t>
      </w:r>
      <w:r>
        <w:rPr>
          <w:rFonts w:asciiTheme="minorBidi" w:hAnsiTheme="minorBidi"/>
          <w:b/>
          <w:bCs/>
          <w:sz w:val="20"/>
          <w:szCs w:val="20"/>
        </w:rPr>
        <w:t>: Comparison of ACOG and HSE antimicrobial p</w:t>
      </w:r>
      <w:r w:rsidRPr="006334B4">
        <w:rPr>
          <w:rFonts w:asciiTheme="minorBidi" w:hAnsiTheme="minorBidi"/>
          <w:b/>
          <w:bCs/>
          <w:sz w:val="20"/>
          <w:szCs w:val="20"/>
        </w:rPr>
        <w:t xml:space="preserve">rescribing </w:t>
      </w:r>
      <w:r>
        <w:rPr>
          <w:rFonts w:asciiTheme="minorBidi" w:hAnsiTheme="minorBidi"/>
          <w:b/>
          <w:bCs/>
          <w:sz w:val="20"/>
          <w:szCs w:val="20"/>
        </w:rPr>
        <w:t>recommendations for common infections during p</w:t>
      </w:r>
      <w:r w:rsidRPr="006334B4">
        <w:rPr>
          <w:rFonts w:asciiTheme="minorBidi" w:hAnsiTheme="minorBidi"/>
          <w:b/>
          <w:bCs/>
          <w:sz w:val="20"/>
          <w:szCs w:val="20"/>
        </w:rPr>
        <w:t>regnancy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003"/>
        <w:gridCol w:w="1566"/>
        <w:gridCol w:w="2026"/>
        <w:gridCol w:w="1926"/>
        <w:gridCol w:w="1701"/>
      </w:tblGrid>
      <w:tr w:rsidR="00367CD7" w:rsidTr="00367CD7">
        <w:tc>
          <w:tcPr>
            <w:tcW w:w="1702" w:type="dxa"/>
          </w:tcPr>
          <w:p w:rsidR="006334B4" w:rsidRPr="006334B4" w:rsidRDefault="006334B4" w:rsidP="006334B4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334B4">
              <w:rPr>
                <w:rFonts w:asciiTheme="minorBidi" w:hAnsiTheme="minorBidi"/>
                <w:b/>
                <w:bCs/>
                <w:sz w:val="20"/>
                <w:szCs w:val="20"/>
              </w:rPr>
              <w:t>Infection type</w:t>
            </w:r>
          </w:p>
        </w:tc>
        <w:tc>
          <w:tcPr>
            <w:tcW w:w="1003" w:type="dxa"/>
          </w:tcPr>
          <w:p w:rsidR="006334B4" w:rsidRPr="006334B4" w:rsidRDefault="006334B4" w:rsidP="006334B4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334B4">
              <w:rPr>
                <w:rFonts w:asciiTheme="minorBidi" w:hAnsiTheme="minorBidi"/>
                <w:b/>
                <w:bCs/>
                <w:sz w:val="20"/>
                <w:szCs w:val="20"/>
              </w:rPr>
              <w:t>Guideline</w:t>
            </w:r>
          </w:p>
        </w:tc>
        <w:tc>
          <w:tcPr>
            <w:tcW w:w="1566" w:type="dxa"/>
          </w:tcPr>
          <w:p w:rsidR="006334B4" w:rsidRPr="006334B4" w:rsidRDefault="006334B4" w:rsidP="006334B4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334B4">
              <w:rPr>
                <w:rFonts w:asciiTheme="minorBidi" w:hAnsiTheme="minorBidi"/>
                <w:b/>
                <w:bCs/>
                <w:sz w:val="20"/>
                <w:szCs w:val="20"/>
              </w:rPr>
              <w:t>First-line recommended agents</w:t>
            </w:r>
          </w:p>
        </w:tc>
        <w:tc>
          <w:tcPr>
            <w:tcW w:w="2026" w:type="dxa"/>
          </w:tcPr>
          <w:p w:rsidR="006334B4" w:rsidRPr="006334B4" w:rsidRDefault="006334B4" w:rsidP="006334B4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334B4">
              <w:rPr>
                <w:rFonts w:asciiTheme="minorBidi" w:hAnsiTheme="minorBidi"/>
                <w:b/>
                <w:bCs/>
                <w:sz w:val="20"/>
                <w:szCs w:val="20"/>
              </w:rPr>
              <w:t>Alternative agents</w:t>
            </w:r>
            <w:r w:rsidR="003D073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3D073A" w:rsidRPr="003D073A">
              <w:rPr>
                <w:rFonts w:asciiTheme="minorBidi" w:hAnsiTheme="minorBidi"/>
                <w:b/>
                <w:bCs/>
                <w:sz w:val="20"/>
                <w:szCs w:val="20"/>
              </w:rPr>
              <w:t>(penicillin allergy/intolerance)</w:t>
            </w:r>
          </w:p>
        </w:tc>
        <w:tc>
          <w:tcPr>
            <w:tcW w:w="1926" w:type="dxa"/>
          </w:tcPr>
          <w:p w:rsidR="006334B4" w:rsidRPr="006334B4" w:rsidRDefault="006334B4" w:rsidP="006334B4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334B4">
              <w:rPr>
                <w:rFonts w:asciiTheme="minorBidi" w:hAnsiTheme="minorBidi"/>
                <w:b/>
                <w:bCs/>
                <w:sz w:val="20"/>
                <w:szCs w:val="20"/>
              </w:rPr>
              <w:t>Agents to avoid</w:t>
            </w:r>
          </w:p>
        </w:tc>
        <w:tc>
          <w:tcPr>
            <w:tcW w:w="1701" w:type="dxa"/>
          </w:tcPr>
          <w:p w:rsidR="006334B4" w:rsidRPr="006334B4" w:rsidRDefault="006334B4" w:rsidP="006334B4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334B4">
              <w:rPr>
                <w:rFonts w:asciiTheme="minorBidi" w:hAnsiTheme="minorBidi"/>
                <w:b/>
                <w:bCs/>
                <w:sz w:val="20"/>
                <w:szCs w:val="20"/>
              </w:rPr>
              <w:t>Key trimester-specific notes</w:t>
            </w:r>
          </w:p>
        </w:tc>
      </w:tr>
      <w:tr w:rsidR="00367CD7" w:rsidTr="00367CD7">
        <w:tc>
          <w:tcPr>
            <w:tcW w:w="1702" w:type="dxa"/>
            <w:vMerge w:val="restart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bookmarkStart w:id="0" w:name="_GoBack" w:colFirst="0" w:colLast="5"/>
            <w:r>
              <w:rPr>
                <w:rFonts w:asciiTheme="minorBidi" w:hAnsiTheme="minorBidi"/>
                <w:sz w:val="20"/>
                <w:szCs w:val="20"/>
              </w:rPr>
              <w:t>UTI</w:t>
            </w:r>
          </w:p>
        </w:tc>
        <w:tc>
          <w:tcPr>
            <w:tcW w:w="1003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ACOG</w:t>
            </w:r>
          </w:p>
        </w:tc>
        <w:tc>
          <w:tcPr>
            <w:tcW w:w="156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Nitrofurantoin*, Amoxicillin, Cephalexin</w:t>
            </w:r>
          </w:p>
        </w:tc>
        <w:tc>
          <w:tcPr>
            <w:tcW w:w="202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3D073A">
              <w:rPr>
                <w:rFonts w:asciiTheme="minorBidi" w:hAnsiTheme="minorBidi"/>
                <w:sz w:val="20"/>
                <w:szCs w:val="20"/>
              </w:rPr>
              <w:t>Fosfomycin</w:t>
            </w:r>
            <w:proofErr w:type="spellEnd"/>
          </w:p>
        </w:tc>
        <w:tc>
          <w:tcPr>
            <w:tcW w:w="1926" w:type="dxa"/>
          </w:tcPr>
          <w:p w:rsidR="003D073A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Fluoroquinolones</w:t>
            </w:r>
            <w:r w:rsidR="003D073A" w:rsidRPr="003D073A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3D073A" w:rsidRPr="003D073A">
              <w:rPr>
                <w:rFonts w:asciiTheme="minorBidi" w:hAnsiTheme="minorBidi"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1701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*Avoid nitrofurantoin at term (38–42 weeks) if possible</w:t>
            </w:r>
          </w:p>
        </w:tc>
      </w:tr>
      <w:tr w:rsidR="00367CD7" w:rsidTr="00367CD7">
        <w:tc>
          <w:tcPr>
            <w:tcW w:w="1702" w:type="dxa"/>
            <w:vMerge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03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HSE</w:t>
            </w:r>
          </w:p>
        </w:tc>
        <w:tc>
          <w:tcPr>
            <w:tcW w:w="1566" w:type="dxa"/>
          </w:tcPr>
          <w:p w:rsidR="003D073A" w:rsidRDefault="003D073A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Nitrofurantoin*, Amoxicillin, Cephalexin</w:t>
            </w:r>
          </w:p>
        </w:tc>
        <w:tc>
          <w:tcPr>
            <w:tcW w:w="2026" w:type="dxa"/>
          </w:tcPr>
          <w:p w:rsidR="003D073A" w:rsidRDefault="003D073A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3D073A">
              <w:rPr>
                <w:rFonts w:asciiTheme="minorBidi" w:hAnsiTheme="minorBidi"/>
                <w:sz w:val="20"/>
                <w:szCs w:val="20"/>
              </w:rPr>
              <w:t>Fosfomycin</w:t>
            </w:r>
            <w:proofErr w:type="spellEnd"/>
          </w:p>
        </w:tc>
        <w:tc>
          <w:tcPr>
            <w:tcW w:w="192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Trimethoprim (1st trimester), Fluoroquinolones</w:t>
            </w:r>
          </w:p>
        </w:tc>
        <w:tc>
          <w:tcPr>
            <w:tcW w:w="1701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*Avoid near delivery; check renal function</w:t>
            </w:r>
          </w:p>
        </w:tc>
      </w:tr>
      <w:bookmarkEnd w:id="0"/>
      <w:tr w:rsidR="00367CD7" w:rsidTr="00367CD7">
        <w:tc>
          <w:tcPr>
            <w:tcW w:w="1702" w:type="dxa"/>
            <w:vMerge w:val="restart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Respiratory tract infection</w:t>
            </w:r>
          </w:p>
        </w:tc>
        <w:tc>
          <w:tcPr>
            <w:tcW w:w="1003" w:type="dxa"/>
          </w:tcPr>
          <w:p w:rsidR="003D073A" w:rsidRDefault="003D073A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ACOG</w:t>
            </w:r>
          </w:p>
        </w:tc>
        <w:tc>
          <w:tcPr>
            <w:tcW w:w="156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Amoxicillin, Amoxicillin-</w:t>
            </w:r>
            <w:proofErr w:type="spellStart"/>
            <w:r w:rsidRPr="003D073A">
              <w:rPr>
                <w:rFonts w:asciiTheme="minorBidi" w:hAnsiTheme="minorBidi"/>
                <w:sz w:val="20"/>
                <w:szCs w:val="20"/>
              </w:rPr>
              <w:t>clavulanate</w:t>
            </w:r>
            <w:proofErr w:type="spellEnd"/>
          </w:p>
        </w:tc>
        <w:tc>
          <w:tcPr>
            <w:tcW w:w="202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Azithromycin, Erythromycin</w:t>
            </w:r>
          </w:p>
        </w:tc>
        <w:tc>
          <w:tcPr>
            <w:tcW w:w="1926" w:type="dxa"/>
          </w:tcPr>
          <w:p w:rsidR="003D073A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Fluoroquinolones</w:t>
            </w:r>
            <w:r w:rsidR="003D073A" w:rsidRPr="003D073A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3D073A" w:rsidRPr="003D073A">
              <w:rPr>
                <w:rFonts w:asciiTheme="minorBidi" w:hAnsiTheme="minorBidi"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1701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Macrolides preferred in penicillin allergy</w:t>
            </w:r>
          </w:p>
        </w:tc>
      </w:tr>
      <w:tr w:rsidR="00367CD7" w:rsidTr="00367CD7">
        <w:tc>
          <w:tcPr>
            <w:tcW w:w="1702" w:type="dxa"/>
            <w:vMerge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03" w:type="dxa"/>
          </w:tcPr>
          <w:p w:rsidR="003D073A" w:rsidRDefault="003D073A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HSE</w:t>
            </w:r>
          </w:p>
        </w:tc>
        <w:tc>
          <w:tcPr>
            <w:tcW w:w="156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Amoxicillin</w:t>
            </w:r>
          </w:p>
        </w:tc>
        <w:tc>
          <w:tcPr>
            <w:tcW w:w="202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Azithromycin</w:t>
            </w:r>
          </w:p>
        </w:tc>
        <w:tc>
          <w:tcPr>
            <w:tcW w:w="1926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 xml:space="preserve">Fluoroquinolones, </w:t>
            </w:r>
            <w:proofErr w:type="spellStart"/>
            <w:r w:rsidRPr="003D073A">
              <w:rPr>
                <w:rFonts w:asciiTheme="minorBidi" w:hAnsiTheme="minorBidi"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1701" w:type="dxa"/>
          </w:tcPr>
          <w:p w:rsidR="003D073A" w:rsidRDefault="003D073A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Avoid antibiotics for viral infections</w:t>
            </w:r>
          </w:p>
        </w:tc>
      </w:tr>
      <w:tr w:rsidR="00367CD7" w:rsidTr="00367CD7">
        <w:tc>
          <w:tcPr>
            <w:tcW w:w="1702" w:type="dxa"/>
            <w:vMerge w:val="restart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Bacterial vaginosis</w:t>
            </w: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ACOG</w:t>
            </w:r>
          </w:p>
        </w:tc>
        <w:tc>
          <w:tcPr>
            <w:tcW w:w="156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Metronidazole (oral or vaginal)</w:t>
            </w:r>
          </w:p>
        </w:tc>
        <w:tc>
          <w:tcPr>
            <w:tcW w:w="20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Clindamycin (oral or vaginal)</w:t>
            </w:r>
          </w:p>
        </w:tc>
        <w:tc>
          <w:tcPr>
            <w:tcW w:w="19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Safe in all trimesters when indicated</w:t>
            </w:r>
          </w:p>
        </w:tc>
      </w:tr>
      <w:tr w:rsidR="00367CD7" w:rsidTr="00367CD7">
        <w:tc>
          <w:tcPr>
            <w:tcW w:w="1702" w:type="dxa"/>
            <w:vMerge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HSE</w:t>
            </w:r>
          </w:p>
        </w:tc>
        <w:tc>
          <w:tcPr>
            <w:tcW w:w="156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Metronidazole (oral or vaginal)</w:t>
            </w:r>
          </w:p>
        </w:tc>
        <w:tc>
          <w:tcPr>
            <w:tcW w:w="20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Clindamycin</w:t>
            </w:r>
          </w:p>
        </w:tc>
        <w:tc>
          <w:tcPr>
            <w:tcW w:w="19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Treatment recommended if symptomatic</w:t>
            </w:r>
          </w:p>
        </w:tc>
      </w:tr>
      <w:tr w:rsidR="00367CD7" w:rsidTr="00367CD7">
        <w:tc>
          <w:tcPr>
            <w:tcW w:w="1702" w:type="dxa"/>
            <w:vMerge w:val="restart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Gastrointestinal infection</w:t>
            </w: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ACOG</w:t>
            </w:r>
          </w:p>
        </w:tc>
        <w:tc>
          <w:tcPr>
            <w:tcW w:w="156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Supportive care ± Amoxicillin (if bacterial)</w:t>
            </w:r>
          </w:p>
        </w:tc>
        <w:tc>
          <w:tcPr>
            <w:tcW w:w="20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Azithromycin</w:t>
            </w:r>
          </w:p>
        </w:tc>
        <w:tc>
          <w:tcPr>
            <w:tcW w:w="19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Fluoroquinolones</w:t>
            </w:r>
          </w:p>
        </w:tc>
        <w:tc>
          <w:tcPr>
            <w:tcW w:w="1701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 xml:space="preserve">Antibiotics only if bacterial </w:t>
            </w:r>
            <w:proofErr w:type="spellStart"/>
            <w:r w:rsidRPr="00367CD7">
              <w:rPr>
                <w:rFonts w:asciiTheme="minorBidi" w:hAnsiTheme="minorBidi"/>
                <w:sz w:val="20"/>
                <w:szCs w:val="20"/>
              </w:rPr>
              <w:t>etiology</w:t>
            </w:r>
            <w:proofErr w:type="spellEnd"/>
            <w:r w:rsidRPr="00367CD7">
              <w:rPr>
                <w:rFonts w:asciiTheme="minorBidi" w:hAnsiTheme="minorBidi"/>
                <w:sz w:val="20"/>
                <w:szCs w:val="20"/>
              </w:rPr>
              <w:t xml:space="preserve"> suspected</w:t>
            </w:r>
          </w:p>
        </w:tc>
      </w:tr>
      <w:tr w:rsidR="00367CD7" w:rsidTr="00367CD7">
        <w:tc>
          <w:tcPr>
            <w:tcW w:w="1702" w:type="dxa"/>
            <w:vMerge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HSE</w:t>
            </w:r>
          </w:p>
        </w:tc>
        <w:tc>
          <w:tcPr>
            <w:tcW w:w="156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Supportive care</w:t>
            </w:r>
          </w:p>
        </w:tc>
        <w:tc>
          <w:tcPr>
            <w:tcW w:w="20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Azithromycin</w:t>
            </w:r>
          </w:p>
        </w:tc>
        <w:tc>
          <w:tcPr>
            <w:tcW w:w="19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D073A">
              <w:rPr>
                <w:rFonts w:asciiTheme="minorBidi" w:hAnsiTheme="minorBidi"/>
                <w:sz w:val="20"/>
                <w:szCs w:val="20"/>
              </w:rPr>
              <w:t>Fluoroquinolones</w:t>
            </w:r>
          </w:p>
        </w:tc>
        <w:tc>
          <w:tcPr>
            <w:tcW w:w="1701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Emphasis on hydration and symptom control</w:t>
            </w:r>
          </w:p>
        </w:tc>
      </w:tr>
      <w:tr w:rsidR="00367CD7" w:rsidTr="00367CD7">
        <w:tc>
          <w:tcPr>
            <w:tcW w:w="1702" w:type="dxa"/>
            <w:vMerge w:val="restart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Skin and soft tissue infection</w:t>
            </w: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ACOG</w:t>
            </w:r>
          </w:p>
        </w:tc>
        <w:tc>
          <w:tcPr>
            <w:tcW w:w="156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Cephalexin, Amoxicillin-</w:t>
            </w:r>
            <w:proofErr w:type="spellStart"/>
            <w:r w:rsidRPr="00367CD7">
              <w:rPr>
                <w:rFonts w:asciiTheme="minorBidi" w:hAnsiTheme="minorBidi"/>
                <w:sz w:val="20"/>
                <w:szCs w:val="20"/>
              </w:rPr>
              <w:t>clavulanate</w:t>
            </w:r>
            <w:proofErr w:type="spellEnd"/>
          </w:p>
        </w:tc>
        <w:tc>
          <w:tcPr>
            <w:tcW w:w="202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Clindamycin</w:t>
            </w:r>
          </w:p>
        </w:tc>
        <w:tc>
          <w:tcPr>
            <w:tcW w:w="1926" w:type="dxa"/>
          </w:tcPr>
          <w:p w:rsidR="00367CD7" w:rsidRPr="003D073A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1701" w:type="dxa"/>
          </w:tcPr>
          <w:p w:rsidR="00367CD7" w:rsidRP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Consider MRSA risk</w:t>
            </w:r>
          </w:p>
        </w:tc>
      </w:tr>
      <w:tr w:rsidR="00367CD7" w:rsidTr="00367CD7">
        <w:tc>
          <w:tcPr>
            <w:tcW w:w="1702" w:type="dxa"/>
            <w:vMerge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HSE</w:t>
            </w:r>
          </w:p>
        </w:tc>
        <w:tc>
          <w:tcPr>
            <w:tcW w:w="1566" w:type="dxa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367CD7">
              <w:rPr>
                <w:rFonts w:asciiTheme="minorBidi" w:hAnsiTheme="minorBidi"/>
                <w:sz w:val="20"/>
                <w:szCs w:val="20"/>
              </w:rPr>
              <w:t>Flucloxacillin</w:t>
            </w:r>
            <w:proofErr w:type="spellEnd"/>
            <w:r w:rsidRPr="00367CD7">
              <w:rPr>
                <w:rFonts w:asciiTheme="minorBidi" w:hAnsiTheme="minorBidi"/>
                <w:sz w:val="20"/>
                <w:szCs w:val="20"/>
              </w:rPr>
              <w:t>, Cephalexin</w:t>
            </w:r>
          </w:p>
        </w:tc>
        <w:tc>
          <w:tcPr>
            <w:tcW w:w="2026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Clindamycin</w:t>
            </w:r>
          </w:p>
        </w:tc>
        <w:tc>
          <w:tcPr>
            <w:tcW w:w="1926" w:type="dxa"/>
          </w:tcPr>
          <w:p w:rsidR="00367CD7" w:rsidRPr="003D073A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1701" w:type="dxa"/>
          </w:tcPr>
          <w:p w:rsidR="00367CD7" w:rsidRP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367CD7">
              <w:rPr>
                <w:rFonts w:asciiTheme="minorBidi" w:hAnsiTheme="minorBidi"/>
                <w:sz w:val="20"/>
                <w:szCs w:val="20"/>
              </w:rPr>
              <w:t>Adjust based on severity</w:t>
            </w:r>
          </w:p>
        </w:tc>
      </w:tr>
      <w:tr w:rsidR="00367CD7" w:rsidTr="00367CD7">
        <w:tc>
          <w:tcPr>
            <w:tcW w:w="1702" w:type="dxa"/>
            <w:vMerge w:val="restart"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Intra-amniotic infection</w:t>
            </w:r>
            <w:r w:rsidRPr="00367CD7">
              <w:rPr>
                <w:rFonts w:asciiTheme="minorBidi" w:hAnsiTheme="minorBidi"/>
                <w:sz w:val="20"/>
                <w:szCs w:val="20"/>
              </w:rPr>
              <w:t>†</w:t>
            </w: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ACOG</w:t>
            </w:r>
          </w:p>
        </w:tc>
        <w:tc>
          <w:tcPr>
            <w:tcW w:w="1566" w:type="dxa"/>
          </w:tcPr>
          <w:p w:rsidR="00367CD7" w:rsidRPr="00367CD7" w:rsidRDefault="00F10109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F10109">
              <w:rPr>
                <w:rFonts w:asciiTheme="minorBidi" w:hAnsiTheme="minorBidi"/>
                <w:sz w:val="20"/>
                <w:szCs w:val="20"/>
              </w:rPr>
              <w:t>Ampicillin + Gentamicin</w:t>
            </w:r>
          </w:p>
        </w:tc>
        <w:tc>
          <w:tcPr>
            <w:tcW w:w="2026" w:type="dxa"/>
          </w:tcPr>
          <w:p w:rsidR="00367CD7" w:rsidRDefault="00F10109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367CD7" w:rsidRDefault="00F10109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7CD7" w:rsidRPr="00367CD7" w:rsidRDefault="00F10109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F10109">
              <w:rPr>
                <w:rFonts w:asciiTheme="minorBidi" w:hAnsiTheme="minorBidi"/>
                <w:sz w:val="20"/>
                <w:szCs w:val="20"/>
              </w:rPr>
              <w:t>Typically requires inpatient management</w:t>
            </w:r>
          </w:p>
        </w:tc>
      </w:tr>
      <w:tr w:rsidR="00367CD7" w:rsidTr="00367CD7">
        <w:tc>
          <w:tcPr>
            <w:tcW w:w="1702" w:type="dxa"/>
            <w:vMerge/>
          </w:tcPr>
          <w:p w:rsidR="00367CD7" w:rsidRDefault="00367CD7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003" w:type="dxa"/>
          </w:tcPr>
          <w:p w:rsidR="00367CD7" w:rsidRDefault="00367CD7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HSE</w:t>
            </w:r>
          </w:p>
        </w:tc>
        <w:tc>
          <w:tcPr>
            <w:tcW w:w="1566" w:type="dxa"/>
          </w:tcPr>
          <w:p w:rsidR="00367CD7" w:rsidRPr="00367CD7" w:rsidRDefault="00F10109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F10109">
              <w:rPr>
                <w:rFonts w:asciiTheme="minorBidi" w:hAnsiTheme="minorBidi"/>
                <w:sz w:val="20"/>
                <w:szCs w:val="20"/>
              </w:rPr>
              <w:t>Ampicillin + Gentamicin</w:t>
            </w:r>
          </w:p>
        </w:tc>
        <w:tc>
          <w:tcPr>
            <w:tcW w:w="2026" w:type="dxa"/>
          </w:tcPr>
          <w:p w:rsidR="00367CD7" w:rsidRDefault="00F10109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926" w:type="dxa"/>
          </w:tcPr>
          <w:p w:rsidR="00367CD7" w:rsidRDefault="00F10109" w:rsidP="003F5E99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67CD7" w:rsidRPr="00367CD7" w:rsidRDefault="00F10109" w:rsidP="006334B4">
            <w:pPr>
              <w:spacing w:line="480" w:lineRule="auto"/>
              <w:rPr>
                <w:rFonts w:asciiTheme="minorBidi" w:hAnsiTheme="minorBidi"/>
                <w:sz w:val="20"/>
                <w:szCs w:val="20"/>
              </w:rPr>
            </w:pPr>
            <w:r w:rsidRPr="00F10109">
              <w:rPr>
                <w:rFonts w:asciiTheme="minorBidi" w:hAnsiTheme="minorBidi"/>
                <w:sz w:val="20"/>
                <w:szCs w:val="20"/>
              </w:rPr>
              <w:t>Not routinely managed outpatient</w:t>
            </w:r>
          </w:p>
        </w:tc>
      </w:tr>
    </w:tbl>
    <w:p w:rsidR="006334B4" w:rsidRPr="006334B4" w:rsidRDefault="006334B4" w:rsidP="006334B4">
      <w:pPr>
        <w:spacing w:line="480" w:lineRule="auto"/>
        <w:rPr>
          <w:rFonts w:asciiTheme="minorBidi" w:hAnsiTheme="minorBidi"/>
          <w:sz w:val="20"/>
          <w:szCs w:val="20"/>
        </w:rPr>
      </w:pPr>
    </w:p>
    <w:p w:rsidR="006334B4" w:rsidRPr="00367CD7" w:rsidRDefault="00367CD7" w:rsidP="006334B4">
      <w:pPr>
        <w:spacing w:line="48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†</w:t>
      </w:r>
      <w:r w:rsidRPr="00367CD7">
        <w:rPr>
          <w:rFonts w:asciiTheme="minorBidi" w:hAnsiTheme="minorBidi"/>
          <w:sz w:val="20"/>
          <w:szCs w:val="20"/>
        </w:rPr>
        <w:t>Included for guideline comparison only; although intra-amniotic infections are typically managed in inpatient settings, a small number of outpatient prescriptions were identified and assessed for guideline concordance.</w:t>
      </w:r>
    </w:p>
    <w:sectPr w:rsidR="006334B4" w:rsidRPr="00367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A9"/>
    <w:rsid w:val="002B78A9"/>
    <w:rsid w:val="00367CD7"/>
    <w:rsid w:val="003D073A"/>
    <w:rsid w:val="005A4AD3"/>
    <w:rsid w:val="006334B4"/>
    <w:rsid w:val="00AC7166"/>
    <w:rsid w:val="00F1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2026-02-01T14:50:00Z</dcterms:created>
  <dcterms:modified xsi:type="dcterms:W3CDTF">2026-02-01T15:48:00Z</dcterms:modified>
</cp:coreProperties>
</file>