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F16E4" w14:textId="176D4D73" w:rsidR="00E72EBA" w:rsidRPr="00E72EBA" w:rsidRDefault="3FCD1BE3">
      <w:pPr>
        <w:rPr>
          <w:rFonts w:ascii="Arial" w:hAnsi="Arial" w:cs="Arial"/>
          <w:sz w:val="20"/>
          <w:szCs w:val="20"/>
        </w:rPr>
      </w:pPr>
      <w:r w:rsidRPr="3B60CB22">
        <w:rPr>
          <w:rFonts w:ascii="Arial" w:hAnsi="Arial" w:cs="Arial"/>
          <w:sz w:val="20"/>
          <w:szCs w:val="20"/>
        </w:rPr>
        <w:t>Supplemental Table 1: IOL Models Available on the Zeiss A</w:t>
      </w:r>
      <w:r w:rsidR="371922B0" w:rsidRPr="3B60CB22">
        <w:rPr>
          <w:rFonts w:ascii="Arial" w:hAnsi="Arial" w:cs="Arial"/>
          <w:sz w:val="20"/>
          <w:szCs w:val="20"/>
        </w:rPr>
        <w:t>I IOL</w:t>
      </w:r>
      <w:r w:rsidRPr="3B60CB22">
        <w:rPr>
          <w:rFonts w:ascii="Arial" w:hAnsi="Arial" w:cs="Arial"/>
          <w:sz w:val="20"/>
          <w:szCs w:val="20"/>
        </w:rPr>
        <w:t xml:space="preserve"> Calculator</w:t>
      </w:r>
    </w:p>
    <w:tbl>
      <w:tblPr>
        <w:tblW w:w="4102" w:type="dxa"/>
        <w:tblLook w:val="04A0" w:firstRow="1" w:lastRow="0" w:firstColumn="1" w:lastColumn="0" w:noHBand="0" w:noVBand="1"/>
      </w:tblPr>
      <w:tblGrid>
        <w:gridCol w:w="2430"/>
        <w:gridCol w:w="1762"/>
      </w:tblGrid>
      <w:tr w:rsidR="00E72EBA" w:rsidRPr="00E72EBA" w14:paraId="61EBEC54" w14:textId="77777777" w:rsidTr="001C43E4">
        <w:trPr>
          <w:trHeight w:val="32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DF375" w14:textId="77777777" w:rsidR="00E72EBA" w:rsidRPr="00E72EBA" w:rsidRDefault="00E72EBA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Manufacturer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(Location)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1A60B" w14:textId="77777777" w:rsidR="00E72EBA" w:rsidRPr="00E72EBA" w:rsidRDefault="00E72EBA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IOL Model</w:t>
            </w:r>
          </w:p>
        </w:tc>
      </w:tr>
      <w:tr w:rsidR="00E72EBA" w:rsidRPr="00E72EBA" w14:paraId="42D9C716" w14:textId="77777777" w:rsidTr="001C43E4">
        <w:trPr>
          <w:trHeight w:val="320"/>
        </w:trPr>
        <w:tc>
          <w:tcPr>
            <w:tcW w:w="24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D647EE" w14:textId="77777777" w:rsidR="00E72EBA" w:rsidRPr="00E72EBA" w:rsidRDefault="00E72EBA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Alcon Laboratories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(Geneva Switzerland)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924123" w14:textId="77777777" w:rsidR="00E72EBA" w:rsidRPr="00E72EBA" w:rsidRDefault="00E72EBA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AcrySofAU00T0</w:t>
            </w:r>
          </w:p>
        </w:tc>
      </w:tr>
      <w:tr w:rsidR="00E72EBA" w:rsidRPr="00E72EBA" w14:paraId="0A1006D3" w14:textId="77777777" w:rsidTr="001C43E4">
        <w:trPr>
          <w:trHeight w:val="320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B77BFF" w14:textId="77777777" w:rsidR="00E72EBA" w:rsidRPr="00E72EBA" w:rsidRDefault="00E72EBA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CB9C9" w14:textId="77777777" w:rsidR="00E72EBA" w:rsidRPr="00E72EBA" w:rsidRDefault="00E72EBA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AcrySofSA60AT</w:t>
            </w:r>
          </w:p>
        </w:tc>
      </w:tr>
      <w:tr w:rsidR="00E72EBA" w:rsidRPr="00E72EBA" w14:paraId="1256C742" w14:textId="77777777" w:rsidTr="001C43E4">
        <w:trPr>
          <w:trHeight w:val="320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E285F9" w14:textId="77777777" w:rsidR="00E72EBA" w:rsidRPr="00E72EBA" w:rsidRDefault="00E72EBA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A7993" w14:textId="77777777" w:rsidR="00E72EBA" w:rsidRPr="00E72EBA" w:rsidRDefault="00E72EBA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AcrySofSA60WF</w:t>
            </w:r>
          </w:p>
        </w:tc>
      </w:tr>
      <w:tr w:rsidR="00E72EBA" w:rsidRPr="00E72EBA" w14:paraId="72BB3241" w14:textId="77777777" w:rsidTr="001C43E4">
        <w:trPr>
          <w:trHeight w:val="320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26F410" w14:textId="77777777" w:rsidR="00E72EBA" w:rsidRPr="00E72EBA" w:rsidRDefault="00E72EBA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6DCF6C" w14:textId="77777777" w:rsidR="00E72EBA" w:rsidRPr="00E72EBA" w:rsidRDefault="00E72EBA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AcrySofSN60WF</w:t>
            </w:r>
          </w:p>
        </w:tc>
      </w:tr>
      <w:tr w:rsidR="00E72EBA" w:rsidRPr="00E72EBA" w14:paraId="12631548" w14:textId="77777777" w:rsidTr="001C43E4">
        <w:trPr>
          <w:trHeight w:val="320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83E785" w14:textId="77777777" w:rsidR="00E72EBA" w:rsidRPr="00E72EBA" w:rsidRDefault="00E72EBA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558F30" w14:textId="77777777" w:rsidR="00E72EBA" w:rsidRPr="00E72EBA" w:rsidRDefault="00E72EBA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ClareonCNA0T0</w:t>
            </w:r>
          </w:p>
        </w:tc>
      </w:tr>
      <w:tr w:rsidR="00E72EBA" w:rsidRPr="00E72EBA" w14:paraId="65CCD93C" w14:textId="77777777" w:rsidTr="001C43E4">
        <w:trPr>
          <w:trHeight w:val="320"/>
        </w:trPr>
        <w:tc>
          <w:tcPr>
            <w:tcW w:w="24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3433C2" w14:textId="77777777" w:rsidR="00E72EBA" w:rsidRPr="00E72EBA" w:rsidRDefault="00E72EBA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29A0E" w14:textId="77777777" w:rsidR="00E72EBA" w:rsidRPr="00E72EBA" w:rsidRDefault="00E72EBA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ClareonSY60WF</w:t>
            </w:r>
          </w:p>
        </w:tc>
      </w:tr>
      <w:tr w:rsidR="00A30A84" w:rsidRPr="00E72EBA" w14:paraId="6ED6317E" w14:textId="77777777" w:rsidTr="001C43E4">
        <w:trPr>
          <w:trHeight w:val="576"/>
        </w:trPr>
        <w:tc>
          <w:tcPr>
            <w:tcW w:w="243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EB6BDF1" w14:textId="77777777" w:rsidR="00A30A84" w:rsidRDefault="00A30A84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Bausch &amp; Lomb</w:t>
            </w:r>
          </w:p>
          <w:p w14:paraId="43A1BD03" w14:textId="77777777" w:rsidR="00A30A84" w:rsidRPr="00E72EBA" w:rsidRDefault="00A30A84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(Bridgewater, NJ)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DCFCAC" w14:textId="77777777" w:rsidR="00A30A84" w:rsidRPr="00E72EBA" w:rsidRDefault="00A30A84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enVistaenhanced (MX60E)</w:t>
            </w:r>
          </w:p>
        </w:tc>
      </w:tr>
      <w:tr w:rsidR="00A30A84" w:rsidRPr="00E72EBA" w14:paraId="3E4B3417" w14:textId="77777777" w:rsidTr="001C43E4">
        <w:trPr>
          <w:trHeight w:val="317"/>
        </w:trPr>
        <w:tc>
          <w:tcPr>
            <w:tcW w:w="243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74E05F04" w14:textId="77777777" w:rsidR="00A30A84" w:rsidRPr="00E72EBA" w:rsidRDefault="00A30A84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AA1742" w14:textId="62C747C6" w:rsidR="00A30A84" w:rsidRPr="00E72EBA" w:rsidRDefault="00A30A84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SofPortAO</w:t>
            </w:r>
          </w:p>
        </w:tc>
      </w:tr>
      <w:tr w:rsidR="00E72EBA" w:rsidRPr="00E72EBA" w14:paraId="22FA6F16" w14:textId="77777777" w:rsidTr="001C43E4">
        <w:trPr>
          <w:trHeight w:val="576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594E7" w14:textId="77777777" w:rsidR="00E72EBA" w:rsidRPr="00E72EBA" w:rsidRDefault="00E72EBA" w:rsidP="007F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Carl Zeiss Meditec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(Jena, Germany)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E2B92" w14:textId="77777777" w:rsidR="00E72EBA" w:rsidRPr="00E72EBA" w:rsidRDefault="00E72EBA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E72E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CT LUCIA 621P</w:t>
            </w:r>
          </w:p>
        </w:tc>
      </w:tr>
      <w:tr w:rsidR="007F77A4" w:rsidRPr="00E72EBA" w14:paraId="47B9EED5" w14:textId="77777777" w:rsidTr="001C43E4">
        <w:trPr>
          <w:trHeight w:val="317"/>
        </w:trPr>
        <w:tc>
          <w:tcPr>
            <w:tcW w:w="2430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861BADD" w14:textId="374378C5" w:rsidR="007F77A4" w:rsidRPr="00E72EBA" w:rsidRDefault="007F77A4" w:rsidP="007F77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Johnson and Johnson Vision (</w:t>
            </w:r>
            <w:r w:rsidR="001C43E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Jacksonville, FL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4A5C0C" w14:textId="56A8512A" w:rsidR="007F77A4" w:rsidRPr="00E72EBA" w:rsidRDefault="007F77A4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DCB00</w:t>
            </w:r>
          </w:p>
        </w:tc>
      </w:tr>
      <w:tr w:rsidR="007F77A4" w:rsidRPr="00E72EBA" w14:paraId="4ECF622B" w14:textId="77777777" w:rsidTr="001C43E4">
        <w:trPr>
          <w:trHeight w:val="317"/>
        </w:trPr>
        <w:tc>
          <w:tcPr>
            <w:tcW w:w="2430" w:type="dxa"/>
            <w:vMerge/>
            <w:tcBorders>
              <w:left w:val="nil"/>
              <w:right w:val="nil"/>
            </w:tcBorders>
            <w:noWrap/>
            <w:vAlign w:val="center"/>
          </w:tcPr>
          <w:p w14:paraId="74CDB003" w14:textId="77777777" w:rsidR="007F77A4" w:rsidRDefault="007F77A4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E66578" w14:textId="67506F0C" w:rsidR="007F77A4" w:rsidRDefault="007F77A4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ZCB00</w:t>
            </w:r>
          </w:p>
        </w:tc>
      </w:tr>
      <w:tr w:rsidR="007F77A4" w:rsidRPr="00E72EBA" w14:paraId="7E9D24A3" w14:textId="77777777" w:rsidTr="001C43E4">
        <w:trPr>
          <w:trHeight w:val="317"/>
        </w:trPr>
        <w:tc>
          <w:tcPr>
            <w:tcW w:w="2430" w:type="dxa"/>
            <w:vMerge/>
            <w:tcBorders>
              <w:left w:val="nil"/>
              <w:right w:val="nil"/>
            </w:tcBorders>
            <w:noWrap/>
            <w:vAlign w:val="center"/>
          </w:tcPr>
          <w:p w14:paraId="2ECB5876" w14:textId="77777777" w:rsidR="007F77A4" w:rsidRDefault="007F77A4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0D6309" w14:textId="073A26DB" w:rsidR="007F77A4" w:rsidRDefault="007F77A4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PCB00</w:t>
            </w:r>
          </w:p>
        </w:tc>
      </w:tr>
      <w:tr w:rsidR="007F77A4" w:rsidRPr="00E72EBA" w14:paraId="347A5599" w14:textId="77777777" w:rsidTr="001C43E4">
        <w:trPr>
          <w:trHeight w:val="317"/>
        </w:trPr>
        <w:tc>
          <w:tcPr>
            <w:tcW w:w="2430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3235BDB" w14:textId="77777777" w:rsidR="007F77A4" w:rsidRDefault="007F77A4" w:rsidP="00E72E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E87A2B7" w14:textId="1B302C77" w:rsidR="007F77A4" w:rsidRDefault="007F77A4" w:rsidP="00E72E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DIB00</w:t>
            </w:r>
          </w:p>
        </w:tc>
      </w:tr>
    </w:tbl>
    <w:p w14:paraId="7C8459CF" w14:textId="53258AB5" w:rsidR="009D3E82" w:rsidRDefault="009D3E82">
      <w:pPr>
        <w:rPr>
          <w:rFonts w:ascii="Arial" w:hAnsi="Arial" w:cs="Arial"/>
          <w:sz w:val="20"/>
          <w:szCs w:val="20"/>
        </w:rPr>
      </w:pPr>
    </w:p>
    <w:p w14:paraId="62472CAD" w14:textId="77777777" w:rsidR="009D3E82" w:rsidRDefault="009D3E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F89CA67" w14:textId="77777777" w:rsidR="009D3E82" w:rsidRPr="00784B8D" w:rsidRDefault="009D3E82" w:rsidP="009D3E82">
      <w:pPr>
        <w:rPr>
          <w:rFonts w:ascii="Arial" w:hAnsi="Arial" w:cs="Arial"/>
          <w:sz w:val="20"/>
          <w:szCs w:val="20"/>
        </w:rPr>
      </w:pPr>
      <w:r w:rsidRPr="440D9D4F">
        <w:rPr>
          <w:rFonts w:ascii="Arial" w:hAnsi="Arial" w:cs="Arial"/>
          <w:sz w:val="20"/>
          <w:szCs w:val="20"/>
        </w:rPr>
        <w:lastRenderedPageBreak/>
        <w:t>Supplemental Table 2: Relative Formula Performance for Unoptimized Spherical Equivalent Prediction Errors</w:t>
      </w:r>
    </w:p>
    <w:p w14:paraId="4426BE4A" w14:textId="77777777" w:rsidR="009D3E82" w:rsidRPr="00784B8D" w:rsidRDefault="009D3E82" w:rsidP="009D3E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0"/>
          <w:szCs w:val="20"/>
          <w14:ligatures w14:val="none"/>
        </w:rPr>
      </w:pPr>
      <w:r w:rsidRPr="00784B8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 </w:t>
      </w:r>
    </w:p>
    <w:tbl>
      <w:tblPr>
        <w:tblW w:w="79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320"/>
        <w:gridCol w:w="1320"/>
        <w:gridCol w:w="1320"/>
        <w:gridCol w:w="1320"/>
      </w:tblGrid>
      <w:tr w:rsidR="009D3E82" w:rsidRPr="00784B8D" w14:paraId="0C832A4B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F3CD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BCDEC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ZAIC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B764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BU2 K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5D4F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Kane K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5B57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BU2 TK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008EC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Kane TK</w:t>
            </w:r>
          </w:p>
        </w:tc>
      </w:tr>
      <w:tr w:rsidR="009D3E82" w:rsidRPr="00784B8D" w14:paraId="132789FC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29BC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MPE, D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C465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0.099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5240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0.074</w:t>
            </w:r>
            <w:r w:rsidRPr="00DF3E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28F5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0.010</w:t>
            </w:r>
            <w:r w:rsidRPr="00DF3E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1254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0.140</w:t>
            </w:r>
            <w:r w:rsidRPr="00DF3E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D365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0.076</w:t>
            </w:r>
            <w:r w:rsidRPr="00DF3E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</w:tr>
      <w:tr w:rsidR="009D3E82" w:rsidRPr="00784B8D" w14:paraId="14530CB8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362D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SD, D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4DF0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0.381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D81C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0.411</w:t>
            </w:r>
            <w:r w:rsidRPr="00DF3E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A7E7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0.385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1AF6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0.417</w:t>
            </w:r>
            <w:r w:rsidRPr="00DF3E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4B9A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0.393</w:t>
            </w:r>
          </w:p>
        </w:tc>
      </w:tr>
      <w:tr w:rsidR="009D3E82" w:rsidRPr="00784B8D" w14:paraId="46E5858C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A40B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MAE, D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1127D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0.311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0CBF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0.324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ABDD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0.298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2B22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0.339</w:t>
            </w:r>
            <w:r w:rsidRPr="00DF3E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75EA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0.312</w:t>
            </w:r>
          </w:p>
        </w:tc>
      </w:tr>
      <w:tr w:rsidR="009D3E82" w:rsidRPr="00784B8D" w14:paraId="131A617C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2925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MedAE, D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4FC0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0.271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5462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0.255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396C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0.240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CDF5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0.280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153B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0.245</w:t>
            </w:r>
          </w:p>
        </w:tc>
      </w:tr>
      <w:tr w:rsidR="002C20DA" w:rsidRPr="00784B8D" w14:paraId="0EFD16F7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F35BA" w14:textId="11B3A3C4" w:rsidR="002C20DA" w:rsidRPr="00784B8D" w:rsidRDefault="002C20DA" w:rsidP="008A16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RMSAE, D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CD5C5" w14:textId="0FF603CA" w:rsidR="002C20DA" w:rsidRPr="00784B8D" w:rsidRDefault="00F10BD3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0.392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1BF0F" w14:textId="57115761" w:rsidR="002C20DA" w:rsidRPr="00784B8D" w:rsidRDefault="00F10BD3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0.417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B69C9" w14:textId="27540B04" w:rsidR="002C20DA" w:rsidRPr="00784B8D" w:rsidRDefault="00F10BD3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0.384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05F480" w14:textId="51FE8423" w:rsidR="002C20DA" w:rsidRPr="00784B8D" w:rsidRDefault="001026B9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0.439</w:t>
            </w:r>
            <w:r w:rsidR="00E97EFC" w:rsidRPr="00DF3E4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a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199FC" w14:textId="5C8A7FA0" w:rsidR="002C20DA" w:rsidRPr="00784B8D" w:rsidRDefault="001026B9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0.400</w:t>
            </w:r>
          </w:p>
        </w:tc>
      </w:tr>
      <w:tr w:rsidR="009D3E82" w:rsidRPr="00784B8D" w14:paraId="5A7D60C8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9ED8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% ≤ 0.25 D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CBA3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116 (47%)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2020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122 (50%)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6BD5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130 (53%)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375C2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110 (45%)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9A32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126 (51%)</w:t>
            </w:r>
          </w:p>
        </w:tc>
      </w:tr>
      <w:tr w:rsidR="009D3E82" w:rsidRPr="00784B8D" w14:paraId="373FA744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B2CC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% ≤ 0.50 D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034B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197 (80%)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1D26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192 (78%)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030E5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201 (82%)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7EDC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191 (78%)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8434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196 (80%)</w:t>
            </w:r>
          </w:p>
        </w:tc>
      </w:tr>
      <w:tr w:rsidR="009D3E82" w:rsidRPr="00784B8D" w14:paraId="2FBF34FC" w14:textId="77777777" w:rsidTr="008A16D5">
        <w:trPr>
          <w:trHeight w:val="317"/>
        </w:trPr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B698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% ≤ 0.75 D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9A55B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231 (94%)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807B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231 (94%)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2C227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231 (94%)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3958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224 (91%)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C361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229 (93%)</w:t>
            </w:r>
          </w:p>
        </w:tc>
      </w:tr>
      <w:tr w:rsidR="009D3E82" w:rsidRPr="00784B8D" w14:paraId="1567EE05" w14:textId="77777777" w:rsidTr="008A16D5">
        <w:trPr>
          <w:trHeight w:val="317"/>
        </w:trPr>
        <w:tc>
          <w:tcPr>
            <w:tcW w:w="13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6BBB" w14:textId="77777777" w:rsidR="009D3E82" w:rsidRPr="00784B8D" w:rsidRDefault="009D3E82" w:rsidP="008A16D5">
            <w:pPr>
              <w:spacing w:after="0" w:line="240" w:lineRule="auto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% ≤ 1.00 D</w:t>
            </w: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CA02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243 (99%)</w:t>
            </w: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FB035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241 (98%)</w:t>
            </w: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8FEE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241 (98%)</w:t>
            </w: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A3E2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240 (98%)</w:t>
            </w:r>
          </w:p>
        </w:tc>
        <w:tc>
          <w:tcPr>
            <w:tcW w:w="1320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0E9D9" w14:textId="77777777" w:rsidR="009D3E82" w:rsidRPr="00784B8D" w:rsidRDefault="009D3E82" w:rsidP="008A16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424"/>
                <w:kern w:val="0"/>
                <w:sz w:val="20"/>
                <w:szCs w:val="20"/>
                <w14:ligatures w14:val="none"/>
              </w:rPr>
            </w:pPr>
            <w:r w:rsidRPr="00784B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242 (98%)</w:t>
            </w:r>
          </w:p>
        </w:tc>
      </w:tr>
    </w:tbl>
    <w:p w14:paraId="4F22F488" w14:textId="77777777" w:rsidR="009D3E82" w:rsidRPr="00784B8D" w:rsidRDefault="009D3E82" w:rsidP="009D3E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kern w:val="0"/>
          <w:sz w:val="20"/>
          <w:szCs w:val="20"/>
          <w14:ligatures w14:val="none"/>
        </w:rPr>
      </w:pPr>
      <w:r w:rsidRPr="00784B8D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14:ligatures w14:val="none"/>
        </w:rPr>
        <w:t> </w:t>
      </w:r>
    </w:p>
    <w:p w14:paraId="7151332F" w14:textId="4DA39563" w:rsidR="00E72EBA" w:rsidRPr="009D3E82" w:rsidRDefault="009D3E82" w:rsidP="009D3E82">
      <w:pPr>
        <w:spacing w:line="48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DF3E4F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a</w:t>
      </w:r>
      <w:r w:rsidRPr="440D9D4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ZAIC performed significantly (p &lt; 0.05) better than the corresponding formula. BU2, Barrett Universal II; K, standard keratometry; MAE, mean absolute error; MedAE, median absolute error; MPE, mean prediction error; </w:t>
      </w:r>
      <w:r w:rsidR="00954AAC">
        <w:rPr>
          <w:rFonts w:ascii="Arial" w:hAnsi="Arial" w:cs="Arial"/>
          <w:sz w:val="20"/>
          <w:szCs w:val="20"/>
        </w:rPr>
        <w:t xml:space="preserve">RMSAE, root mean squared absolute error; </w:t>
      </w:r>
      <w:r w:rsidRPr="440D9D4F">
        <w:rPr>
          <w:rFonts w:ascii="Arial" w:eastAsia="Times New Roman" w:hAnsi="Arial" w:cs="Arial"/>
          <w:color w:val="000000" w:themeColor="text1"/>
          <w:sz w:val="20"/>
          <w:szCs w:val="20"/>
        </w:rPr>
        <w:t>SD, standard deviation of the MPE; TK, total keratometry; ZAIC, Zeiss AI IOL Calculator.</w:t>
      </w:r>
    </w:p>
    <w:sectPr w:rsidR="00E72EBA" w:rsidRPr="009D3E82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802E" w14:textId="77777777" w:rsidR="005471F2" w:rsidRDefault="005471F2" w:rsidP="005471F2">
      <w:pPr>
        <w:spacing w:after="0" w:line="240" w:lineRule="auto"/>
      </w:pPr>
      <w:r>
        <w:separator/>
      </w:r>
    </w:p>
  </w:endnote>
  <w:endnote w:type="continuationSeparator" w:id="0">
    <w:p w14:paraId="67BDAC80" w14:textId="77777777" w:rsidR="005471F2" w:rsidRDefault="005471F2" w:rsidP="0054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27DC" w14:textId="4A251B58" w:rsidR="005471F2" w:rsidRDefault="005471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96EB2B" wp14:editId="7046E2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7303316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6F151" w14:textId="5A04B62C" w:rsidR="005471F2" w:rsidRPr="005471F2" w:rsidRDefault="005471F2" w:rsidP="005471F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71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6EB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D26F151" w14:textId="5A04B62C" w:rsidR="005471F2" w:rsidRPr="005471F2" w:rsidRDefault="005471F2" w:rsidP="005471F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71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B7BB" w14:textId="2FCB1213" w:rsidR="005471F2" w:rsidRDefault="005471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81284A" wp14:editId="4F5BA417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6962150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053F5" w14:textId="1A81AC15" w:rsidR="005471F2" w:rsidRPr="005471F2" w:rsidRDefault="005471F2" w:rsidP="005471F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71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128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06053F5" w14:textId="1A81AC15" w:rsidR="005471F2" w:rsidRPr="005471F2" w:rsidRDefault="005471F2" w:rsidP="005471F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71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BA0" w14:textId="0A8758B9" w:rsidR="005471F2" w:rsidRDefault="005471F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635D45" wp14:editId="1926FF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60663651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0E6F3" w14:textId="4928A10A" w:rsidR="005471F2" w:rsidRPr="005471F2" w:rsidRDefault="005471F2" w:rsidP="005471F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71F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35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180E6F3" w14:textId="4928A10A" w:rsidR="005471F2" w:rsidRPr="005471F2" w:rsidRDefault="005471F2" w:rsidP="005471F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71F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2671" w14:textId="77777777" w:rsidR="005471F2" w:rsidRDefault="005471F2" w:rsidP="005471F2">
      <w:pPr>
        <w:spacing w:after="0" w:line="240" w:lineRule="auto"/>
      </w:pPr>
      <w:r>
        <w:separator/>
      </w:r>
    </w:p>
  </w:footnote>
  <w:footnote w:type="continuationSeparator" w:id="0">
    <w:p w14:paraId="74300D3D" w14:textId="77777777" w:rsidR="005471F2" w:rsidRDefault="005471F2" w:rsidP="00547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BA"/>
    <w:rsid w:val="0008225D"/>
    <w:rsid w:val="00083408"/>
    <w:rsid w:val="001026B9"/>
    <w:rsid w:val="00124533"/>
    <w:rsid w:val="001B4707"/>
    <w:rsid w:val="001C43E4"/>
    <w:rsid w:val="001E329E"/>
    <w:rsid w:val="00215577"/>
    <w:rsid w:val="00235668"/>
    <w:rsid w:val="002A5088"/>
    <w:rsid w:val="002C20DA"/>
    <w:rsid w:val="0032486F"/>
    <w:rsid w:val="00332C4E"/>
    <w:rsid w:val="00381163"/>
    <w:rsid w:val="004D3A16"/>
    <w:rsid w:val="005471F2"/>
    <w:rsid w:val="0055700F"/>
    <w:rsid w:val="005949D3"/>
    <w:rsid w:val="00637A90"/>
    <w:rsid w:val="00651361"/>
    <w:rsid w:val="006D7541"/>
    <w:rsid w:val="006E36BD"/>
    <w:rsid w:val="006E3D4A"/>
    <w:rsid w:val="00750F00"/>
    <w:rsid w:val="0076792A"/>
    <w:rsid w:val="0077632C"/>
    <w:rsid w:val="007F77A4"/>
    <w:rsid w:val="00842064"/>
    <w:rsid w:val="00851570"/>
    <w:rsid w:val="008B7B73"/>
    <w:rsid w:val="008C4420"/>
    <w:rsid w:val="008E6BC3"/>
    <w:rsid w:val="009245AC"/>
    <w:rsid w:val="00954AAC"/>
    <w:rsid w:val="00986420"/>
    <w:rsid w:val="009D3E82"/>
    <w:rsid w:val="00A151E8"/>
    <w:rsid w:val="00A27B8A"/>
    <w:rsid w:val="00A30A84"/>
    <w:rsid w:val="00AA3921"/>
    <w:rsid w:val="00B22976"/>
    <w:rsid w:val="00B34DC1"/>
    <w:rsid w:val="00B44FF9"/>
    <w:rsid w:val="00B871F0"/>
    <w:rsid w:val="00BA48A9"/>
    <w:rsid w:val="00BB406D"/>
    <w:rsid w:val="00BB56AC"/>
    <w:rsid w:val="00BC7ABD"/>
    <w:rsid w:val="00BD6878"/>
    <w:rsid w:val="00C16649"/>
    <w:rsid w:val="00C464FF"/>
    <w:rsid w:val="00C50936"/>
    <w:rsid w:val="00C650B1"/>
    <w:rsid w:val="00C74578"/>
    <w:rsid w:val="00C77BB0"/>
    <w:rsid w:val="00CA7AA0"/>
    <w:rsid w:val="00CD3B3D"/>
    <w:rsid w:val="00D16BAE"/>
    <w:rsid w:val="00D61793"/>
    <w:rsid w:val="00E10B8C"/>
    <w:rsid w:val="00E72EBA"/>
    <w:rsid w:val="00E731F4"/>
    <w:rsid w:val="00E97EFC"/>
    <w:rsid w:val="00F10BD3"/>
    <w:rsid w:val="00F14450"/>
    <w:rsid w:val="00F46ABD"/>
    <w:rsid w:val="00F9498A"/>
    <w:rsid w:val="00FF7ECF"/>
    <w:rsid w:val="371922B0"/>
    <w:rsid w:val="3B60CB22"/>
    <w:rsid w:val="3FC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6D09"/>
  <w15:chartTrackingRefBased/>
  <w15:docId w15:val="{E08B305E-13E3-EF47-8727-44947904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E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E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E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E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E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E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E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EB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4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1178</Characters>
  <Application>Microsoft Office Word</Application>
  <DocSecurity>4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Cannon</dc:creator>
  <cp:keywords/>
  <dc:description/>
  <cp:lastModifiedBy>Lee, Boon</cp:lastModifiedBy>
  <cp:revision>2</cp:revision>
  <dcterms:created xsi:type="dcterms:W3CDTF">2026-03-23T02:35:00Z</dcterms:created>
  <dcterms:modified xsi:type="dcterms:W3CDTF">2026-03-23T02:35:00Z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5fc353e7,6722c3f0,51a2c3ff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2026-03-23T02:35:04Z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f072af0b-5c3b-43d1-ac41-4b2d84c25d1d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