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FFF02"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S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canning parameters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of HR-VWI</w:t>
      </w:r>
    </w:p>
    <w:p w14:paraId="6FF58AA3">
      <w:pPr>
        <w:spacing w:line="360" w:lineRule="auto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eastAsia="宋体" w:cs="Times New Roman"/>
          <w:sz w:val="24"/>
          <w:szCs w:val="24"/>
        </w:rPr>
        <w:t>MR imaging was performed using a 3.0T MR scanner (Achieva TX, Philips Healthcare, Best, the Netherlands) with a 32-channel head coil. The parameters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were as follows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C315F0A">
      <w:pPr>
        <w:spacing w:line="360" w:lineRule="auto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</w:t>
      </w:r>
      <w:r>
        <w:rPr>
          <w:rFonts w:ascii="Times New Roman" w:hAnsi="Times New Roman" w:eastAsia="宋体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</w:rPr>
        <w:t xml:space="preserve"> imaging studies performed earlier in the study period, patients underwent 2D T1 HR-VWI (double inversion recovery, DIR) with the following parameters:</w:t>
      </w:r>
      <w: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TR/TE 1000 ms/9 ms; 150 mm× 150 mm field of view; 5 axial/sagittal/coronal slices; resolution 0.45 mm× 0.55 mm in-plane; and 3-mm slice thickness </w:t>
      </w:r>
      <w:r>
        <w:rPr>
          <w:rFonts w:ascii="Times New Roman" w:hAnsi="Times New Roman" w:eastAsia="宋体" w:cs="Times New Roman"/>
          <w:sz w:val="24"/>
          <w:szCs w:val="24"/>
        </w:rPr>
        <w:t>with a scan time of</w:t>
      </w:r>
      <w:r>
        <w:rPr>
          <w:rFonts w:ascii="Times New Roman" w:hAnsi="Times New Roman" w:cs="Times New Roman"/>
          <w:sz w:val="24"/>
          <w:szCs w:val="28"/>
        </w:rPr>
        <w:t xml:space="preserve"> 3 minutes and 45 seconds. </w:t>
      </w:r>
    </w:p>
    <w:p w14:paraId="1B9D3E4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Later</w:t>
      </w:r>
      <w:r>
        <w:rPr>
          <w:rFonts w:ascii="Times New Roman" w:hAnsi="Times New Roman" w:eastAsia="宋体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in the study, 3D T1 VISTA (motion sensitized driven equilibrium, MSDE) became available in our hospital and was performed with the following parameters:</w:t>
      </w:r>
      <w:r>
        <w:rPr>
          <w:rFonts w:hint="eastAsia"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TR/TE 700 ms/35 ms; 200 mm × 251 mm field of view; 171 slices; matrix 252 × 314; 80°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flip angle; and resolution 0.8 mm isotropic </w:t>
      </w:r>
      <w:r>
        <w:rPr>
          <w:rFonts w:ascii="Times New Roman" w:hAnsi="Times New Roman" w:cs="Times New Roman"/>
          <w:sz w:val="24"/>
          <w:szCs w:val="28"/>
        </w:rPr>
        <w:t>with an acquisition time of</w:t>
      </w:r>
      <w:r>
        <w:rPr>
          <w:rFonts w:ascii="Times New Roman" w:hAnsi="Times New Roman" w:eastAsia="宋体" w:cs="Times New Roman"/>
          <w:sz w:val="24"/>
          <w:szCs w:val="24"/>
        </w:rPr>
        <w:t xml:space="preserve"> 4 minutes and 55 seconds.</w:t>
      </w:r>
      <w:r>
        <w:rPr>
          <w:rFonts w:ascii="Times New Roman" w:hAnsi="Times New Roman" w:eastAsia="宋体" w:cs="Times New Roman"/>
          <w:sz w:val="24"/>
          <w:szCs w:val="24"/>
        </w:rPr>
        <w:br w:type="page"/>
      </w:r>
    </w:p>
    <w:p w14:paraId="203B8703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tbl>
      <w:tblPr>
        <w:tblStyle w:val="2"/>
        <w:tblW w:w="9072" w:type="dxa"/>
        <w:tblInd w:w="142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43"/>
        <w:gridCol w:w="3260"/>
        <w:gridCol w:w="1559"/>
      </w:tblGrid>
      <w:tr w14:paraId="18EC786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7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24B96F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Forward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ultiple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ogistic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egression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nalysis for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laque 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nhancement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ICAS.</w:t>
            </w:r>
          </w:p>
        </w:tc>
      </w:tr>
      <w:tr w14:paraId="0C125A8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2D2B625">
            <w:pPr>
              <w:spacing w:before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28A276EB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Odds Ratio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BB8E82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FAF8871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14:paraId="49CCCF6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8A4AC">
            <w:pPr>
              <w:widowControl w:val="0"/>
              <w:spacing w:before="240" w:line="240" w:lineRule="auto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  <w:t>Degree of stenosis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21EF8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1.869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AEAAE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1.051-3.324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A0634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0.033</w:t>
            </w:r>
          </w:p>
        </w:tc>
      </w:tr>
      <w:tr w14:paraId="4EA1ACF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625C35">
            <w:pPr>
              <w:widowControl w:val="0"/>
              <w:spacing w:before="240" w:line="240" w:lineRule="auto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LMR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84679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0.703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AC6EE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0.539-0.918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DBCBB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0.010</w:t>
            </w:r>
          </w:p>
        </w:tc>
      </w:tr>
      <w:tr w14:paraId="4C0BBA8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99E8BD0">
            <w:pPr>
              <w:widowControl w:val="0"/>
              <w:spacing w:before="240" w:line="240" w:lineRule="auto"/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Plaque burden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42CC893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58.682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BE8C956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1.424-2418.194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3F7700B9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0.032</w:t>
            </w:r>
          </w:p>
        </w:tc>
      </w:tr>
    </w:tbl>
    <w:p w14:paraId="0714F83E"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ICAS: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i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ntracranial atherosclerotic stenosis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LMR: </w:t>
      </w:r>
      <w:r>
        <w:rPr>
          <w:rFonts w:ascii="Times New Roman" w:hAnsi="Times New Roman" w:eastAsia="宋体" w:cs="Times New Roman"/>
          <w:sz w:val="24"/>
          <w:szCs w:val="24"/>
        </w:rPr>
        <w:t>lymphocyte-to-monocyte ratio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</w:p>
    <w:p w14:paraId="654A9B97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472A507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Sensitivity, specificity, PPV and NPV of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LMR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at baseline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for symptomatic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ICAS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and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LMR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≤</w:t>
      </w:r>
      <w:r>
        <w:rPr>
          <w:rFonts w:hint="eastAsia" w:ascii="Times New Roman" w:hAnsi="Times New Roman" w:cs="Times New Roman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vertAlign w:val="baseline"/>
          <w:lang w:val="en-US" w:eastAsia="zh-CN"/>
        </w:rPr>
        <w:t>4.0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during follow-up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for stroke recurrence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2"/>
        <w:tblW w:w="9043" w:type="dxa"/>
        <w:tblInd w:w="142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860"/>
        <w:gridCol w:w="3773"/>
      </w:tblGrid>
      <w:tr w14:paraId="1975F78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81215E5">
            <w:pPr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AC69807">
            <w:pPr>
              <w:spacing w:before="240"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LMR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4.0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at baseline</w:t>
            </w:r>
          </w:p>
        </w:tc>
        <w:tc>
          <w:tcPr>
            <w:tcW w:w="37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5611EA99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LMR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4.0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during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follow-up</w:t>
            </w:r>
          </w:p>
        </w:tc>
      </w:tr>
      <w:tr w14:paraId="58DEAF2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6D06A30">
            <w:pPr>
              <w:widowControl w:val="0"/>
              <w:spacing w:before="240" w:line="36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Sensitivity (%)</w:t>
            </w:r>
          </w:p>
        </w:tc>
        <w:tc>
          <w:tcPr>
            <w:tcW w:w="28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68627BA">
            <w:pPr>
              <w:widowControl w:val="0"/>
              <w:spacing w:before="240"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74.6</w:t>
            </w:r>
          </w:p>
        </w:tc>
        <w:tc>
          <w:tcPr>
            <w:tcW w:w="377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3FAC1A6">
            <w:pPr>
              <w:widowControl w:val="0"/>
              <w:spacing w:before="240"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26.8</w:t>
            </w:r>
          </w:p>
        </w:tc>
      </w:tr>
      <w:tr w14:paraId="005D407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850" w:hRule="atLeast"/>
        </w:trPr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5545DBC">
            <w:pPr>
              <w:widowControl w:val="0"/>
              <w:spacing w:before="240" w:line="36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Specificity (%)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01B9220">
            <w:pPr>
              <w:widowControl w:val="0"/>
              <w:spacing w:before="240"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57.1</w:t>
            </w:r>
          </w:p>
        </w:tc>
        <w:tc>
          <w:tcPr>
            <w:tcW w:w="37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9D50641">
            <w:pPr>
              <w:widowControl w:val="0"/>
              <w:spacing w:before="240" w:line="36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89.8</w:t>
            </w:r>
          </w:p>
        </w:tc>
      </w:tr>
    </w:tbl>
    <w:p w14:paraId="4AD7ECBB">
      <w:pPr>
        <w:widowControl w:val="0"/>
        <w:spacing w:before="240" w:line="480" w:lineRule="auto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LMR: </w:t>
      </w:r>
      <w:r>
        <w:rPr>
          <w:rFonts w:ascii="Times New Roman" w:hAnsi="Times New Roman" w:eastAsia="宋体" w:cs="Times New Roman"/>
          <w:sz w:val="24"/>
          <w:szCs w:val="24"/>
        </w:rPr>
        <w:t>lymphocyte-to-monocyte ratio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bCs/>
          <w:sz w:val="24"/>
          <w:szCs w:val="24"/>
          <w:lang w:val="en-US" w:eastAsia="zh-CN"/>
        </w:rPr>
        <w:t>PPV: positive predictive value; NPV: negative predictive value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.</w:t>
      </w:r>
    </w:p>
    <w:p w14:paraId="707D1E51">
      <w:pPr>
        <w:widowControl w:val="0"/>
        <w:spacing w:before="240" w:line="480" w:lineRule="auto"/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</w:p>
    <w:p w14:paraId="57A66297">
      <w:pP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br w:type="page"/>
      </w:r>
    </w:p>
    <w:tbl>
      <w:tblPr>
        <w:tblStyle w:val="2"/>
        <w:tblW w:w="9072" w:type="dxa"/>
        <w:tblInd w:w="142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43"/>
        <w:gridCol w:w="3260"/>
        <w:gridCol w:w="1559"/>
      </w:tblGrid>
      <w:tr w14:paraId="3F0591E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7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6AD9B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Univariate and Multivariate Cox analyses of factors associated with stroke recurrence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14:paraId="0C7DE00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BBBDA7B">
            <w:pPr>
              <w:spacing w:before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6A6E37B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Odds Ratio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7D3E37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Confidence Interval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9EAAE77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14:paraId="6BF02FC2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77CE">
            <w:pPr>
              <w:widowControl w:val="0"/>
              <w:spacing w:before="240" w:line="240" w:lineRule="auto"/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kern w:val="2"/>
                <w:sz w:val="24"/>
                <w:szCs w:val="24"/>
              </w:rPr>
              <w:t>Sustained medication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71253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3.461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0E16F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1.143-10.479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8B5F5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0.028</w:t>
            </w:r>
          </w:p>
        </w:tc>
      </w:tr>
      <w:tr w14:paraId="70F5027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B7402">
            <w:pPr>
              <w:widowControl w:val="0"/>
              <w:spacing w:before="240" w:line="240" w:lineRule="auto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LMR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4.0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1EDD0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0.356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491CC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0.131-0.967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1308C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0.043</w:t>
            </w:r>
          </w:p>
        </w:tc>
      </w:tr>
      <w:tr w14:paraId="5A4BD612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FA0A1">
            <w:pPr>
              <w:widowControl w:val="0"/>
              <w:spacing w:before="24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NLR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A7470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1.151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3852E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0.932-1.421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B5A5A">
            <w:pPr>
              <w:spacing w:before="24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0.191</w:t>
            </w:r>
          </w:p>
        </w:tc>
      </w:tr>
      <w:tr w14:paraId="77D41E0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ECFC9">
            <w:pPr>
              <w:widowControl w:val="0"/>
              <w:spacing w:before="24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HDL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0D3C1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0.609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1F26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0.095-3.896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CE498">
            <w:pPr>
              <w:spacing w:before="24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0.601</w:t>
            </w:r>
          </w:p>
        </w:tc>
      </w:tr>
      <w:tr w14:paraId="5834905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2744207">
            <w:pPr>
              <w:widowControl w:val="0"/>
              <w:spacing w:before="24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Lymphocyte 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188A304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0.846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CC4F75D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0.374-1.916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DB51113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0.689</w:t>
            </w:r>
          </w:p>
        </w:tc>
      </w:tr>
    </w:tbl>
    <w:p w14:paraId="275408A4">
      <w:pPr>
        <w:widowControl w:val="0"/>
        <w:spacing w:before="240" w:line="480" w:lineRule="auto"/>
        <w:rPr>
          <w:rFonts w:hint="eastAsia" w:ascii="Times New Roman" w:hAnsi="Times New Roman" w:cs="Times New Roman"/>
          <w:sz w:val="22"/>
          <w:lang w:val="en-US" w:eastAsia="zh-CN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 xml:space="preserve">LMR: </w:t>
      </w:r>
      <w:r>
        <w:rPr>
          <w:rFonts w:ascii="Times New Roman" w:hAnsi="Times New Roman" w:eastAsia="宋体" w:cs="Times New Roman"/>
          <w:sz w:val="24"/>
          <w:szCs w:val="24"/>
        </w:rPr>
        <w:t>lymphocyte-to-monocyte ratio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; NLR:</w:t>
      </w:r>
      <w:r>
        <w:rPr>
          <w:rFonts w:ascii="Times New Roman" w:hAnsi="Times New Roman" w:cs="Times New Roman"/>
          <w:sz w:val="22"/>
        </w:rPr>
        <w:t>neutrophil-to-lymphocyte ratio;</w:t>
      </w:r>
      <w:r>
        <w:rPr>
          <w:rFonts w:hint="eastAsia" w:ascii="Times New Roman" w:hAnsi="Times New Roman" w:cs="Times New Roman"/>
          <w:sz w:val="22"/>
          <w:lang w:val="en-US" w:eastAsia="zh-CN"/>
        </w:rPr>
        <w:t xml:space="preserve"> HDL: </w:t>
      </w:r>
      <w:r>
        <w:rPr>
          <w:rFonts w:ascii="Times New Roman" w:hAnsi="Times New Roman" w:cs="Times New Roman"/>
          <w:sz w:val="22"/>
        </w:rPr>
        <w:t>high-density lipoprotein</w:t>
      </w:r>
      <w:r>
        <w:rPr>
          <w:rFonts w:hint="eastAsia" w:ascii="Times New Roman" w:hAnsi="Times New Roman" w:cs="Times New Roman"/>
          <w:sz w:val="22"/>
          <w:lang w:val="en-US" w:eastAsia="zh-CN"/>
        </w:rPr>
        <w:t>.</w:t>
      </w:r>
    </w:p>
    <w:p w14:paraId="1BD97D43">
      <w:pPr>
        <w:widowControl w:val="0"/>
        <w:spacing w:before="240" w:line="480" w:lineRule="auto"/>
        <w:rPr>
          <w:rFonts w:hint="eastAsia" w:ascii="Times New Roman" w:hAnsi="Times New Roman" w:cs="Times New Roman"/>
          <w:sz w:val="22"/>
          <w:lang w:val="en-US" w:eastAsia="zh-CN"/>
        </w:rPr>
      </w:pPr>
    </w:p>
    <w:tbl>
      <w:tblPr>
        <w:tblStyle w:val="2"/>
        <w:tblW w:w="9072" w:type="dxa"/>
        <w:tblInd w:w="142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43"/>
        <w:gridCol w:w="3260"/>
        <w:gridCol w:w="1559"/>
      </w:tblGrid>
      <w:tr w14:paraId="777931B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7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D44FDC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Spearman’s correlation analyses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 between baseline LMR and key  variables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14:paraId="598C172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1A453406">
            <w:pPr>
              <w:spacing w:before="24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7A6990B2">
            <w:pPr>
              <w:spacing w:before="240" w:line="24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8886BE0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Spearman coefficient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41A66EAA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14:paraId="143DBC6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43C12">
            <w:pPr>
              <w:widowControl w:val="0"/>
              <w:spacing w:before="240" w:line="240" w:lineRule="auto"/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2"/>
                <w:sz w:val="24"/>
                <w:szCs w:val="24"/>
                <w:lang w:val="en-US" w:eastAsia="zh-CN"/>
              </w:rPr>
              <w:t>Cholesterol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7A243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88BFF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32B6A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0.211</w:t>
            </w:r>
          </w:p>
        </w:tc>
      </w:tr>
      <w:tr w14:paraId="4CCC3783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240B3">
            <w:pPr>
              <w:widowControl w:val="0"/>
              <w:spacing w:before="240" w:line="240" w:lineRule="auto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HDL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6D0B6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8B2CE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0.234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54FBE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0.007</w:t>
            </w:r>
          </w:p>
        </w:tc>
      </w:tr>
      <w:tr w14:paraId="5F679AE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965EB">
            <w:pPr>
              <w:widowControl w:val="0"/>
              <w:spacing w:before="24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LDL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A85BE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8F3DF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0.060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9B487">
            <w:pPr>
              <w:spacing w:before="24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0.494</w:t>
            </w:r>
          </w:p>
        </w:tc>
      </w:tr>
      <w:tr w14:paraId="31174FC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8F92D">
            <w:pPr>
              <w:widowControl w:val="0"/>
              <w:spacing w:before="24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Apolipoprotein 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DCB01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2782D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0.033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2AC2B">
            <w:pPr>
              <w:spacing w:before="24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0.711</w:t>
            </w:r>
          </w:p>
        </w:tc>
      </w:tr>
      <w:tr w14:paraId="0075506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8C6E3">
            <w:pPr>
              <w:widowControl w:val="0"/>
              <w:spacing w:before="24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>Degree of stenosis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E19A1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410E2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-0.270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B4F8F">
            <w:pPr>
              <w:spacing w:before="24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0.002</w:t>
            </w:r>
          </w:p>
        </w:tc>
      </w:tr>
      <w:tr w14:paraId="7E42C258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0F55B436">
            <w:pPr>
              <w:widowControl w:val="0"/>
              <w:spacing w:before="24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Plaque burden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64EE599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E3EF99F">
            <w:pPr>
              <w:spacing w:before="240" w:line="240" w:lineRule="auto"/>
              <w:jc w:val="center"/>
              <w:rPr>
                <w:rStyle w:val="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-0.202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03DE924">
            <w:pPr>
              <w:spacing w:before="240" w:line="240" w:lineRule="auto"/>
              <w:jc w:val="center"/>
              <w:rPr>
                <w:rFonts w:hint="default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0.020</w:t>
            </w:r>
          </w:p>
        </w:tc>
      </w:tr>
    </w:tbl>
    <w:p w14:paraId="045256C5">
      <w:pPr>
        <w:widowControl w:val="0"/>
        <w:spacing w:before="240" w:line="48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HDL: high-density lipoprotein; LDL: low-density lipoprotein</w:t>
      </w:r>
    </w:p>
    <w:p w14:paraId="563F8993">
      <w:pPr>
        <w:widowControl w:val="0"/>
        <w:spacing w:before="240" w:line="480" w:lineRule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65420" cy="4134485"/>
            <wp:effectExtent l="0" t="0" r="5080" b="5715"/>
            <wp:docPr id="1" name="图片 1" descr="196ff904-f150-4883-bc6d-d83f46c79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6ff904-f150-4883-bc6d-d83f46c798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3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7AB99">
      <w:pPr>
        <w:widowControl w:val="0"/>
        <w:spacing w:before="240" w:line="48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Supplementary Fig 1. The possible role of LMR in the multifactorial pathogenesis of ICAS.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9E7D70"/>
    <w:multiLevelType w:val="singleLevel"/>
    <w:tmpl w:val="699E7D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E12CE"/>
    <w:rsid w:val="121866D3"/>
    <w:rsid w:val="1693303C"/>
    <w:rsid w:val="1C136882"/>
    <w:rsid w:val="25541631"/>
    <w:rsid w:val="27741A77"/>
    <w:rsid w:val="29B32F85"/>
    <w:rsid w:val="2EB4264C"/>
    <w:rsid w:val="30086CD9"/>
    <w:rsid w:val="33F5637D"/>
    <w:rsid w:val="370F6B05"/>
    <w:rsid w:val="3B1A11D4"/>
    <w:rsid w:val="3B64390B"/>
    <w:rsid w:val="441E5A22"/>
    <w:rsid w:val="44595C16"/>
    <w:rsid w:val="588D24C7"/>
    <w:rsid w:val="58DD1125"/>
    <w:rsid w:val="5EFD75EB"/>
    <w:rsid w:val="5FA768B0"/>
    <w:rsid w:val="655C588C"/>
    <w:rsid w:val="673D3C7B"/>
    <w:rsid w:val="67FA22FA"/>
    <w:rsid w:val="6B8D0D5A"/>
    <w:rsid w:val="6D922AA9"/>
    <w:rsid w:val="72EE0E2D"/>
    <w:rsid w:val="7B6B546E"/>
    <w:rsid w:val="7DDC498C"/>
    <w:rsid w:val="7F6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translated-spa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</Words>
  <Characters>1352</Characters>
  <Lines>0</Lines>
  <Paragraphs>0</Paragraphs>
  <TotalTime>5</TotalTime>
  <ScaleCrop>false</ScaleCrop>
  <LinksUpToDate>false</LinksUpToDate>
  <CharactersWithSpaces>1564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2025-06-26T13:08:00Z</dcterms:created>
  <dc:creator>11622</dc:creator>
  <cp:lastModifiedBy>笙箫</cp:lastModifiedBy>
  <dcterms:modified xsi:type="dcterms:W3CDTF">2025-12-12T15:53:56Z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eyJoZGlkIjoiMzEwNTM5NzYwMDRjMzkwZTVkZjY2ODkwMGIxNGU0OTUiLCJ1c2VySWQiOiIyMjcxMjA0ODEifQ==</vt:lpwstr>
  </property>
  <property fmtid="{D5CDD505-2E9C-101B-9397-08002B2CF9AE}" pid="4" name="ICV">
    <vt:lpwstr>04E5677A25D34805961744BC05ACA367_13</vt:lpwstr>
  </property>
</Properties>
</file>